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DDEA0" w14:textId="77777777" w:rsidR="003E6341" w:rsidRPr="002C6D09" w:rsidRDefault="00EA4B58" w:rsidP="00E840F4">
      <w:pPr>
        <w:pStyle w:val="NoSpacing"/>
        <w:jc w:val="center"/>
        <w:rPr>
          <w:rFonts w:ascii="Times New Roman" w:hAnsi="Times New Roman" w:cs="Times New Roman"/>
          <w:b/>
          <w:sz w:val="24"/>
          <w:szCs w:val="24"/>
        </w:rPr>
      </w:pPr>
      <w:bookmarkStart w:id="0" w:name="_Hlk45733806"/>
      <w:bookmarkStart w:id="1" w:name="_Hlk45734445"/>
      <w:r w:rsidRPr="002C6D09">
        <w:rPr>
          <w:rFonts w:ascii="Times New Roman" w:hAnsi="Times New Roman" w:cs="Times New Roman"/>
          <w:b/>
          <w:sz w:val="24"/>
          <w:szCs w:val="24"/>
        </w:rPr>
        <w:t>Storm Surges, Informational Shocks, and the Price of Urban Real Estate</w:t>
      </w:r>
      <w:r w:rsidR="00D41C99" w:rsidRPr="002C6D09">
        <w:rPr>
          <w:rFonts w:ascii="Times New Roman" w:hAnsi="Times New Roman" w:cs="Times New Roman"/>
          <w:b/>
          <w:sz w:val="24"/>
          <w:szCs w:val="24"/>
        </w:rPr>
        <w:t xml:space="preserve">: </w:t>
      </w:r>
    </w:p>
    <w:p w14:paraId="28B26835" w14:textId="77777777" w:rsidR="00EA4B58" w:rsidRPr="002C6D09" w:rsidRDefault="00E840F4" w:rsidP="00E840F4">
      <w:pPr>
        <w:pStyle w:val="NoSpacing"/>
        <w:jc w:val="center"/>
        <w:rPr>
          <w:rFonts w:ascii="Times New Roman" w:hAnsi="Times New Roman" w:cs="Times New Roman"/>
          <w:b/>
          <w:sz w:val="24"/>
          <w:szCs w:val="24"/>
        </w:rPr>
      </w:pPr>
      <w:r w:rsidRPr="002C6D09">
        <w:rPr>
          <w:rFonts w:ascii="Times New Roman" w:hAnsi="Times New Roman" w:cs="Times New Roman"/>
          <w:b/>
          <w:sz w:val="24"/>
          <w:szCs w:val="24"/>
        </w:rPr>
        <w:t>A</w:t>
      </w:r>
      <w:r w:rsidR="005E5D66" w:rsidRPr="002C6D09">
        <w:rPr>
          <w:rFonts w:ascii="Times New Roman" w:hAnsi="Times New Roman" w:cs="Times New Roman"/>
          <w:b/>
          <w:sz w:val="24"/>
          <w:szCs w:val="24"/>
        </w:rPr>
        <w:t>n Application to the Case of</w:t>
      </w:r>
      <w:r w:rsidR="002B49D2" w:rsidRPr="002C6D09">
        <w:rPr>
          <w:rFonts w:ascii="Times New Roman" w:hAnsi="Times New Roman" w:cs="Times New Roman"/>
          <w:b/>
          <w:sz w:val="24"/>
          <w:szCs w:val="24"/>
        </w:rPr>
        <w:t xml:space="preserve"> Hurricane Sandy</w:t>
      </w:r>
      <w:bookmarkEnd w:id="0"/>
      <w:r w:rsidR="004C53B1" w:rsidRPr="002C6D09">
        <w:rPr>
          <w:rStyle w:val="FootnoteReference"/>
          <w:rFonts w:ascii="Times New Roman" w:hAnsi="Times New Roman" w:cs="Times New Roman"/>
          <w:b/>
          <w:sz w:val="24"/>
          <w:szCs w:val="24"/>
        </w:rPr>
        <w:footnoteReference w:customMarkFollows="1" w:id="1"/>
        <w:t>*</w:t>
      </w:r>
    </w:p>
    <w:p w14:paraId="5F54890D" w14:textId="77777777" w:rsidR="00C21F72" w:rsidRPr="002C6D09" w:rsidRDefault="00C21F72" w:rsidP="006648F5">
      <w:pPr>
        <w:pStyle w:val="NoSpacing"/>
        <w:rPr>
          <w:rFonts w:ascii="Times New Roman" w:hAnsi="Times New Roman" w:cs="Times New Roman"/>
          <w:sz w:val="24"/>
          <w:szCs w:val="24"/>
        </w:rPr>
      </w:pPr>
    </w:p>
    <w:p w14:paraId="491AA2B8" w14:textId="133B3B02" w:rsidR="00C21F72" w:rsidRPr="002C6D09" w:rsidRDefault="00C21F72" w:rsidP="006648F5">
      <w:pPr>
        <w:pStyle w:val="NoSpacing"/>
        <w:jc w:val="center"/>
        <w:rPr>
          <w:rFonts w:ascii="Times New Roman" w:hAnsi="Times New Roman" w:cs="Times New Roman"/>
          <w:sz w:val="24"/>
          <w:szCs w:val="24"/>
        </w:rPr>
      </w:pPr>
      <w:r w:rsidRPr="002C6D09">
        <w:rPr>
          <w:rFonts w:ascii="Times New Roman" w:hAnsi="Times New Roman" w:cs="Times New Roman"/>
          <w:sz w:val="24"/>
          <w:szCs w:val="24"/>
        </w:rPr>
        <w:t>Jason Barr</w:t>
      </w:r>
    </w:p>
    <w:p w14:paraId="1DE1555F" w14:textId="77777777" w:rsidR="00C21F72" w:rsidRPr="002C6D09" w:rsidRDefault="00C21F72" w:rsidP="006648F5">
      <w:pPr>
        <w:pStyle w:val="NoSpacing"/>
        <w:jc w:val="center"/>
        <w:rPr>
          <w:rFonts w:ascii="Times New Roman" w:hAnsi="Times New Roman" w:cs="Times New Roman"/>
          <w:sz w:val="24"/>
          <w:szCs w:val="24"/>
        </w:rPr>
      </w:pPr>
      <w:r w:rsidRPr="002C6D09">
        <w:rPr>
          <w:rFonts w:ascii="Times New Roman" w:hAnsi="Times New Roman" w:cs="Times New Roman"/>
          <w:sz w:val="24"/>
          <w:szCs w:val="24"/>
        </w:rPr>
        <w:t>Department of Economics</w:t>
      </w:r>
    </w:p>
    <w:p w14:paraId="6894DFE5" w14:textId="77777777" w:rsidR="00C21F72" w:rsidRPr="002C6D09" w:rsidRDefault="00C21F72" w:rsidP="006648F5">
      <w:pPr>
        <w:pStyle w:val="NoSpacing"/>
        <w:jc w:val="center"/>
        <w:rPr>
          <w:rFonts w:ascii="Times New Roman" w:hAnsi="Times New Roman" w:cs="Times New Roman"/>
          <w:sz w:val="24"/>
          <w:szCs w:val="24"/>
        </w:rPr>
      </w:pPr>
      <w:r w:rsidRPr="002C6D09">
        <w:rPr>
          <w:rFonts w:ascii="Times New Roman" w:hAnsi="Times New Roman" w:cs="Times New Roman"/>
          <w:sz w:val="24"/>
          <w:szCs w:val="24"/>
        </w:rPr>
        <w:t>Rutgers University-Newark</w:t>
      </w:r>
    </w:p>
    <w:p w14:paraId="325E51D9" w14:textId="77777777" w:rsidR="00C21F72" w:rsidRPr="002C6D09" w:rsidRDefault="00C21F72" w:rsidP="006648F5">
      <w:pPr>
        <w:pStyle w:val="NoSpacing"/>
        <w:jc w:val="center"/>
        <w:rPr>
          <w:rFonts w:ascii="Times New Roman" w:hAnsi="Times New Roman" w:cs="Times New Roman"/>
          <w:sz w:val="24"/>
          <w:szCs w:val="24"/>
        </w:rPr>
      </w:pPr>
      <w:r w:rsidRPr="002C6D09">
        <w:rPr>
          <w:rFonts w:ascii="Times New Roman" w:hAnsi="Times New Roman" w:cs="Times New Roman"/>
          <w:sz w:val="24"/>
          <w:szCs w:val="24"/>
        </w:rPr>
        <w:t xml:space="preserve">Email: </w:t>
      </w:r>
      <w:hyperlink r:id="rId8" w:history="1">
        <w:r w:rsidRPr="002C6D09">
          <w:rPr>
            <w:rStyle w:val="Hyperlink"/>
            <w:rFonts w:ascii="Times New Roman" w:hAnsi="Times New Roman" w:cs="Times New Roman"/>
            <w:sz w:val="24"/>
            <w:szCs w:val="24"/>
          </w:rPr>
          <w:t>jmbarr@rutgers.edu</w:t>
        </w:r>
      </w:hyperlink>
    </w:p>
    <w:p w14:paraId="6776BCC2" w14:textId="77777777" w:rsidR="00C21F72" w:rsidRPr="002C6D09" w:rsidRDefault="00C21F72" w:rsidP="006648F5">
      <w:pPr>
        <w:pStyle w:val="NoSpacing"/>
        <w:jc w:val="center"/>
        <w:rPr>
          <w:rFonts w:ascii="Times New Roman" w:hAnsi="Times New Roman" w:cs="Times New Roman"/>
          <w:sz w:val="24"/>
          <w:szCs w:val="24"/>
        </w:rPr>
      </w:pPr>
    </w:p>
    <w:p w14:paraId="513450E4" w14:textId="77777777" w:rsidR="00C21F72" w:rsidRPr="002C6D09" w:rsidRDefault="00C21F72" w:rsidP="006648F5">
      <w:pPr>
        <w:pStyle w:val="NoSpacing"/>
        <w:jc w:val="center"/>
        <w:rPr>
          <w:rFonts w:ascii="Times New Roman" w:hAnsi="Times New Roman" w:cs="Times New Roman"/>
          <w:sz w:val="24"/>
          <w:szCs w:val="24"/>
        </w:rPr>
      </w:pPr>
      <w:r w:rsidRPr="002C6D09">
        <w:rPr>
          <w:rFonts w:ascii="Times New Roman" w:hAnsi="Times New Roman" w:cs="Times New Roman"/>
          <w:sz w:val="24"/>
          <w:szCs w:val="24"/>
        </w:rPr>
        <w:t xml:space="preserve">Jeffrey </w:t>
      </w:r>
      <w:r w:rsidR="00850E39" w:rsidRPr="002C6D09">
        <w:rPr>
          <w:rFonts w:ascii="Times New Roman" w:hAnsi="Times New Roman" w:cs="Times New Roman"/>
          <w:sz w:val="24"/>
          <w:szCs w:val="24"/>
        </w:rPr>
        <w:t xml:space="preserve">P. </w:t>
      </w:r>
      <w:r w:rsidRPr="002C6D09">
        <w:rPr>
          <w:rFonts w:ascii="Times New Roman" w:hAnsi="Times New Roman" w:cs="Times New Roman"/>
          <w:sz w:val="24"/>
          <w:szCs w:val="24"/>
        </w:rPr>
        <w:t>Cohen</w:t>
      </w:r>
    </w:p>
    <w:p w14:paraId="5F1022AD" w14:textId="260934FC" w:rsidR="004C53B1" w:rsidRPr="002C6D09" w:rsidRDefault="004C53B1" w:rsidP="004C53B1">
      <w:pPr>
        <w:pStyle w:val="NoSpacing"/>
        <w:jc w:val="center"/>
        <w:rPr>
          <w:rFonts w:ascii="Times New Roman" w:hAnsi="Times New Roman" w:cs="Times New Roman"/>
          <w:sz w:val="24"/>
          <w:szCs w:val="24"/>
        </w:rPr>
      </w:pPr>
      <w:r w:rsidRPr="002C6D09">
        <w:rPr>
          <w:rFonts w:ascii="Times New Roman" w:hAnsi="Times New Roman" w:cs="Times New Roman"/>
          <w:sz w:val="24"/>
          <w:szCs w:val="24"/>
        </w:rPr>
        <w:t>Center for Real Estate</w:t>
      </w:r>
      <w:r w:rsidR="005D288B">
        <w:rPr>
          <w:rFonts w:ascii="Times New Roman" w:hAnsi="Times New Roman" w:cs="Times New Roman"/>
          <w:sz w:val="24"/>
          <w:szCs w:val="24"/>
        </w:rPr>
        <w:t xml:space="preserve"> and Urban Economic Studies</w:t>
      </w:r>
    </w:p>
    <w:p w14:paraId="090F3D9D" w14:textId="77777777" w:rsidR="004C53B1" w:rsidRPr="002C6D09" w:rsidRDefault="004C53B1" w:rsidP="004C53B1">
      <w:pPr>
        <w:pStyle w:val="NoSpacing"/>
        <w:jc w:val="center"/>
        <w:rPr>
          <w:rFonts w:ascii="Times New Roman" w:hAnsi="Times New Roman" w:cs="Times New Roman"/>
          <w:sz w:val="24"/>
          <w:szCs w:val="24"/>
        </w:rPr>
      </w:pPr>
      <w:r w:rsidRPr="002C6D09">
        <w:rPr>
          <w:rFonts w:ascii="Times New Roman" w:hAnsi="Times New Roman" w:cs="Times New Roman"/>
          <w:sz w:val="24"/>
          <w:szCs w:val="24"/>
        </w:rPr>
        <w:t>Department of Finance</w:t>
      </w:r>
    </w:p>
    <w:p w14:paraId="28BB5FB1" w14:textId="77777777" w:rsidR="004C53B1" w:rsidRPr="002C6D09" w:rsidRDefault="004C53B1" w:rsidP="004C53B1">
      <w:pPr>
        <w:pStyle w:val="NoSpacing"/>
        <w:jc w:val="center"/>
        <w:rPr>
          <w:rFonts w:ascii="Times New Roman" w:hAnsi="Times New Roman" w:cs="Times New Roman"/>
          <w:sz w:val="24"/>
          <w:szCs w:val="24"/>
        </w:rPr>
      </w:pPr>
      <w:r w:rsidRPr="002C6D09">
        <w:rPr>
          <w:rFonts w:ascii="Times New Roman" w:hAnsi="Times New Roman" w:cs="Times New Roman"/>
          <w:sz w:val="24"/>
          <w:szCs w:val="24"/>
        </w:rPr>
        <w:t>School of Business</w:t>
      </w:r>
    </w:p>
    <w:p w14:paraId="3752D0DC" w14:textId="77777777" w:rsidR="004C53B1" w:rsidRPr="002C6D09" w:rsidRDefault="004C53B1" w:rsidP="004C53B1">
      <w:pPr>
        <w:pStyle w:val="NoSpacing"/>
        <w:jc w:val="center"/>
        <w:rPr>
          <w:rFonts w:ascii="Times New Roman" w:hAnsi="Times New Roman" w:cs="Times New Roman"/>
          <w:sz w:val="24"/>
          <w:szCs w:val="24"/>
        </w:rPr>
      </w:pPr>
      <w:r w:rsidRPr="002C6D09">
        <w:rPr>
          <w:rFonts w:ascii="Times New Roman" w:hAnsi="Times New Roman" w:cs="Times New Roman"/>
          <w:sz w:val="24"/>
          <w:szCs w:val="24"/>
        </w:rPr>
        <w:t>University of Connecticut</w:t>
      </w:r>
    </w:p>
    <w:p w14:paraId="7F234D4D" w14:textId="77777777" w:rsidR="00C21F72" w:rsidRPr="002C6D09" w:rsidRDefault="004C53B1" w:rsidP="004C53B1">
      <w:pPr>
        <w:pStyle w:val="NoSpacing"/>
        <w:jc w:val="center"/>
        <w:rPr>
          <w:rFonts w:ascii="Times New Roman" w:hAnsi="Times New Roman" w:cs="Times New Roman"/>
          <w:sz w:val="24"/>
          <w:szCs w:val="24"/>
        </w:rPr>
      </w:pPr>
      <w:r w:rsidRPr="002C6D09">
        <w:rPr>
          <w:rFonts w:ascii="Times New Roman" w:hAnsi="Times New Roman" w:cs="Times New Roman"/>
          <w:sz w:val="24"/>
          <w:szCs w:val="24"/>
        </w:rPr>
        <w:t>Email</w:t>
      </w:r>
      <w:r w:rsidR="00C21F72" w:rsidRPr="002C6D09">
        <w:rPr>
          <w:rFonts w:ascii="Times New Roman" w:hAnsi="Times New Roman" w:cs="Times New Roman"/>
          <w:sz w:val="24"/>
          <w:szCs w:val="24"/>
        </w:rPr>
        <w:t>:</w:t>
      </w:r>
      <w:r w:rsidRPr="002C6D09">
        <w:rPr>
          <w:rFonts w:ascii="Times New Roman" w:hAnsi="Times New Roman" w:cs="Times New Roman"/>
          <w:sz w:val="24"/>
          <w:szCs w:val="24"/>
        </w:rPr>
        <w:t xml:space="preserve"> </w:t>
      </w:r>
      <w:hyperlink r:id="rId9" w:history="1">
        <w:r w:rsidR="00D321E3" w:rsidRPr="002C6D09">
          <w:rPr>
            <w:rStyle w:val="Hyperlink"/>
            <w:rFonts w:ascii="Times New Roman" w:hAnsi="Times New Roman" w:cs="Times New Roman"/>
            <w:sz w:val="24"/>
            <w:szCs w:val="24"/>
          </w:rPr>
          <w:t>jeffrey.cohen@uconn.edu</w:t>
        </w:r>
      </w:hyperlink>
    </w:p>
    <w:p w14:paraId="08598AD2" w14:textId="77777777" w:rsidR="009B7C74" w:rsidRPr="002C6D09" w:rsidRDefault="009B7C74" w:rsidP="006648F5">
      <w:pPr>
        <w:pStyle w:val="NoSpacing"/>
        <w:jc w:val="center"/>
        <w:rPr>
          <w:rFonts w:ascii="Times New Roman" w:hAnsi="Times New Roman" w:cs="Times New Roman"/>
          <w:sz w:val="24"/>
          <w:szCs w:val="24"/>
        </w:rPr>
      </w:pPr>
    </w:p>
    <w:p w14:paraId="6E2F59E7" w14:textId="40DD2C06" w:rsidR="009B7C74" w:rsidRPr="002C6D09" w:rsidRDefault="009B7C74" w:rsidP="006648F5">
      <w:pPr>
        <w:pStyle w:val="NoSpacing"/>
        <w:jc w:val="center"/>
        <w:rPr>
          <w:rFonts w:ascii="Times New Roman" w:hAnsi="Times New Roman" w:cs="Times New Roman"/>
          <w:sz w:val="24"/>
          <w:szCs w:val="24"/>
        </w:rPr>
      </w:pPr>
      <w:r w:rsidRPr="002C6D09">
        <w:rPr>
          <w:rFonts w:ascii="Times New Roman" w:hAnsi="Times New Roman" w:cs="Times New Roman"/>
          <w:sz w:val="24"/>
          <w:szCs w:val="24"/>
        </w:rPr>
        <w:t>Eon Kim</w:t>
      </w:r>
    </w:p>
    <w:p w14:paraId="2998D4ED" w14:textId="77777777" w:rsidR="00E840F4" w:rsidRPr="002C6D09" w:rsidRDefault="00E840F4" w:rsidP="006648F5">
      <w:pPr>
        <w:pStyle w:val="NoSpacing"/>
        <w:jc w:val="center"/>
        <w:rPr>
          <w:rFonts w:ascii="Times New Roman" w:hAnsi="Times New Roman" w:cs="Times New Roman"/>
          <w:sz w:val="24"/>
          <w:szCs w:val="24"/>
        </w:rPr>
      </w:pPr>
      <w:r w:rsidRPr="002C6D09">
        <w:rPr>
          <w:rFonts w:ascii="Times New Roman" w:hAnsi="Times New Roman" w:cs="Times New Roman"/>
          <w:sz w:val="24"/>
          <w:szCs w:val="24"/>
        </w:rPr>
        <w:t>Department of Security and Crime Science</w:t>
      </w:r>
    </w:p>
    <w:p w14:paraId="672D520D" w14:textId="77777777" w:rsidR="009B7C74" w:rsidRPr="002C6D09" w:rsidRDefault="009B7C74" w:rsidP="006648F5">
      <w:pPr>
        <w:pStyle w:val="NoSpacing"/>
        <w:jc w:val="center"/>
        <w:rPr>
          <w:rFonts w:ascii="Times New Roman" w:hAnsi="Times New Roman" w:cs="Times New Roman"/>
          <w:sz w:val="24"/>
          <w:szCs w:val="24"/>
        </w:rPr>
      </w:pPr>
      <w:r w:rsidRPr="002C6D09">
        <w:rPr>
          <w:rFonts w:ascii="Times New Roman" w:hAnsi="Times New Roman" w:cs="Times New Roman"/>
          <w:sz w:val="24"/>
          <w:szCs w:val="24"/>
        </w:rPr>
        <w:t>University College of London</w:t>
      </w:r>
    </w:p>
    <w:p w14:paraId="50B1A147" w14:textId="77777777" w:rsidR="009B7C74" w:rsidRPr="002C6D09" w:rsidRDefault="009B7C74" w:rsidP="006648F5">
      <w:pPr>
        <w:pStyle w:val="NoSpacing"/>
        <w:jc w:val="center"/>
        <w:rPr>
          <w:rFonts w:ascii="Times New Roman" w:hAnsi="Times New Roman" w:cs="Times New Roman"/>
          <w:sz w:val="24"/>
          <w:szCs w:val="24"/>
        </w:rPr>
      </w:pPr>
      <w:r w:rsidRPr="002C6D09">
        <w:rPr>
          <w:rFonts w:ascii="Times New Roman" w:hAnsi="Times New Roman" w:cs="Times New Roman"/>
          <w:sz w:val="24"/>
          <w:szCs w:val="24"/>
        </w:rPr>
        <w:t xml:space="preserve">Email: </w:t>
      </w:r>
      <w:hyperlink r:id="rId10" w:history="1">
        <w:r w:rsidR="00E840F4" w:rsidRPr="002C6D09">
          <w:rPr>
            <w:rStyle w:val="Hyperlink"/>
            <w:rFonts w:ascii="Times New Roman" w:hAnsi="Times New Roman" w:cs="Times New Roman"/>
            <w:sz w:val="24"/>
            <w:szCs w:val="24"/>
          </w:rPr>
          <w:t>eongyung.kim.15@ucl.ac.uk</w:t>
        </w:r>
      </w:hyperlink>
    </w:p>
    <w:bookmarkEnd w:id="1"/>
    <w:p w14:paraId="4984F17E" w14:textId="77777777" w:rsidR="00B93FE2" w:rsidRPr="002C6D09" w:rsidRDefault="00B93FE2" w:rsidP="006648F5">
      <w:pPr>
        <w:pStyle w:val="NoSpacing"/>
        <w:jc w:val="center"/>
        <w:rPr>
          <w:rFonts w:ascii="Times New Roman" w:hAnsi="Times New Roman" w:cs="Times New Roman"/>
          <w:sz w:val="24"/>
          <w:szCs w:val="24"/>
        </w:rPr>
      </w:pPr>
    </w:p>
    <w:p w14:paraId="0C313A4E" w14:textId="69EF132A" w:rsidR="00B93FE2" w:rsidRPr="002C6D09" w:rsidRDefault="00B014B8" w:rsidP="006648F5">
      <w:pPr>
        <w:pStyle w:val="NoSpacing"/>
        <w:jc w:val="center"/>
        <w:rPr>
          <w:rFonts w:ascii="Times New Roman" w:hAnsi="Times New Roman" w:cs="Times New Roman"/>
          <w:sz w:val="24"/>
          <w:szCs w:val="24"/>
        </w:rPr>
      </w:pPr>
      <w:r>
        <w:rPr>
          <w:rFonts w:ascii="Times New Roman" w:hAnsi="Times New Roman" w:cs="Times New Roman"/>
          <w:sz w:val="24"/>
          <w:szCs w:val="24"/>
        </w:rPr>
        <w:t>Nov</w:t>
      </w:r>
      <w:r w:rsidR="00956DDD">
        <w:rPr>
          <w:rFonts w:ascii="Times New Roman" w:hAnsi="Times New Roman" w:cs="Times New Roman"/>
          <w:sz w:val="24"/>
          <w:szCs w:val="24"/>
        </w:rPr>
        <w:t xml:space="preserve">ember </w:t>
      </w:r>
      <w:r w:rsidR="00231A4A">
        <w:rPr>
          <w:rFonts w:ascii="Times New Roman" w:hAnsi="Times New Roman" w:cs="Times New Roman"/>
          <w:sz w:val="24"/>
          <w:szCs w:val="24"/>
        </w:rPr>
        <w:t>13</w:t>
      </w:r>
      <w:r w:rsidR="00956DDD">
        <w:rPr>
          <w:rFonts w:ascii="Times New Roman" w:hAnsi="Times New Roman" w:cs="Times New Roman"/>
          <w:sz w:val="24"/>
          <w:szCs w:val="24"/>
        </w:rPr>
        <w:t>,</w:t>
      </w:r>
      <w:r w:rsidR="006801DB" w:rsidRPr="002C6D09">
        <w:rPr>
          <w:rFonts w:ascii="Times New Roman" w:hAnsi="Times New Roman" w:cs="Times New Roman"/>
          <w:sz w:val="24"/>
          <w:szCs w:val="24"/>
        </w:rPr>
        <w:t xml:space="preserve"> 2020</w:t>
      </w:r>
    </w:p>
    <w:p w14:paraId="57967968" w14:textId="77777777" w:rsidR="00C21F72" w:rsidRPr="002C6D09" w:rsidRDefault="00C21F72" w:rsidP="006648F5">
      <w:pPr>
        <w:pStyle w:val="NoSpacing"/>
        <w:rPr>
          <w:rFonts w:ascii="Times New Roman" w:hAnsi="Times New Roman" w:cs="Times New Roman"/>
          <w:sz w:val="24"/>
          <w:szCs w:val="24"/>
        </w:rPr>
      </w:pPr>
    </w:p>
    <w:p w14:paraId="42BC7807" w14:textId="35551756" w:rsidR="00206940" w:rsidRPr="002C6D09" w:rsidRDefault="00206940" w:rsidP="00206940">
      <w:pPr>
        <w:rPr>
          <w:rFonts w:ascii="Times New Roman" w:hAnsi="Times New Roman" w:cs="Times New Roman"/>
          <w:sz w:val="24"/>
          <w:szCs w:val="24"/>
        </w:rPr>
      </w:pPr>
      <w:r w:rsidRPr="002C6D09">
        <w:rPr>
          <w:rFonts w:ascii="Times New Roman" w:hAnsi="Times New Roman" w:cs="Times New Roman"/>
          <w:b/>
          <w:sz w:val="24"/>
          <w:szCs w:val="24"/>
        </w:rPr>
        <w:t>Abstract:</w:t>
      </w:r>
      <w:r w:rsidRPr="002C6D09">
        <w:rPr>
          <w:rFonts w:ascii="Times New Roman" w:hAnsi="Times New Roman" w:cs="Times New Roman"/>
          <w:sz w:val="24"/>
          <w:szCs w:val="24"/>
        </w:rPr>
        <w:t xml:space="preserve"> </w:t>
      </w:r>
      <w:bookmarkStart w:id="2" w:name="_Hlk45734433"/>
      <w:r w:rsidRPr="002C6D09">
        <w:rPr>
          <w:rFonts w:ascii="Times New Roman" w:hAnsi="Times New Roman" w:cs="Times New Roman"/>
          <w:sz w:val="24"/>
          <w:szCs w:val="24"/>
        </w:rPr>
        <w:t xml:space="preserve">The impacts of a major hurricane on residential real estate can be devastating. </w:t>
      </w:r>
      <w:r w:rsidR="0010585C">
        <w:rPr>
          <w:rFonts w:ascii="Times New Roman" w:hAnsi="Times New Roman" w:cs="Times New Roman"/>
          <w:sz w:val="24"/>
          <w:szCs w:val="24"/>
        </w:rPr>
        <w:t>Hurrica</w:t>
      </w:r>
      <w:r w:rsidR="000B3C6B">
        <w:rPr>
          <w:rFonts w:ascii="Times New Roman" w:hAnsi="Times New Roman" w:cs="Times New Roman"/>
          <w:sz w:val="24"/>
          <w:szCs w:val="24"/>
        </w:rPr>
        <w:t>n</w:t>
      </w:r>
      <w:r w:rsidR="0010585C">
        <w:rPr>
          <w:rFonts w:ascii="Times New Roman" w:hAnsi="Times New Roman" w:cs="Times New Roman"/>
          <w:sz w:val="24"/>
          <w:szCs w:val="24"/>
        </w:rPr>
        <w:t>es</w:t>
      </w:r>
      <w:r w:rsidRPr="002C6D09">
        <w:rPr>
          <w:rFonts w:ascii="Times New Roman" w:hAnsi="Times New Roman" w:cs="Times New Roman"/>
          <w:sz w:val="24"/>
          <w:szCs w:val="24"/>
        </w:rPr>
        <w:t xml:space="preserve"> in Houston (with Hurricane Harvey)</w:t>
      </w:r>
      <w:r w:rsidR="003E6341" w:rsidRPr="002C6D09">
        <w:rPr>
          <w:rFonts w:ascii="Times New Roman" w:hAnsi="Times New Roman" w:cs="Times New Roman"/>
          <w:sz w:val="24"/>
          <w:szCs w:val="24"/>
        </w:rPr>
        <w:t>, Florida (with Hurricane Irma),</w:t>
      </w:r>
      <w:r w:rsidRPr="002C6D09">
        <w:rPr>
          <w:rFonts w:ascii="Times New Roman" w:hAnsi="Times New Roman" w:cs="Times New Roman"/>
          <w:sz w:val="24"/>
          <w:szCs w:val="24"/>
        </w:rPr>
        <w:t xml:space="preserve"> and New York City (with Hurricane Sandy) are examples of how flooding can unexpectedly extend beyond the FEMA flood zones. Such surprises or shocks can provide property owners</w:t>
      </w:r>
      <w:r w:rsidR="00E840F4" w:rsidRPr="002C6D09">
        <w:rPr>
          <w:rFonts w:ascii="Times New Roman" w:hAnsi="Times New Roman" w:cs="Times New Roman"/>
          <w:sz w:val="24"/>
          <w:szCs w:val="24"/>
        </w:rPr>
        <w:t>—</w:t>
      </w:r>
      <w:r w:rsidR="00523EBB">
        <w:rPr>
          <w:rFonts w:ascii="Times New Roman" w:hAnsi="Times New Roman" w:cs="Times New Roman"/>
          <w:sz w:val="24"/>
          <w:szCs w:val="24"/>
        </w:rPr>
        <w:t>especially</w:t>
      </w:r>
      <w:r w:rsidR="00152DD8" w:rsidRPr="002C6D09">
        <w:rPr>
          <w:rFonts w:ascii="Times New Roman" w:hAnsi="Times New Roman" w:cs="Times New Roman"/>
          <w:sz w:val="24"/>
          <w:szCs w:val="24"/>
        </w:rPr>
        <w:t xml:space="preserve"> those that a</w:t>
      </w:r>
      <w:r w:rsidRPr="002C6D09">
        <w:rPr>
          <w:rFonts w:ascii="Times New Roman" w:hAnsi="Times New Roman" w:cs="Times New Roman"/>
          <w:sz w:val="24"/>
          <w:szCs w:val="24"/>
        </w:rPr>
        <w:t>re not flooded—with new information about future flood risks,</w:t>
      </w:r>
      <w:r w:rsidR="003E6341" w:rsidRPr="002C6D09">
        <w:rPr>
          <w:rFonts w:ascii="Times New Roman" w:hAnsi="Times New Roman" w:cs="Times New Roman"/>
          <w:sz w:val="24"/>
          <w:szCs w:val="24"/>
        </w:rPr>
        <w:t xml:space="preserve"> based on the difference of</w:t>
      </w:r>
      <w:r w:rsidRPr="002C6D09">
        <w:rPr>
          <w:rFonts w:ascii="Times New Roman" w:hAnsi="Times New Roman" w:cs="Times New Roman"/>
          <w:sz w:val="24"/>
          <w:szCs w:val="24"/>
        </w:rPr>
        <w:t xml:space="preserve"> the</w:t>
      </w:r>
      <w:r w:rsidR="003E6341" w:rsidRPr="002C6D09">
        <w:rPr>
          <w:rFonts w:ascii="Times New Roman" w:hAnsi="Times New Roman" w:cs="Times New Roman"/>
          <w:sz w:val="24"/>
          <w:szCs w:val="24"/>
        </w:rPr>
        <w:t xml:space="preserve"> property</w:t>
      </w:r>
      <w:r w:rsidRPr="002C6D09">
        <w:rPr>
          <w:rFonts w:ascii="Times New Roman" w:hAnsi="Times New Roman" w:cs="Times New Roman"/>
          <w:sz w:val="24"/>
          <w:szCs w:val="24"/>
        </w:rPr>
        <w:t xml:space="preserve"> distance from the flood zone and the distance to the actual locations of flooding. We </w:t>
      </w:r>
      <w:r w:rsidR="007D4925">
        <w:rPr>
          <w:rFonts w:ascii="Times New Roman" w:hAnsi="Times New Roman" w:cs="Times New Roman"/>
          <w:sz w:val="24"/>
          <w:szCs w:val="24"/>
        </w:rPr>
        <w:t xml:space="preserve">use a difference-in-differences approach to </w:t>
      </w:r>
      <w:r w:rsidRPr="002C6D09">
        <w:rPr>
          <w:rFonts w:ascii="Times New Roman" w:hAnsi="Times New Roman" w:cs="Times New Roman"/>
          <w:sz w:val="24"/>
          <w:szCs w:val="24"/>
        </w:rPr>
        <w:t xml:space="preserve">quantify the effects of these shocks on </w:t>
      </w:r>
      <w:r w:rsidR="00066F1A">
        <w:rPr>
          <w:rFonts w:ascii="Times New Roman" w:hAnsi="Times New Roman" w:cs="Times New Roman"/>
          <w:sz w:val="24"/>
          <w:szCs w:val="24"/>
        </w:rPr>
        <w:t xml:space="preserve">residential </w:t>
      </w:r>
      <w:r w:rsidRPr="002C6D09">
        <w:rPr>
          <w:rFonts w:ascii="Times New Roman" w:hAnsi="Times New Roman" w:cs="Times New Roman"/>
          <w:sz w:val="24"/>
          <w:szCs w:val="24"/>
        </w:rPr>
        <w:t>property values</w:t>
      </w:r>
      <w:r w:rsidR="005D3815">
        <w:rPr>
          <w:rFonts w:ascii="Times New Roman" w:hAnsi="Times New Roman" w:cs="Times New Roman"/>
          <w:sz w:val="24"/>
          <w:szCs w:val="24"/>
        </w:rPr>
        <w:t xml:space="preserve"> for dry (non-flooded) properties </w:t>
      </w:r>
      <w:r w:rsidRPr="002C6D09">
        <w:rPr>
          <w:rFonts w:ascii="Times New Roman" w:hAnsi="Times New Roman" w:cs="Times New Roman"/>
          <w:sz w:val="24"/>
          <w:szCs w:val="24"/>
        </w:rPr>
        <w:t>in New York City</w:t>
      </w:r>
      <w:r w:rsidR="008656F5" w:rsidRPr="002C6D09">
        <w:rPr>
          <w:rFonts w:ascii="Times New Roman" w:hAnsi="Times New Roman" w:cs="Times New Roman"/>
          <w:sz w:val="24"/>
          <w:szCs w:val="24"/>
        </w:rPr>
        <w:t xml:space="preserve"> for Hurricane Sandy</w:t>
      </w:r>
      <w:r w:rsidRPr="002C6D09">
        <w:rPr>
          <w:rFonts w:ascii="Times New Roman" w:hAnsi="Times New Roman" w:cs="Times New Roman"/>
          <w:sz w:val="24"/>
          <w:szCs w:val="24"/>
        </w:rPr>
        <w:t>.</w:t>
      </w:r>
      <w:r w:rsidR="003E591B">
        <w:rPr>
          <w:rFonts w:ascii="Times New Roman" w:hAnsi="Times New Roman" w:cs="Times New Roman"/>
          <w:sz w:val="24"/>
          <w:szCs w:val="24"/>
        </w:rPr>
        <w:t xml:space="preserve"> The average effect of a </w:t>
      </w:r>
      <w:r w:rsidR="00135FBD">
        <w:rPr>
          <w:rFonts w:ascii="Times New Roman" w:hAnsi="Times New Roman" w:cs="Times New Roman"/>
          <w:sz w:val="24"/>
          <w:szCs w:val="24"/>
        </w:rPr>
        <w:t>nega</w:t>
      </w:r>
      <w:r w:rsidR="006322B8">
        <w:rPr>
          <w:rFonts w:ascii="Times New Roman" w:hAnsi="Times New Roman" w:cs="Times New Roman"/>
          <w:sz w:val="24"/>
          <w:szCs w:val="24"/>
        </w:rPr>
        <w:t>tive “surprise”</w:t>
      </w:r>
      <w:r w:rsidR="00581AB1">
        <w:rPr>
          <w:rFonts w:ascii="Times New Roman" w:hAnsi="Times New Roman" w:cs="Times New Roman"/>
          <w:sz w:val="24"/>
          <w:szCs w:val="24"/>
        </w:rPr>
        <w:t xml:space="preserve"> </w:t>
      </w:r>
      <w:r w:rsidR="00092462">
        <w:rPr>
          <w:rFonts w:ascii="Times New Roman" w:hAnsi="Times New Roman" w:cs="Times New Roman"/>
          <w:sz w:val="24"/>
          <w:szCs w:val="24"/>
        </w:rPr>
        <w:t xml:space="preserve">was to </w:t>
      </w:r>
      <w:r w:rsidR="00C351C1">
        <w:rPr>
          <w:rFonts w:ascii="Times New Roman" w:hAnsi="Times New Roman" w:cs="Times New Roman"/>
          <w:sz w:val="24"/>
          <w:szCs w:val="24"/>
        </w:rPr>
        <w:t>increase</w:t>
      </w:r>
      <w:r w:rsidR="006322B8">
        <w:rPr>
          <w:rFonts w:ascii="Times New Roman" w:hAnsi="Times New Roman" w:cs="Times New Roman"/>
          <w:sz w:val="24"/>
          <w:szCs w:val="24"/>
        </w:rPr>
        <w:t xml:space="preserve"> house prices</w:t>
      </w:r>
      <w:r w:rsidR="0023549F">
        <w:rPr>
          <w:rFonts w:ascii="Times New Roman" w:hAnsi="Times New Roman" w:cs="Times New Roman"/>
          <w:sz w:val="24"/>
          <w:szCs w:val="24"/>
        </w:rPr>
        <w:t xml:space="preserve"> by about 9% per mile</w:t>
      </w:r>
      <w:r w:rsidR="00C351C1">
        <w:rPr>
          <w:rFonts w:ascii="Times New Roman" w:hAnsi="Times New Roman" w:cs="Times New Roman"/>
          <w:sz w:val="24"/>
          <w:szCs w:val="24"/>
        </w:rPr>
        <w:t xml:space="preserve"> further away from the storm</w:t>
      </w:r>
      <w:r w:rsidR="009F6BD8">
        <w:rPr>
          <w:rFonts w:ascii="Times New Roman" w:hAnsi="Times New Roman" w:cs="Times New Roman"/>
          <w:sz w:val="24"/>
          <w:szCs w:val="24"/>
        </w:rPr>
        <w:t>.</w:t>
      </w:r>
      <w:r w:rsidR="006322B8">
        <w:rPr>
          <w:rFonts w:ascii="Times New Roman" w:hAnsi="Times New Roman" w:cs="Times New Roman"/>
          <w:sz w:val="24"/>
          <w:szCs w:val="24"/>
        </w:rPr>
        <w:t xml:space="preserve"> </w:t>
      </w:r>
      <w:r w:rsidR="00653231">
        <w:rPr>
          <w:rFonts w:ascii="Times New Roman" w:hAnsi="Times New Roman" w:cs="Times New Roman"/>
          <w:sz w:val="24"/>
          <w:szCs w:val="24"/>
        </w:rPr>
        <w:t>T</w:t>
      </w:r>
      <w:r w:rsidR="006322B8">
        <w:rPr>
          <w:rFonts w:ascii="Times New Roman" w:hAnsi="Times New Roman" w:cs="Times New Roman"/>
          <w:sz w:val="24"/>
          <w:szCs w:val="24"/>
        </w:rPr>
        <w:t>he corresponding</w:t>
      </w:r>
      <w:r w:rsidR="00C127AD">
        <w:rPr>
          <w:rFonts w:ascii="Times New Roman" w:hAnsi="Times New Roman" w:cs="Times New Roman"/>
          <w:sz w:val="24"/>
          <w:szCs w:val="24"/>
        </w:rPr>
        <w:t xml:space="preserve"> </w:t>
      </w:r>
      <w:r w:rsidR="00D82BCB">
        <w:rPr>
          <w:rFonts w:ascii="Times New Roman" w:hAnsi="Times New Roman" w:cs="Times New Roman"/>
          <w:sz w:val="24"/>
          <w:szCs w:val="24"/>
        </w:rPr>
        <w:t>posi</w:t>
      </w:r>
      <w:r w:rsidR="006322B8">
        <w:rPr>
          <w:rFonts w:ascii="Times New Roman" w:hAnsi="Times New Roman" w:cs="Times New Roman"/>
          <w:sz w:val="24"/>
          <w:szCs w:val="24"/>
        </w:rPr>
        <w:t xml:space="preserve">tive “surprise” effect is </w:t>
      </w:r>
      <w:r w:rsidR="00D82BCB">
        <w:rPr>
          <w:rFonts w:ascii="Times New Roman" w:hAnsi="Times New Roman" w:cs="Times New Roman"/>
          <w:sz w:val="24"/>
          <w:szCs w:val="24"/>
        </w:rPr>
        <w:t>statistically insignificant</w:t>
      </w:r>
      <w:r w:rsidR="006322B8">
        <w:rPr>
          <w:rFonts w:ascii="Times New Roman" w:hAnsi="Times New Roman" w:cs="Times New Roman"/>
          <w:sz w:val="24"/>
          <w:szCs w:val="24"/>
        </w:rPr>
        <w:t>.</w:t>
      </w:r>
      <w:r w:rsidRPr="002C6D09">
        <w:rPr>
          <w:rFonts w:ascii="Times New Roman" w:hAnsi="Times New Roman" w:cs="Times New Roman"/>
          <w:sz w:val="24"/>
          <w:szCs w:val="24"/>
        </w:rPr>
        <w:t xml:space="preserve"> </w:t>
      </w:r>
    </w:p>
    <w:bookmarkEnd w:id="2"/>
    <w:p w14:paraId="5E3F63B3" w14:textId="77777777" w:rsidR="006B5C3E" w:rsidRDefault="006B5C3E" w:rsidP="006648F5">
      <w:pPr>
        <w:pStyle w:val="NoSpacing"/>
        <w:rPr>
          <w:rFonts w:ascii="Times New Roman" w:hAnsi="Times New Roman" w:cs="Times New Roman"/>
          <w:i/>
          <w:sz w:val="24"/>
          <w:szCs w:val="24"/>
        </w:rPr>
      </w:pPr>
    </w:p>
    <w:p w14:paraId="10E71266" w14:textId="6EA5807E" w:rsidR="00C21F72" w:rsidRPr="002C6D09" w:rsidRDefault="005C2F54" w:rsidP="006648F5">
      <w:pPr>
        <w:pStyle w:val="NoSpacing"/>
        <w:rPr>
          <w:rFonts w:ascii="Times New Roman" w:hAnsi="Times New Roman" w:cs="Times New Roman"/>
          <w:sz w:val="24"/>
          <w:szCs w:val="24"/>
        </w:rPr>
      </w:pPr>
      <w:r w:rsidRPr="002C6D09">
        <w:rPr>
          <w:rFonts w:ascii="Times New Roman" w:hAnsi="Times New Roman" w:cs="Times New Roman"/>
          <w:i/>
          <w:sz w:val="24"/>
          <w:szCs w:val="24"/>
        </w:rPr>
        <w:t>Key words</w:t>
      </w:r>
      <w:r w:rsidRPr="002C6D09">
        <w:rPr>
          <w:rFonts w:ascii="Times New Roman" w:hAnsi="Times New Roman" w:cs="Times New Roman"/>
          <w:sz w:val="24"/>
          <w:szCs w:val="24"/>
        </w:rPr>
        <w:t xml:space="preserve">: Hurricane Sandy, </w:t>
      </w:r>
      <w:r w:rsidR="00E840F4" w:rsidRPr="002C6D09">
        <w:rPr>
          <w:rFonts w:ascii="Times New Roman" w:hAnsi="Times New Roman" w:cs="Times New Roman"/>
          <w:sz w:val="24"/>
          <w:szCs w:val="24"/>
        </w:rPr>
        <w:t xml:space="preserve">Storm Surges, </w:t>
      </w:r>
      <w:r w:rsidR="00A85073" w:rsidRPr="002C6D09">
        <w:rPr>
          <w:rFonts w:ascii="Times New Roman" w:hAnsi="Times New Roman" w:cs="Times New Roman"/>
          <w:sz w:val="24"/>
          <w:szCs w:val="24"/>
        </w:rPr>
        <w:t xml:space="preserve">New York City, </w:t>
      </w:r>
      <w:r w:rsidRPr="002C6D09">
        <w:rPr>
          <w:rFonts w:ascii="Times New Roman" w:hAnsi="Times New Roman" w:cs="Times New Roman"/>
          <w:sz w:val="24"/>
          <w:szCs w:val="24"/>
        </w:rPr>
        <w:t>Real Estate Prices</w:t>
      </w:r>
    </w:p>
    <w:p w14:paraId="0BB98F3A" w14:textId="3C4105DC" w:rsidR="005C2F54" w:rsidRPr="002C6D09" w:rsidRDefault="005C2F54" w:rsidP="006648F5">
      <w:pPr>
        <w:pStyle w:val="NoSpacing"/>
        <w:rPr>
          <w:rFonts w:ascii="Times New Roman" w:hAnsi="Times New Roman" w:cs="Times New Roman"/>
          <w:sz w:val="24"/>
          <w:szCs w:val="24"/>
        </w:rPr>
      </w:pPr>
      <w:r w:rsidRPr="002C6D09">
        <w:rPr>
          <w:rFonts w:ascii="Times New Roman" w:hAnsi="Times New Roman" w:cs="Times New Roman"/>
          <w:sz w:val="24"/>
          <w:szCs w:val="24"/>
        </w:rPr>
        <w:t>JEL Classification: R3</w:t>
      </w:r>
    </w:p>
    <w:p w14:paraId="68B85213" w14:textId="0B415B72" w:rsidR="009433E5" w:rsidRDefault="009433E5">
      <w:pPr>
        <w:rPr>
          <w:rFonts w:ascii="Times New Roman" w:hAnsi="Times New Roman" w:cs="Times New Roman"/>
          <w:sz w:val="24"/>
          <w:szCs w:val="24"/>
        </w:rPr>
      </w:pPr>
      <w:r>
        <w:rPr>
          <w:rFonts w:ascii="Times New Roman" w:hAnsi="Times New Roman" w:cs="Times New Roman"/>
          <w:sz w:val="24"/>
          <w:szCs w:val="24"/>
        </w:rPr>
        <w:br w:type="page"/>
      </w:r>
    </w:p>
    <w:p w14:paraId="023190FA" w14:textId="77777777" w:rsidR="00C21F72" w:rsidRPr="002C6D09" w:rsidRDefault="003E761D" w:rsidP="00EA544C">
      <w:pPr>
        <w:pStyle w:val="ListParagraph"/>
        <w:numPr>
          <w:ilvl w:val="0"/>
          <w:numId w:val="12"/>
        </w:numPr>
        <w:rPr>
          <w:rFonts w:ascii="Times New Roman" w:hAnsi="Times New Roman" w:cs="Times New Roman"/>
          <w:sz w:val="24"/>
          <w:szCs w:val="24"/>
        </w:rPr>
      </w:pPr>
      <w:r w:rsidRPr="002C6D09">
        <w:rPr>
          <w:rFonts w:ascii="Times New Roman" w:hAnsi="Times New Roman" w:cs="Times New Roman"/>
          <w:b/>
          <w:sz w:val="24"/>
          <w:szCs w:val="24"/>
        </w:rPr>
        <w:lastRenderedPageBreak/>
        <w:t>Introduction</w:t>
      </w:r>
    </w:p>
    <w:p w14:paraId="429373C7" w14:textId="77777777" w:rsidR="00FE6D2E" w:rsidRPr="002C6D09" w:rsidRDefault="00FE6D2E" w:rsidP="00113F35">
      <w:pPr>
        <w:pStyle w:val="NoSpacing"/>
        <w:rPr>
          <w:rFonts w:ascii="Times New Roman" w:hAnsi="Times New Roman" w:cs="Times New Roman"/>
          <w:sz w:val="24"/>
          <w:szCs w:val="24"/>
        </w:rPr>
      </w:pPr>
    </w:p>
    <w:p w14:paraId="2DCD7289" w14:textId="11ABCAAF" w:rsidR="009C59A8" w:rsidRPr="006C45BF" w:rsidRDefault="00C14633" w:rsidP="006C45BF">
      <w:pPr>
        <w:pStyle w:val="NoSpacing"/>
        <w:spacing w:line="480" w:lineRule="auto"/>
        <w:jc w:val="both"/>
        <w:rPr>
          <w:rFonts w:ascii="Times New Roman" w:hAnsi="Times New Roman" w:cs="Times New Roman"/>
          <w:sz w:val="24"/>
          <w:szCs w:val="24"/>
        </w:rPr>
      </w:pPr>
      <w:r w:rsidRPr="006C45BF">
        <w:rPr>
          <w:rFonts w:ascii="Times New Roman" w:hAnsi="Times New Roman" w:cs="Times New Roman"/>
          <w:sz w:val="24"/>
          <w:szCs w:val="24"/>
        </w:rPr>
        <w:t>Over the past decade,</w:t>
      </w:r>
      <w:r w:rsidR="000D2F43" w:rsidRPr="006C45BF">
        <w:rPr>
          <w:rFonts w:ascii="Times New Roman" w:hAnsi="Times New Roman" w:cs="Times New Roman"/>
          <w:sz w:val="24"/>
          <w:szCs w:val="24"/>
        </w:rPr>
        <w:t xml:space="preserve"> hurricanes in the U</w:t>
      </w:r>
      <w:r w:rsidR="00F1709D" w:rsidRPr="006C45BF">
        <w:rPr>
          <w:rFonts w:ascii="Times New Roman" w:hAnsi="Times New Roman" w:cs="Times New Roman"/>
          <w:sz w:val="24"/>
          <w:szCs w:val="24"/>
        </w:rPr>
        <w:t>nited States</w:t>
      </w:r>
      <w:r w:rsidR="000D2F43" w:rsidRPr="006C45BF">
        <w:rPr>
          <w:rFonts w:ascii="Times New Roman" w:hAnsi="Times New Roman" w:cs="Times New Roman"/>
          <w:sz w:val="24"/>
          <w:szCs w:val="24"/>
        </w:rPr>
        <w:t>, including 2017 in Houston (Hurricane Harvey)</w:t>
      </w:r>
      <w:r w:rsidR="00756078" w:rsidRPr="006C45BF">
        <w:rPr>
          <w:rFonts w:ascii="Times New Roman" w:hAnsi="Times New Roman" w:cs="Times New Roman"/>
          <w:sz w:val="24"/>
          <w:szCs w:val="24"/>
        </w:rPr>
        <w:t xml:space="preserve"> and Florida (Irma),</w:t>
      </w:r>
      <w:r w:rsidR="000D2F43" w:rsidRPr="006C45BF">
        <w:rPr>
          <w:rFonts w:ascii="Times New Roman" w:hAnsi="Times New Roman" w:cs="Times New Roman"/>
          <w:sz w:val="24"/>
          <w:szCs w:val="24"/>
        </w:rPr>
        <w:t xml:space="preserve"> and 2012 in New York City (Hurricane Sandy)</w:t>
      </w:r>
      <w:r w:rsidR="001D7D0E" w:rsidRPr="006C45BF">
        <w:rPr>
          <w:rFonts w:ascii="Times New Roman" w:hAnsi="Times New Roman" w:cs="Times New Roman"/>
          <w:sz w:val="24"/>
          <w:szCs w:val="24"/>
        </w:rPr>
        <w:t>,</w:t>
      </w:r>
      <w:r w:rsidR="000D2F43" w:rsidRPr="006C45BF">
        <w:rPr>
          <w:rFonts w:ascii="Times New Roman" w:hAnsi="Times New Roman" w:cs="Times New Roman"/>
          <w:sz w:val="24"/>
          <w:szCs w:val="24"/>
        </w:rPr>
        <w:t xml:space="preserve"> are examples of how flooding damage can unexpectedly extend beyond the Federal Emergency Management Agency (FEMA) designated flood zones.</w:t>
      </w:r>
      <w:r w:rsidR="000D2F43" w:rsidRPr="006C45BF">
        <w:rPr>
          <w:rStyle w:val="FootnoteReference"/>
          <w:rFonts w:ascii="Times New Roman" w:hAnsi="Times New Roman" w:cs="Times New Roman"/>
          <w:sz w:val="24"/>
          <w:szCs w:val="24"/>
        </w:rPr>
        <w:footnoteReference w:id="2"/>
      </w:r>
      <w:r w:rsidR="000D2F43" w:rsidRPr="006C45BF">
        <w:rPr>
          <w:rFonts w:ascii="Times New Roman" w:hAnsi="Times New Roman" w:cs="Times New Roman"/>
          <w:sz w:val="24"/>
          <w:szCs w:val="24"/>
        </w:rPr>
        <w:t xml:space="preserve"> Such surprises or shocks can provide property owners—including those that were not flooded—with new information about future flood risks, based on the difference between the distance of their properties from the flood zone and the distance to the actual locations of flooding. We quantify the effects of these shocks on property values for non-flooded properties. </w:t>
      </w:r>
    </w:p>
    <w:p w14:paraId="62CBCE06" w14:textId="44B86461" w:rsidR="00F17359" w:rsidRPr="006C45BF" w:rsidRDefault="00F1709D" w:rsidP="006C45BF">
      <w:pPr>
        <w:pStyle w:val="NoSpacing"/>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Hurricanes, of course, can i</w:t>
      </w:r>
      <w:r w:rsidR="006D2D87" w:rsidRPr="006C45BF">
        <w:rPr>
          <w:rFonts w:ascii="Times New Roman" w:hAnsi="Times New Roman" w:cs="Times New Roman"/>
          <w:sz w:val="24"/>
          <w:szCs w:val="24"/>
        </w:rPr>
        <w:t>mpose costly damage.</w:t>
      </w:r>
      <w:r w:rsidR="000D2F43" w:rsidRPr="006C45BF">
        <w:rPr>
          <w:rFonts w:ascii="Times New Roman" w:hAnsi="Times New Roman" w:cs="Times New Roman"/>
          <w:sz w:val="24"/>
          <w:szCs w:val="24"/>
        </w:rPr>
        <w:t xml:space="preserve"> </w:t>
      </w:r>
      <w:r w:rsidRPr="006C45BF">
        <w:rPr>
          <w:rFonts w:ascii="Times New Roman" w:hAnsi="Times New Roman" w:cs="Times New Roman"/>
          <w:sz w:val="24"/>
          <w:szCs w:val="24"/>
        </w:rPr>
        <w:t xml:space="preserve">When Harvey </w:t>
      </w:r>
      <w:r w:rsidR="000D2F43" w:rsidRPr="006C45BF">
        <w:rPr>
          <w:rFonts w:ascii="Times New Roman" w:hAnsi="Times New Roman" w:cs="Times New Roman"/>
          <w:sz w:val="24"/>
          <w:szCs w:val="24"/>
        </w:rPr>
        <w:t>struck the Houston, Texas area in late-August 2017</w:t>
      </w:r>
      <w:r w:rsidRPr="006C45BF">
        <w:rPr>
          <w:rFonts w:ascii="Times New Roman" w:hAnsi="Times New Roman" w:cs="Times New Roman"/>
          <w:sz w:val="24"/>
          <w:szCs w:val="24"/>
        </w:rPr>
        <w:t xml:space="preserve">, </w:t>
      </w:r>
      <w:r w:rsidR="000D2F43" w:rsidRPr="006C45BF">
        <w:rPr>
          <w:rFonts w:ascii="Times New Roman" w:hAnsi="Times New Roman" w:cs="Times New Roman"/>
          <w:sz w:val="24"/>
          <w:szCs w:val="24"/>
        </w:rPr>
        <w:t xml:space="preserve">damage assessment </w:t>
      </w:r>
      <w:r w:rsidRPr="006C45BF">
        <w:rPr>
          <w:rFonts w:ascii="Times New Roman" w:hAnsi="Times New Roman" w:cs="Times New Roman"/>
          <w:sz w:val="24"/>
          <w:szCs w:val="24"/>
        </w:rPr>
        <w:t xml:space="preserve">was </w:t>
      </w:r>
      <w:r w:rsidR="004927ED" w:rsidRPr="006C45BF">
        <w:rPr>
          <w:rFonts w:ascii="Times New Roman" w:hAnsi="Times New Roman" w:cs="Times New Roman"/>
          <w:sz w:val="24"/>
          <w:szCs w:val="24"/>
        </w:rPr>
        <w:t>about</w:t>
      </w:r>
      <w:r w:rsidR="000D2F43" w:rsidRPr="006C45BF">
        <w:rPr>
          <w:rFonts w:ascii="Times New Roman" w:hAnsi="Times New Roman" w:cs="Times New Roman"/>
          <w:sz w:val="24"/>
          <w:szCs w:val="24"/>
        </w:rPr>
        <w:t xml:space="preserve"> $1</w:t>
      </w:r>
      <w:r w:rsidR="004927ED" w:rsidRPr="006C45BF">
        <w:rPr>
          <w:rFonts w:ascii="Times New Roman" w:hAnsi="Times New Roman" w:cs="Times New Roman"/>
          <w:sz w:val="24"/>
          <w:szCs w:val="24"/>
        </w:rPr>
        <w:t>25</w:t>
      </w:r>
      <w:r w:rsidR="000D2F43" w:rsidRPr="006C45BF">
        <w:rPr>
          <w:rFonts w:ascii="Times New Roman" w:hAnsi="Times New Roman" w:cs="Times New Roman"/>
          <w:sz w:val="24"/>
          <w:szCs w:val="24"/>
        </w:rPr>
        <w:t xml:space="preserve"> billion (</w:t>
      </w:r>
      <w:r w:rsidR="004927ED" w:rsidRPr="006C45BF">
        <w:rPr>
          <w:rFonts w:ascii="Times New Roman" w:hAnsi="Times New Roman" w:cs="Times New Roman"/>
          <w:sz w:val="24"/>
          <w:szCs w:val="24"/>
        </w:rPr>
        <w:t>Mooney</w:t>
      </w:r>
      <w:r w:rsidR="000D2F43" w:rsidRPr="006C45BF">
        <w:rPr>
          <w:rFonts w:ascii="Times New Roman" w:hAnsi="Times New Roman" w:cs="Times New Roman"/>
          <w:sz w:val="24"/>
          <w:szCs w:val="24"/>
        </w:rPr>
        <w:t>, 201</w:t>
      </w:r>
      <w:r w:rsidR="004927ED" w:rsidRPr="006C45BF">
        <w:rPr>
          <w:rFonts w:ascii="Times New Roman" w:hAnsi="Times New Roman" w:cs="Times New Roman"/>
          <w:sz w:val="24"/>
          <w:szCs w:val="24"/>
        </w:rPr>
        <w:t>8</w:t>
      </w:r>
      <w:r w:rsidR="000D2F43" w:rsidRPr="006C45BF">
        <w:rPr>
          <w:rFonts w:ascii="Times New Roman" w:hAnsi="Times New Roman" w:cs="Times New Roman"/>
          <w:sz w:val="24"/>
          <w:szCs w:val="24"/>
        </w:rPr>
        <w:t>)</w:t>
      </w:r>
      <w:r w:rsidRPr="006C45BF">
        <w:rPr>
          <w:rFonts w:ascii="Times New Roman" w:hAnsi="Times New Roman" w:cs="Times New Roman"/>
          <w:sz w:val="24"/>
          <w:szCs w:val="24"/>
        </w:rPr>
        <w:t>.</w:t>
      </w:r>
      <w:r w:rsidR="000D2F43" w:rsidRPr="006C45BF">
        <w:rPr>
          <w:rFonts w:ascii="Times New Roman" w:hAnsi="Times New Roman" w:cs="Times New Roman"/>
          <w:sz w:val="24"/>
          <w:szCs w:val="24"/>
        </w:rPr>
        <w:t xml:space="preserve"> In early September 2017, Hurricane Irma hit Florida, with waist-deep flooding in downtown Miami (Sun-Sentinel, 2017). The total costs of Irma </w:t>
      </w:r>
      <w:r w:rsidRPr="006C45BF">
        <w:rPr>
          <w:rFonts w:ascii="Times New Roman" w:hAnsi="Times New Roman" w:cs="Times New Roman"/>
          <w:sz w:val="24"/>
          <w:szCs w:val="24"/>
        </w:rPr>
        <w:t>w</w:t>
      </w:r>
      <w:r w:rsidR="00FB1291" w:rsidRPr="006C45BF">
        <w:rPr>
          <w:rFonts w:ascii="Times New Roman" w:hAnsi="Times New Roman" w:cs="Times New Roman"/>
          <w:sz w:val="24"/>
          <w:szCs w:val="24"/>
        </w:rPr>
        <w:t>ere</w:t>
      </w:r>
      <w:r w:rsidRPr="006C45BF">
        <w:rPr>
          <w:rFonts w:ascii="Times New Roman" w:hAnsi="Times New Roman" w:cs="Times New Roman"/>
          <w:sz w:val="24"/>
          <w:szCs w:val="24"/>
        </w:rPr>
        <w:t xml:space="preserve"> estimated </w:t>
      </w:r>
      <w:r w:rsidR="004927ED" w:rsidRPr="006C45BF">
        <w:rPr>
          <w:rFonts w:ascii="Times New Roman" w:hAnsi="Times New Roman" w:cs="Times New Roman"/>
          <w:sz w:val="24"/>
          <w:szCs w:val="24"/>
        </w:rPr>
        <w:t>to be about $50 billion</w:t>
      </w:r>
      <w:r w:rsidR="000D2F43" w:rsidRPr="006C45BF">
        <w:rPr>
          <w:rFonts w:ascii="Times New Roman" w:hAnsi="Times New Roman" w:cs="Times New Roman"/>
          <w:sz w:val="24"/>
          <w:szCs w:val="24"/>
        </w:rPr>
        <w:t xml:space="preserve"> (</w:t>
      </w:r>
      <w:r w:rsidR="004927ED" w:rsidRPr="006C45BF">
        <w:rPr>
          <w:rFonts w:ascii="Times New Roman" w:hAnsi="Times New Roman" w:cs="Times New Roman"/>
          <w:sz w:val="24"/>
          <w:szCs w:val="24"/>
        </w:rPr>
        <w:t>National Hurricane Center, 2018</w:t>
      </w:r>
      <w:r w:rsidR="000D2F43" w:rsidRPr="006C45BF">
        <w:rPr>
          <w:rFonts w:ascii="Times New Roman" w:hAnsi="Times New Roman" w:cs="Times New Roman"/>
          <w:sz w:val="24"/>
          <w:szCs w:val="24"/>
        </w:rPr>
        <w:t xml:space="preserve">). </w:t>
      </w:r>
    </w:p>
    <w:p w14:paraId="1BC135BE" w14:textId="14E6D6D2" w:rsidR="000D2F43" w:rsidRPr="006C45BF" w:rsidRDefault="000D2F43" w:rsidP="006C45BF">
      <w:pPr>
        <w:pStyle w:val="NoSpacing"/>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On a somewhat smaller but nevertheless dramatic scale, on October 29, 2012, Hurricane Sandy made landfall in New York City</w:t>
      </w:r>
      <w:r w:rsidR="00F1709D" w:rsidRPr="006C45BF">
        <w:rPr>
          <w:rFonts w:ascii="Times New Roman" w:hAnsi="Times New Roman" w:cs="Times New Roman"/>
          <w:sz w:val="24"/>
          <w:szCs w:val="24"/>
        </w:rPr>
        <w:t>. It</w:t>
      </w:r>
      <w:r w:rsidRPr="006C45BF">
        <w:rPr>
          <w:rFonts w:ascii="Times New Roman" w:hAnsi="Times New Roman" w:cs="Times New Roman"/>
          <w:sz w:val="24"/>
          <w:szCs w:val="24"/>
        </w:rPr>
        <w:t xml:space="preserve"> was arguably the largest and most damaging storm to hit the New York metropolitan region. </w:t>
      </w:r>
      <w:r w:rsidR="00F17359" w:rsidRPr="006C45BF">
        <w:rPr>
          <w:rFonts w:ascii="Times New Roman" w:hAnsi="Times New Roman" w:cs="Times New Roman"/>
          <w:sz w:val="24"/>
          <w:szCs w:val="24"/>
        </w:rPr>
        <w:t xml:space="preserve">There were </w:t>
      </w:r>
      <w:r w:rsidRPr="006C45BF">
        <w:rPr>
          <w:rFonts w:ascii="Times New Roman" w:hAnsi="Times New Roman" w:cs="Times New Roman"/>
          <w:sz w:val="24"/>
          <w:szCs w:val="24"/>
        </w:rPr>
        <w:t xml:space="preserve">65 deaths in New York, New Jersey and Connecticut </w:t>
      </w:r>
      <w:r w:rsidR="00F17359" w:rsidRPr="006C45BF">
        <w:rPr>
          <w:rFonts w:ascii="Times New Roman" w:hAnsi="Times New Roman" w:cs="Times New Roman"/>
          <w:sz w:val="24"/>
          <w:szCs w:val="24"/>
        </w:rPr>
        <w:t>relate</w:t>
      </w:r>
      <w:r w:rsidRPr="006C45BF">
        <w:rPr>
          <w:rFonts w:ascii="Times New Roman" w:hAnsi="Times New Roman" w:cs="Times New Roman"/>
          <w:sz w:val="24"/>
          <w:szCs w:val="24"/>
        </w:rPr>
        <w:t xml:space="preserve">d to the storm. The surge level at Battery Park in lower Manhattan topped out at 13.88 feet at 9:24 pm, surpassing the old record of 10.02 feet, set by Hurricane Donna in 1960 </w:t>
      </w:r>
      <w:r w:rsidRPr="006C45BF">
        <w:rPr>
          <w:rFonts w:ascii="Times New Roman" w:hAnsi="Times New Roman" w:cs="Times New Roman"/>
          <w:sz w:val="24"/>
          <w:szCs w:val="24"/>
        </w:rPr>
        <w:lastRenderedPageBreak/>
        <w:t>(CNN, 2013).</w:t>
      </w:r>
      <w:r w:rsidRPr="006C45BF">
        <w:rPr>
          <w:rStyle w:val="FootnoteReference"/>
          <w:rFonts w:ascii="Times New Roman" w:hAnsi="Times New Roman" w:cs="Times New Roman"/>
          <w:sz w:val="24"/>
          <w:szCs w:val="24"/>
        </w:rPr>
        <w:t xml:space="preserve"> </w:t>
      </w:r>
      <w:r w:rsidRPr="006C45BF">
        <w:rPr>
          <w:rFonts w:ascii="Times New Roman" w:hAnsi="Times New Roman" w:cs="Times New Roman"/>
          <w:sz w:val="24"/>
          <w:szCs w:val="24"/>
        </w:rPr>
        <w:t xml:space="preserve"> Estimates of total losses for New York City alone were about $19 billion, and $33 billion for the entire state.</w:t>
      </w:r>
      <w:r w:rsidRPr="006C45BF">
        <w:rPr>
          <w:rStyle w:val="FootnoteReference"/>
          <w:rFonts w:ascii="Times New Roman" w:hAnsi="Times New Roman" w:cs="Times New Roman"/>
          <w:sz w:val="24"/>
          <w:szCs w:val="24"/>
        </w:rPr>
        <w:footnoteReference w:id="3"/>
      </w:r>
      <w:r w:rsidRPr="006C45BF">
        <w:rPr>
          <w:rFonts w:ascii="Times New Roman" w:hAnsi="Times New Roman" w:cs="Times New Roman"/>
          <w:sz w:val="24"/>
          <w:szCs w:val="24"/>
        </w:rPr>
        <w:t xml:space="preserve"> </w:t>
      </w:r>
    </w:p>
    <w:p w14:paraId="131F6EC2" w14:textId="1F441048" w:rsidR="000D2F43" w:rsidRPr="006C45BF" w:rsidRDefault="000D2F43" w:rsidP="006C45BF">
      <w:pPr>
        <w:pStyle w:val="NoSpacing"/>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 xml:space="preserve">Studies to date have focused on estimating the cost of the damage—how much did the storm destroy in terms of market value or replacement costs (ESA, 2013). However, to our knowledge, </w:t>
      </w:r>
      <w:r w:rsidR="000D0704" w:rsidRPr="006C45BF">
        <w:rPr>
          <w:rFonts w:ascii="Times New Roman" w:hAnsi="Times New Roman" w:cs="Times New Roman"/>
          <w:sz w:val="24"/>
          <w:szCs w:val="24"/>
        </w:rPr>
        <w:t>relatively less</w:t>
      </w:r>
      <w:r w:rsidRPr="006C45BF">
        <w:rPr>
          <w:rFonts w:ascii="Times New Roman" w:hAnsi="Times New Roman" w:cs="Times New Roman"/>
          <w:sz w:val="24"/>
          <w:szCs w:val="24"/>
        </w:rPr>
        <w:t xml:space="preserve"> work has explored the implicit costs of storm surges on the value of real estate in the city for properties </w:t>
      </w:r>
      <w:r w:rsidRPr="006C45BF">
        <w:rPr>
          <w:rFonts w:ascii="Times New Roman" w:hAnsi="Times New Roman" w:cs="Times New Roman"/>
          <w:i/>
          <w:sz w:val="24"/>
          <w:szCs w:val="24"/>
        </w:rPr>
        <w:t>that were not damaged by the surge</w:t>
      </w:r>
      <w:r w:rsidRPr="006C45BF">
        <w:rPr>
          <w:rFonts w:ascii="Times New Roman" w:hAnsi="Times New Roman" w:cs="Times New Roman"/>
          <w:sz w:val="24"/>
          <w:szCs w:val="24"/>
        </w:rPr>
        <w:t>. Understanding how the flooding affected the properties that remained dry is important because it can give clues to how the market perceives the future risks of storm surges that are likely to occur more frequently over time. Which neighborhoods reacted the most and why? This paper investigate</w:t>
      </w:r>
      <w:r w:rsidR="006D2D87" w:rsidRPr="006C45BF">
        <w:rPr>
          <w:rFonts w:ascii="Times New Roman" w:hAnsi="Times New Roman" w:cs="Times New Roman"/>
          <w:sz w:val="24"/>
          <w:szCs w:val="24"/>
        </w:rPr>
        <w:t>s</w:t>
      </w:r>
      <w:r w:rsidRPr="006C45BF">
        <w:rPr>
          <w:rFonts w:ascii="Times New Roman" w:hAnsi="Times New Roman" w:cs="Times New Roman"/>
          <w:sz w:val="24"/>
          <w:szCs w:val="24"/>
        </w:rPr>
        <w:t xml:space="preserve"> real estate price volatility due to </w:t>
      </w:r>
      <w:r w:rsidR="00642C8B">
        <w:rPr>
          <w:rFonts w:ascii="Times New Roman" w:hAnsi="Times New Roman" w:cs="Times New Roman"/>
          <w:sz w:val="24"/>
          <w:szCs w:val="24"/>
        </w:rPr>
        <w:t>the shock from the storm surge</w:t>
      </w:r>
      <w:r w:rsidRPr="006C45BF">
        <w:rPr>
          <w:rFonts w:ascii="Times New Roman" w:hAnsi="Times New Roman" w:cs="Times New Roman"/>
          <w:sz w:val="24"/>
          <w:szCs w:val="24"/>
        </w:rPr>
        <w:t>s, by focusing on changes in real estate prices for those properties not directly flooded.</w:t>
      </w:r>
    </w:p>
    <w:p w14:paraId="1D02F21E" w14:textId="77777777" w:rsidR="009F6BD8" w:rsidRDefault="00E63C2F" w:rsidP="006C45B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w:t>
      </w:r>
      <w:r w:rsidR="0085550A">
        <w:rPr>
          <w:rFonts w:ascii="Times New Roman" w:hAnsi="Times New Roman" w:cs="Times New Roman"/>
          <w:sz w:val="24"/>
          <w:szCs w:val="24"/>
        </w:rPr>
        <w:t>focus</w:t>
      </w:r>
      <w:r w:rsidR="0089068B">
        <w:rPr>
          <w:rFonts w:ascii="Times New Roman" w:hAnsi="Times New Roman" w:cs="Times New Roman"/>
          <w:sz w:val="24"/>
          <w:szCs w:val="24"/>
        </w:rPr>
        <w:t xml:space="preserve"> is</w:t>
      </w:r>
      <w:r w:rsidR="00AA57BC">
        <w:rPr>
          <w:rFonts w:ascii="Times New Roman" w:hAnsi="Times New Roman" w:cs="Times New Roman"/>
          <w:sz w:val="24"/>
          <w:szCs w:val="24"/>
        </w:rPr>
        <w:t xml:space="preserve"> on</w:t>
      </w:r>
      <w:r w:rsidR="00DA1784">
        <w:rPr>
          <w:rFonts w:ascii="Times New Roman" w:hAnsi="Times New Roman" w:cs="Times New Roman"/>
          <w:sz w:val="24"/>
          <w:szCs w:val="24"/>
        </w:rPr>
        <w:t xml:space="preserve"> </w:t>
      </w:r>
      <w:r w:rsidR="0085550A">
        <w:rPr>
          <w:rFonts w:ascii="Times New Roman" w:hAnsi="Times New Roman" w:cs="Times New Roman"/>
          <w:sz w:val="24"/>
          <w:szCs w:val="24"/>
        </w:rPr>
        <w:t>the</w:t>
      </w:r>
      <w:r w:rsidR="00AA57BC">
        <w:rPr>
          <w:rFonts w:ascii="Times New Roman" w:hAnsi="Times New Roman" w:cs="Times New Roman"/>
          <w:sz w:val="24"/>
          <w:szCs w:val="24"/>
        </w:rPr>
        <w:t xml:space="preserve"> price</w:t>
      </w:r>
      <w:r w:rsidR="00690F1A">
        <w:rPr>
          <w:rFonts w:ascii="Times New Roman" w:hAnsi="Times New Roman" w:cs="Times New Roman"/>
          <w:sz w:val="24"/>
          <w:szCs w:val="24"/>
        </w:rPr>
        <w:t xml:space="preserve"> (or treatment</w:t>
      </w:r>
      <w:r>
        <w:rPr>
          <w:rFonts w:ascii="Times New Roman" w:hAnsi="Times New Roman" w:cs="Times New Roman"/>
          <w:sz w:val="24"/>
          <w:szCs w:val="24"/>
        </w:rPr>
        <w:t>)</w:t>
      </w:r>
      <w:r w:rsidR="00690F1A">
        <w:rPr>
          <w:rFonts w:ascii="Times New Roman" w:hAnsi="Times New Roman" w:cs="Times New Roman"/>
          <w:sz w:val="24"/>
          <w:szCs w:val="24"/>
        </w:rPr>
        <w:t xml:space="preserve"> effects</w:t>
      </w:r>
      <w:r w:rsidR="00AA57BC">
        <w:rPr>
          <w:rFonts w:ascii="Times New Roman" w:hAnsi="Times New Roman" w:cs="Times New Roman"/>
          <w:sz w:val="24"/>
          <w:szCs w:val="24"/>
        </w:rPr>
        <w:t xml:space="preserve"> of distance</w:t>
      </w:r>
      <w:r w:rsidR="0089068B">
        <w:rPr>
          <w:rFonts w:ascii="Times New Roman" w:hAnsi="Times New Roman" w:cs="Times New Roman"/>
          <w:sz w:val="24"/>
          <w:szCs w:val="24"/>
        </w:rPr>
        <w:t xml:space="preserve"> from the surge for</w:t>
      </w:r>
      <w:r w:rsidR="0085550A">
        <w:rPr>
          <w:rFonts w:ascii="Times New Roman" w:hAnsi="Times New Roman" w:cs="Times New Roman"/>
          <w:sz w:val="24"/>
          <w:szCs w:val="24"/>
        </w:rPr>
        <w:t xml:space="preserve"> non-flooded properties at least 1/8 mile from the surge but no more than 1 mile away from the surge</w:t>
      </w:r>
      <w:r w:rsidR="0089068B">
        <w:rPr>
          <w:rFonts w:ascii="Times New Roman" w:hAnsi="Times New Roman" w:cs="Times New Roman"/>
          <w:sz w:val="24"/>
          <w:szCs w:val="24"/>
        </w:rPr>
        <w:t>. W</w:t>
      </w:r>
      <w:r w:rsidR="0085550A">
        <w:rPr>
          <w:rFonts w:ascii="Times New Roman" w:hAnsi="Times New Roman" w:cs="Times New Roman"/>
          <w:sz w:val="24"/>
          <w:szCs w:val="24"/>
        </w:rPr>
        <w:t>e also consider</w:t>
      </w:r>
      <w:r w:rsidR="006D2D87" w:rsidRPr="006C45BF">
        <w:rPr>
          <w:rFonts w:ascii="Times New Roman" w:hAnsi="Times New Roman" w:cs="Times New Roman"/>
          <w:sz w:val="24"/>
          <w:szCs w:val="24"/>
        </w:rPr>
        <w:t xml:space="preserve"> how</w:t>
      </w:r>
      <w:r w:rsidR="00690F1A">
        <w:rPr>
          <w:rFonts w:ascii="Times New Roman" w:hAnsi="Times New Roman" w:cs="Times New Roman"/>
          <w:sz w:val="24"/>
          <w:szCs w:val="24"/>
        </w:rPr>
        <w:t xml:space="preserve"> these treatment effects</w:t>
      </w:r>
      <w:r w:rsidR="00915E85">
        <w:rPr>
          <w:rFonts w:ascii="Times New Roman" w:hAnsi="Times New Roman" w:cs="Times New Roman"/>
          <w:sz w:val="24"/>
          <w:szCs w:val="24"/>
        </w:rPr>
        <w:t xml:space="preserve"> are different for </w:t>
      </w:r>
      <w:r w:rsidR="00DE399B">
        <w:rPr>
          <w:rFonts w:ascii="Times New Roman" w:hAnsi="Times New Roman" w:cs="Times New Roman"/>
          <w:sz w:val="24"/>
          <w:szCs w:val="24"/>
        </w:rPr>
        <w:t xml:space="preserve">non-flooded </w:t>
      </w:r>
      <w:r w:rsidR="00915E85">
        <w:rPr>
          <w:rFonts w:ascii="Times New Roman" w:hAnsi="Times New Roman" w:cs="Times New Roman"/>
          <w:sz w:val="24"/>
          <w:szCs w:val="24"/>
        </w:rPr>
        <w:t xml:space="preserve">properties </w:t>
      </w:r>
      <w:r w:rsidR="00DE399B">
        <w:rPr>
          <w:rFonts w:ascii="Times New Roman" w:hAnsi="Times New Roman" w:cs="Times New Roman"/>
          <w:sz w:val="24"/>
          <w:szCs w:val="24"/>
        </w:rPr>
        <w:t xml:space="preserve">closer versus further </w:t>
      </w:r>
      <w:r w:rsidR="00343488">
        <w:rPr>
          <w:rFonts w:ascii="Times New Roman" w:hAnsi="Times New Roman" w:cs="Times New Roman"/>
          <w:sz w:val="24"/>
          <w:szCs w:val="24"/>
        </w:rPr>
        <w:t>from</w:t>
      </w:r>
      <w:r w:rsidR="006D2D87" w:rsidRPr="006C45BF">
        <w:rPr>
          <w:rFonts w:ascii="Times New Roman" w:hAnsi="Times New Roman" w:cs="Times New Roman"/>
          <w:sz w:val="24"/>
          <w:szCs w:val="24"/>
        </w:rPr>
        <w:t xml:space="preserve"> Sandy storm surge </w:t>
      </w:r>
      <w:r w:rsidR="00F933CD" w:rsidRPr="006C45BF">
        <w:rPr>
          <w:rFonts w:ascii="Times New Roman" w:hAnsi="Times New Roman" w:cs="Times New Roman"/>
          <w:sz w:val="24"/>
          <w:szCs w:val="24"/>
        </w:rPr>
        <w:t xml:space="preserve">locations </w:t>
      </w:r>
      <w:r w:rsidR="009F6BD8">
        <w:rPr>
          <w:rFonts w:ascii="Times New Roman" w:hAnsi="Times New Roman" w:cs="Times New Roman"/>
          <w:sz w:val="24"/>
          <w:szCs w:val="24"/>
        </w:rPr>
        <w:t xml:space="preserve">as </w:t>
      </w:r>
      <w:r w:rsidR="006D2D87" w:rsidRPr="006C45BF">
        <w:rPr>
          <w:rFonts w:ascii="Times New Roman" w:hAnsi="Times New Roman" w:cs="Times New Roman"/>
          <w:sz w:val="24"/>
          <w:szCs w:val="24"/>
        </w:rPr>
        <w:t xml:space="preserve">compared </w:t>
      </w:r>
      <w:r w:rsidR="009F6BD8">
        <w:rPr>
          <w:rFonts w:ascii="Times New Roman" w:hAnsi="Times New Roman" w:cs="Times New Roman"/>
          <w:sz w:val="24"/>
          <w:szCs w:val="24"/>
        </w:rPr>
        <w:t>vis a vis the</w:t>
      </w:r>
      <w:r w:rsidR="006D2D87" w:rsidRPr="006C45BF">
        <w:rPr>
          <w:rFonts w:ascii="Times New Roman" w:hAnsi="Times New Roman" w:cs="Times New Roman"/>
          <w:sz w:val="24"/>
          <w:szCs w:val="24"/>
        </w:rPr>
        <w:t xml:space="preserve"> </w:t>
      </w:r>
      <w:r w:rsidR="002A2138" w:rsidRPr="006C45BF">
        <w:rPr>
          <w:rFonts w:ascii="Times New Roman" w:hAnsi="Times New Roman" w:cs="Times New Roman"/>
          <w:sz w:val="24"/>
          <w:szCs w:val="24"/>
        </w:rPr>
        <w:t xml:space="preserve">insurance </w:t>
      </w:r>
      <w:r w:rsidR="006D2D87" w:rsidRPr="006C45BF">
        <w:rPr>
          <w:rFonts w:ascii="Times New Roman" w:hAnsi="Times New Roman" w:cs="Times New Roman"/>
          <w:sz w:val="24"/>
          <w:szCs w:val="24"/>
        </w:rPr>
        <w:t>flood</w:t>
      </w:r>
      <w:r w:rsidR="009F6BD8">
        <w:rPr>
          <w:rFonts w:ascii="Times New Roman" w:hAnsi="Times New Roman" w:cs="Times New Roman"/>
          <w:sz w:val="24"/>
          <w:szCs w:val="24"/>
        </w:rPr>
        <w:t xml:space="preserve"> zone </w:t>
      </w:r>
      <w:r w:rsidR="006D2D87" w:rsidRPr="006C45BF">
        <w:rPr>
          <w:rFonts w:ascii="Times New Roman" w:hAnsi="Times New Roman" w:cs="Times New Roman"/>
          <w:sz w:val="24"/>
          <w:szCs w:val="24"/>
        </w:rPr>
        <w:t xml:space="preserve">delineations. The </w:t>
      </w:r>
      <w:proofErr w:type="spellStart"/>
      <w:r w:rsidR="006D2D87" w:rsidRPr="006C45BF">
        <w:rPr>
          <w:rFonts w:ascii="Times New Roman" w:hAnsi="Times New Roman" w:cs="Times New Roman"/>
          <w:sz w:val="24"/>
          <w:szCs w:val="24"/>
        </w:rPr>
        <w:t>flood</w:t>
      </w:r>
      <w:r w:rsidR="009F6BD8">
        <w:rPr>
          <w:rFonts w:ascii="Times New Roman" w:hAnsi="Times New Roman" w:cs="Times New Roman"/>
          <w:sz w:val="24"/>
          <w:szCs w:val="24"/>
        </w:rPr>
        <w:t>zome</w:t>
      </w:r>
      <w:proofErr w:type="spellEnd"/>
      <w:r w:rsidR="009F6BD8">
        <w:rPr>
          <w:rFonts w:ascii="Times New Roman" w:hAnsi="Times New Roman" w:cs="Times New Roman"/>
          <w:sz w:val="24"/>
          <w:szCs w:val="24"/>
        </w:rPr>
        <w:t xml:space="preserve"> maps</w:t>
      </w:r>
      <w:r w:rsidR="006D2D87" w:rsidRPr="006C45BF">
        <w:rPr>
          <w:rFonts w:ascii="Times New Roman" w:hAnsi="Times New Roman" w:cs="Times New Roman"/>
          <w:sz w:val="24"/>
          <w:szCs w:val="24"/>
        </w:rPr>
        <w:t xml:space="preserve"> are assumed to be how residents form their expectations regarding flood risk. These flood zones are important because they are intimately tied to flood insurance rates. </w:t>
      </w:r>
    </w:p>
    <w:p w14:paraId="7515219B" w14:textId="727F6998" w:rsidR="000D2F43" w:rsidRPr="006C45BF" w:rsidRDefault="000D2F43" w:rsidP="006C45BF">
      <w:pPr>
        <w:pStyle w:val="NoSpacing"/>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 xml:space="preserve">In 1968, </w:t>
      </w:r>
      <w:r w:rsidR="006D2D87" w:rsidRPr="006C45BF">
        <w:rPr>
          <w:rFonts w:ascii="Times New Roman" w:hAnsi="Times New Roman" w:cs="Times New Roman"/>
          <w:sz w:val="24"/>
          <w:szCs w:val="24"/>
        </w:rPr>
        <w:t xml:space="preserve">the U.S. </w:t>
      </w:r>
      <w:r w:rsidRPr="006C45BF">
        <w:rPr>
          <w:rFonts w:ascii="Times New Roman" w:hAnsi="Times New Roman" w:cs="Times New Roman"/>
          <w:sz w:val="24"/>
          <w:szCs w:val="24"/>
        </w:rPr>
        <w:t>Congress created the National Flood Insurance Program (NFIP) to help provide a means for property owners to financially protect themselves. The NFIP offers flood insurance to homeowners, renters, and business owners if their respective town or city participates in the NFIP. Participating communities agree to adopt and enforce ordinances that meet or exceed Federal Emergency Management Agency (FEMA) requirements to reduce the risk of flooding (FEMA, 2017b)</w:t>
      </w:r>
      <w:r w:rsidR="00020188" w:rsidRPr="006C45BF">
        <w:rPr>
          <w:rFonts w:ascii="Times New Roman" w:hAnsi="Times New Roman" w:cs="Times New Roman"/>
          <w:sz w:val="24"/>
          <w:szCs w:val="24"/>
        </w:rPr>
        <w:t>.</w:t>
      </w:r>
      <w:r w:rsidR="00020188" w:rsidRPr="006C45BF">
        <w:rPr>
          <w:rStyle w:val="FootnoteReference"/>
          <w:rFonts w:ascii="Times New Roman" w:hAnsi="Times New Roman" w:cs="Times New Roman"/>
          <w:sz w:val="24"/>
          <w:szCs w:val="24"/>
        </w:rPr>
        <w:footnoteReference w:id="4"/>
      </w:r>
    </w:p>
    <w:p w14:paraId="7B1C0DE4" w14:textId="77777777" w:rsidR="000D2F43" w:rsidRPr="006C45BF" w:rsidRDefault="000D2F43" w:rsidP="006C45BF">
      <w:pPr>
        <w:pStyle w:val="NoSpacing"/>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 xml:space="preserve">FEMA partners with states and communities through the Risk Mapping, Assessment, and Planning (Risk MAP) program to identify flood hazards and assess flood risks. These data are incorporated into flood maps, known as Flood Insurance Rate Maps (FIRMs), which support the </w:t>
      </w:r>
      <w:r w:rsidR="004B21F0" w:rsidRPr="006C45BF">
        <w:rPr>
          <w:rFonts w:ascii="Times New Roman" w:hAnsi="Times New Roman" w:cs="Times New Roman"/>
          <w:sz w:val="24"/>
          <w:szCs w:val="24"/>
        </w:rPr>
        <w:t>NFIP</w:t>
      </w:r>
      <w:r w:rsidRPr="006C45BF">
        <w:rPr>
          <w:rFonts w:ascii="Times New Roman" w:hAnsi="Times New Roman" w:cs="Times New Roman"/>
          <w:sz w:val="24"/>
          <w:szCs w:val="24"/>
        </w:rPr>
        <w:t xml:space="preserve"> and provide the basis for community floodplain management regulations and flood insurance requirements. Most commonly used for insurance purposes are the 100-year floodplain maps, which are regions designated to have a 1% chance of being inundated each year. </w:t>
      </w:r>
    </w:p>
    <w:p w14:paraId="09A2A1BA" w14:textId="77777777" w:rsidR="000D2F43" w:rsidRPr="006C45BF" w:rsidRDefault="000D2F43" w:rsidP="006C45BF">
      <w:pPr>
        <w:pStyle w:val="NoSpacing"/>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 xml:space="preserve">Real estate buyers, who seek a mortgage, are often required to purchase flood insurance if they are within a FEMA-designated floodplain (FEMA, 2017a). The FEMA floodplain maps thus serve as a publicly available assessment of the likelihood of a property being flooded. In addition, for those outside the floodplain, the distance to the plain can presumably be used to provide information about the relative flood safety of the neighborhood. Being 20 feet from a floodplain suggests that a property is potentially at more risk than one 2,000 feet away. </w:t>
      </w:r>
    </w:p>
    <w:p w14:paraId="41815322" w14:textId="258A8A43" w:rsidR="000D2F43" w:rsidRPr="006C45BF" w:rsidRDefault="000D2F43" w:rsidP="006C45BF">
      <w:pPr>
        <w:pStyle w:val="NoSpacing"/>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 xml:space="preserve">While it is relatively straightforward to estimate the effects of the storm on those properties that were flooded by a major storm, our main goal is to estimate the degree to which properties that remained dry </w:t>
      </w:r>
      <w:r w:rsidR="00EB0F4E" w:rsidRPr="006C45BF">
        <w:rPr>
          <w:rFonts w:ascii="Times New Roman" w:hAnsi="Times New Roman" w:cs="Times New Roman"/>
          <w:sz w:val="24"/>
          <w:szCs w:val="24"/>
        </w:rPr>
        <w:t>were not directly</w:t>
      </w:r>
      <w:r w:rsidRPr="006C45BF">
        <w:rPr>
          <w:rFonts w:ascii="Times New Roman" w:hAnsi="Times New Roman" w:cs="Times New Roman"/>
          <w:sz w:val="24"/>
          <w:szCs w:val="24"/>
        </w:rPr>
        <w:t xml:space="preserve"> impacted by a storm. If the Hurricane represents an informational shock about the likelihood of future damage then, presumably, this effect will be priced into properties, as people reassess the likelihood of future storm shocks and the potential damage they could cause. </w:t>
      </w:r>
    </w:p>
    <w:p w14:paraId="1463E2B5" w14:textId="2AD445F4" w:rsidR="00883D63" w:rsidRPr="006C45BF" w:rsidRDefault="000D2F43" w:rsidP="006C45BF">
      <w:pPr>
        <w:pStyle w:val="NoSpacing"/>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 xml:space="preserve">This paper </w:t>
      </w:r>
      <w:r w:rsidR="00020188" w:rsidRPr="006C45BF">
        <w:rPr>
          <w:rFonts w:ascii="Times New Roman" w:hAnsi="Times New Roman" w:cs="Times New Roman"/>
          <w:sz w:val="24"/>
          <w:szCs w:val="24"/>
        </w:rPr>
        <w:t>aims</w:t>
      </w:r>
      <w:r w:rsidRPr="006C45BF">
        <w:rPr>
          <w:rFonts w:ascii="Times New Roman" w:hAnsi="Times New Roman" w:cs="Times New Roman"/>
          <w:sz w:val="24"/>
          <w:szCs w:val="24"/>
        </w:rPr>
        <w:t xml:space="preserve"> to isolate the </w:t>
      </w:r>
      <w:r w:rsidR="00020188" w:rsidRPr="006C45BF">
        <w:rPr>
          <w:rFonts w:ascii="Times New Roman" w:hAnsi="Times New Roman" w:cs="Times New Roman"/>
          <w:sz w:val="24"/>
          <w:szCs w:val="24"/>
        </w:rPr>
        <w:t xml:space="preserve">changing </w:t>
      </w:r>
      <w:r w:rsidRPr="006C45BF">
        <w:rPr>
          <w:rFonts w:ascii="Times New Roman" w:hAnsi="Times New Roman" w:cs="Times New Roman"/>
          <w:sz w:val="24"/>
          <w:szCs w:val="24"/>
        </w:rPr>
        <w:t>expectations of the real estate market</w:t>
      </w:r>
      <w:r w:rsidR="00DB2A89" w:rsidRPr="006C45BF">
        <w:rPr>
          <w:rFonts w:ascii="Times New Roman" w:hAnsi="Times New Roman" w:cs="Times New Roman"/>
          <w:sz w:val="24"/>
          <w:szCs w:val="24"/>
        </w:rPr>
        <w:t xml:space="preserve">, </w:t>
      </w:r>
      <w:r w:rsidR="00020188" w:rsidRPr="006C45BF">
        <w:rPr>
          <w:rFonts w:ascii="Times New Roman" w:hAnsi="Times New Roman" w:cs="Times New Roman"/>
          <w:sz w:val="24"/>
          <w:szCs w:val="24"/>
        </w:rPr>
        <w:t>via</w:t>
      </w:r>
      <w:r w:rsidR="002A1E02" w:rsidRPr="006C45BF">
        <w:rPr>
          <w:rFonts w:ascii="Times New Roman" w:hAnsi="Times New Roman" w:cs="Times New Roman"/>
          <w:sz w:val="24"/>
          <w:szCs w:val="24"/>
        </w:rPr>
        <w:t xml:space="preserve"> hedonic regressions</w:t>
      </w:r>
      <w:r w:rsidR="009F6BD8">
        <w:rPr>
          <w:rFonts w:ascii="Times New Roman" w:hAnsi="Times New Roman" w:cs="Times New Roman"/>
          <w:sz w:val="24"/>
          <w:szCs w:val="24"/>
        </w:rPr>
        <w:t>,</w:t>
      </w:r>
      <w:r w:rsidR="002A1E02" w:rsidRPr="006C45BF">
        <w:rPr>
          <w:rFonts w:ascii="Times New Roman" w:hAnsi="Times New Roman" w:cs="Times New Roman"/>
          <w:sz w:val="24"/>
          <w:szCs w:val="24"/>
        </w:rPr>
        <w:t xml:space="preserve"> to look at housing prices after the storm surge</w:t>
      </w:r>
      <w:r w:rsidR="005060D4" w:rsidRPr="006C45BF">
        <w:rPr>
          <w:rFonts w:ascii="Times New Roman" w:hAnsi="Times New Roman" w:cs="Times New Roman"/>
          <w:sz w:val="24"/>
          <w:szCs w:val="24"/>
        </w:rPr>
        <w:t xml:space="preserve">. </w:t>
      </w:r>
      <w:r w:rsidR="009D3FFC" w:rsidRPr="006C45BF">
        <w:rPr>
          <w:rFonts w:ascii="Times New Roman" w:hAnsi="Times New Roman" w:cs="Times New Roman"/>
          <w:sz w:val="24"/>
          <w:szCs w:val="24"/>
        </w:rPr>
        <w:t xml:space="preserve"> Our</w:t>
      </w:r>
      <w:r w:rsidRPr="006C45BF">
        <w:rPr>
          <w:rFonts w:ascii="Times New Roman" w:hAnsi="Times New Roman" w:cs="Times New Roman"/>
          <w:sz w:val="24"/>
          <w:szCs w:val="24"/>
        </w:rPr>
        <w:t xml:space="preserve"> contribut</w:t>
      </w:r>
      <w:r w:rsidR="009D3FFC" w:rsidRPr="006C45BF">
        <w:rPr>
          <w:rFonts w:ascii="Times New Roman" w:hAnsi="Times New Roman" w:cs="Times New Roman"/>
          <w:sz w:val="24"/>
          <w:szCs w:val="24"/>
        </w:rPr>
        <w:t>ions</w:t>
      </w:r>
      <w:r w:rsidRPr="006C45BF">
        <w:rPr>
          <w:rFonts w:ascii="Times New Roman" w:hAnsi="Times New Roman" w:cs="Times New Roman"/>
          <w:sz w:val="24"/>
          <w:szCs w:val="24"/>
        </w:rPr>
        <w:t xml:space="preserve"> not only </w:t>
      </w:r>
      <w:r w:rsidR="009D3FFC" w:rsidRPr="006C45BF">
        <w:rPr>
          <w:rFonts w:ascii="Times New Roman" w:hAnsi="Times New Roman" w:cs="Times New Roman"/>
          <w:sz w:val="24"/>
          <w:szCs w:val="24"/>
        </w:rPr>
        <w:t>include a better</w:t>
      </w:r>
      <w:r w:rsidRPr="006C45BF">
        <w:rPr>
          <w:rFonts w:ascii="Times New Roman" w:hAnsi="Times New Roman" w:cs="Times New Roman"/>
          <w:sz w:val="24"/>
          <w:szCs w:val="24"/>
        </w:rPr>
        <w:t xml:space="preserve"> understanding of how storms affect real estate values, but also demonstrat</w:t>
      </w:r>
      <w:r w:rsidR="009D3FFC" w:rsidRPr="006C45BF">
        <w:rPr>
          <w:rFonts w:ascii="Times New Roman" w:hAnsi="Times New Roman" w:cs="Times New Roman"/>
          <w:sz w:val="24"/>
          <w:szCs w:val="24"/>
        </w:rPr>
        <w:t>ion</w:t>
      </w:r>
      <w:r w:rsidRPr="006C45BF">
        <w:rPr>
          <w:rFonts w:ascii="Times New Roman" w:hAnsi="Times New Roman" w:cs="Times New Roman"/>
          <w:sz w:val="24"/>
          <w:szCs w:val="24"/>
        </w:rPr>
        <w:t xml:space="preserve"> that these effects often can be </w:t>
      </w:r>
      <w:r w:rsidR="00F17359" w:rsidRPr="006C45BF">
        <w:rPr>
          <w:rFonts w:ascii="Times New Roman" w:hAnsi="Times New Roman" w:cs="Times New Roman"/>
          <w:sz w:val="24"/>
          <w:szCs w:val="24"/>
        </w:rPr>
        <w:t>different across various locations</w:t>
      </w:r>
      <w:r w:rsidR="00020188" w:rsidRPr="006C45BF">
        <w:rPr>
          <w:rFonts w:ascii="Times New Roman" w:hAnsi="Times New Roman" w:cs="Times New Roman"/>
          <w:sz w:val="24"/>
          <w:szCs w:val="24"/>
        </w:rPr>
        <w:t xml:space="preserve">. </w:t>
      </w:r>
      <w:r w:rsidR="00883D63" w:rsidRPr="006C45BF">
        <w:rPr>
          <w:rFonts w:ascii="Times New Roman" w:hAnsi="Times New Roman" w:cs="Times New Roman"/>
          <w:sz w:val="24"/>
          <w:szCs w:val="24"/>
        </w:rPr>
        <w:t xml:space="preserve"> </w:t>
      </w:r>
      <w:r w:rsidR="00AB5859">
        <w:rPr>
          <w:rFonts w:ascii="Times New Roman" w:hAnsi="Times New Roman" w:cs="Times New Roman"/>
          <w:sz w:val="24"/>
          <w:szCs w:val="24"/>
        </w:rPr>
        <w:t>We accomplish this by</w:t>
      </w:r>
      <w:r w:rsidRPr="006C45BF">
        <w:rPr>
          <w:rFonts w:ascii="Times New Roman" w:hAnsi="Times New Roman" w:cs="Times New Roman"/>
          <w:sz w:val="24"/>
          <w:szCs w:val="24"/>
        </w:rPr>
        <w:t xml:space="preserve"> </w:t>
      </w:r>
      <w:r w:rsidR="000128B7" w:rsidRPr="006C45BF">
        <w:rPr>
          <w:rFonts w:ascii="Times New Roman" w:hAnsi="Times New Roman" w:cs="Times New Roman"/>
          <w:sz w:val="24"/>
          <w:szCs w:val="24"/>
        </w:rPr>
        <w:t>break</w:t>
      </w:r>
      <w:r w:rsidR="00AB5859">
        <w:rPr>
          <w:rFonts w:ascii="Times New Roman" w:hAnsi="Times New Roman" w:cs="Times New Roman"/>
          <w:sz w:val="24"/>
          <w:szCs w:val="24"/>
        </w:rPr>
        <w:t>ing</w:t>
      </w:r>
      <w:r w:rsidR="000128B7" w:rsidRPr="006C45BF">
        <w:rPr>
          <w:rFonts w:ascii="Times New Roman" w:hAnsi="Times New Roman" w:cs="Times New Roman"/>
          <w:sz w:val="24"/>
          <w:szCs w:val="24"/>
        </w:rPr>
        <w:t xml:space="preserve"> up the estimation samples into </w:t>
      </w:r>
      <w:r w:rsidR="00595188">
        <w:rPr>
          <w:rFonts w:ascii="Times New Roman" w:hAnsi="Times New Roman" w:cs="Times New Roman"/>
          <w:sz w:val="24"/>
          <w:szCs w:val="24"/>
        </w:rPr>
        <w:t>two</w:t>
      </w:r>
      <w:r w:rsidR="00092462">
        <w:rPr>
          <w:rFonts w:ascii="Times New Roman" w:hAnsi="Times New Roman" w:cs="Times New Roman"/>
          <w:sz w:val="24"/>
          <w:szCs w:val="24"/>
        </w:rPr>
        <w:t xml:space="preserve"> </w:t>
      </w:r>
      <w:r w:rsidR="00883D63" w:rsidRPr="006C45BF">
        <w:rPr>
          <w:rFonts w:ascii="Times New Roman" w:hAnsi="Times New Roman" w:cs="Times New Roman"/>
          <w:sz w:val="24"/>
          <w:szCs w:val="24"/>
        </w:rPr>
        <w:t>subsamples</w:t>
      </w:r>
      <w:r w:rsidR="000128B7" w:rsidRPr="006C45BF">
        <w:rPr>
          <w:rFonts w:ascii="Times New Roman" w:hAnsi="Times New Roman" w:cs="Times New Roman"/>
          <w:sz w:val="24"/>
          <w:szCs w:val="24"/>
        </w:rPr>
        <w:t xml:space="preserve"> – propert</w:t>
      </w:r>
      <w:r w:rsidR="00BA353F" w:rsidRPr="006C45BF">
        <w:rPr>
          <w:rFonts w:ascii="Times New Roman" w:hAnsi="Times New Roman" w:cs="Times New Roman"/>
          <w:sz w:val="24"/>
          <w:szCs w:val="24"/>
        </w:rPr>
        <w:t>i</w:t>
      </w:r>
      <w:r w:rsidR="000128B7" w:rsidRPr="006C45BF">
        <w:rPr>
          <w:rFonts w:ascii="Times New Roman" w:hAnsi="Times New Roman" w:cs="Times New Roman"/>
          <w:sz w:val="24"/>
          <w:szCs w:val="24"/>
        </w:rPr>
        <w:t>es experiencing “negative” shocks</w:t>
      </w:r>
      <w:r w:rsidR="006605EA" w:rsidRPr="006C45BF">
        <w:rPr>
          <w:rFonts w:ascii="Times New Roman" w:hAnsi="Times New Roman" w:cs="Times New Roman"/>
          <w:sz w:val="24"/>
          <w:szCs w:val="24"/>
        </w:rPr>
        <w:t xml:space="preserve"> (i.e., properties that </w:t>
      </w:r>
      <w:r w:rsidR="009F6BD8">
        <w:rPr>
          <w:rFonts w:ascii="Times New Roman" w:hAnsi="Times New Roman" w:cs="Times New Roman"/>
          <w:sz w:val="24"/>
          <w:szCs w:val="24"/>
        </w:rPr>
        <w:t>were</w:t>
      </w:r>
      <w:r w:rsidR="006605EA" w:rsidRPr="006C45BF">
        <w:rPr>
          <w:rFonts w:ascii="Times New Roman" w:hAnsi="Times New Roman" w:cs="Times New Roman"/>
          <w:sz w:val="24"/>
          <w:szCs w:val="24"/>
        </w:rPr>
        <w:t xml:space="preserve"> closer to the storm surge than the FEMA flood map</w:t>
      </w:r>
      <w:r w:rsidR="009F6BD8">
        <w:rPr>
          <w:rFonts w:ascii="Times New Roman" w:hAnsi="Times New Roman" w:cs="Times New Roman"/>
          <w:sz w:val="24"/>
          <w:szCs w:val="24"/>
        </w:rPr>
        <w:t xml:space="preserve"> boundaries</w:t>
      </w:r>
      <w:r w:rsidR="006605EA" w:rsidRPr="006C45BF">
        <w:rPr>
          <w:rFonts w:ascii="Times New Roman" w:hAnsi="Times New Roman" w:cs="Times New Roman"/>
          <w:sz w:val="24"/>
          <w:szCs w:val="24"/>
        </w:rPr>
        <w:t>)</w:t>
      </w:r>
      <w:r w:rsidR="000128B7" w:rsidRPr="006C45BF">
        <w:rPr>
          <w:rFonts w:ascii="Times New Roman" w:hAnsi="Times New Roman" w:cs="Times New Roman"/>
          <w:sz w:val="24"/>
          <w:szCs w:val="24"/>
        </w:rPr>
        <w:t xml:space="preserve">, </w:t>
      </w:r>
      <w:r w:rsidR="00595188">
        <w:rPr>
          <w:rFonts w:ascii="Times New Roman" w:hAnsi="Times New Roman" w:cs="Times New Roman"/>
          <w:sz w:val="24"/>
          <w:szCs w:val="24"/>
        </w:rPr>
        <w:t xml:space="preserve">and </w:t>
      </w:r>
      <w:r w:rsidR="000128B7" w:rsidRPr="006C45BF">
        <w:rPr>
          <w:rFonts w:ascii="Times New Roman" w:hAnsi="Times New Roman" w:cs="Times New Roman"/>
          <w:sz w:val="24"/>
          <w:szCs w:val="24"/>
        </w:rPr>
        <w:t xml:space="preserve">those </w:t>
      </w:r>
      <w:r w:rsidR="00954903" w:rsidRPr="006C45BF">
        <w:rPr>
          <w:rFonts w:ascii="Times New Roman" w:hAnsi="Times New Roman" w:cs="Times New Roman"/>
          <w:sz w:val="24"/>
          <w:szCs w:val="24"/>
        </w:rPr>
        <w:t xml:space="preserve">with “positive” shocks (i.e., being </w:t>
      </w:r>
      <w:r w:rsidR="00BA353F" w:rsidRPr="006C45BF">
        <w:rPr>
          <w:rFonts w:ascii="Times New Roman" w:hAnsi="Times New Roman" w:cs="Times New Roman"/>
          <w:sz w:val="24"/>
          <w:szCs w:val="24"/>
        </w:rPr>
        <w:t>further from</w:t>
      </w:r>
      <w:r w:rsidR="00954903" w:rsidRPr="006C45BF">
        <w:rPr>
          <w:rFonts w:ascii="Times New Roman" w:hAnsi="Times New Roman" w:cs="Times New Roman"/>
          <w:sz w:val="24"/>
          <w:szCs w:val="24"/>
        </w:rPr>
        <w:t xml:space="preserve"> the storm surge than expected</w:t>
      </w:r>
      <w:r w:rsidR="00FF16CE" w:rsidRPr="006C45BF">
        <w:rPr>
          <w:rFonts w:ascii="Times New Roman" w:hAnsi="Times New Roman" w:cs="Times New Roman"/>
          <w:sz w:val="24"/>
          <w:szCs w:val="24"/>
        </w:rPr>
        <w:t xml:space="preserve"> based on the FEMA flood zone</w:t>
      </w:r>
      <w:r w:rsidR="00954903" w:rsidRPr="006C45BF">
        <w:rPr>
          <w:rFonts w:ascii="Times New Roman" w:hAnsi="Times New Roman" w:cs="Times New Roman"/>
          <w:sz w:val="24"/>
          <w:szCs w:val="24"/>
        </w:rPr>
        <w:t>)</w:t>
      </w:r>
      <w:r w:rsidR="00595188">
        <w:rPr>
          <w:rFonts w:ascii="Times New Roman" w:hAnsi="Times New Roman" w:cs="Times New Roman"/>
          <w:sz w:val="24"/>
          <w:szCs w:val="24"/>
        </w:rPr>
        <w:t>.</w:t>
      </w:r>
      <w:r w:rsidR="00956AB2" w:rsidRPr="006C45BF">
        <w:rPr>
          <w:rFonts w:ascii="Times New Roman" w:hAnsi="Times New Roman" w:cs="Times New Roman"/>
          <w:sz w:val="24"/>
          <w:szCs w:val="24"/>
        </w:rPr>
        <w:t xml:space="preserve"> </w:t>
      </w:r>
    </w:p>
    <w:p w14:paraId="52739F36" w14:textId="7DDF888F" w:rsidR="00883D63" w:rsidRPr="006C45BF" w:rsidRDefault="00956AB2" w:rsidP="006C45BF">
      <w:pPr>
        <w:pStyle w:val="NoSpacing"/>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 xml:space="preserve">We </w:t>
      </w:r>
      <w:r w:rsidR="000D2F43" w:rsidRPr="006C45BF">
        <w:rPr>
          <w:rFonts w:ascii="Times New Roman" w:hAnsi="Times New Roman" w:cs="Times New Roman"/>
          <w:sz w:val="24"/>
          <w:szCs w:val="24"/>
        </w:rPr>
        <w:t>find tha</w:t>
      </w:r>
      <w:r w:rsidR="00947F49" w:rsidRPr="006C45BF">
        <w:rPr>
          <w:rFonts w:ascii="Times New Roman" w:hAnsi="Times New Roman" w:cs="Times New Roman"/>
          <w:sz w:val="24"/>
          <w:szCs w:val="24"/>
        </w:rPr>
        <w:t>t</w:t>
      </w:r>
      <w:r w:rsidR="00466ECC" w:rsidRPr="006C45BF">
        <w:rPr>
          <w:rFonts w:ascii="Times New Roman" w:hAnsi="Times New Roman" w:cs="Times New Roman"/>
          <w:sz w:val="24"/>
          <w:szCs w:val="24"/>
        </w:rPr>
        <w:t>,</w:t>
      </w:r>
      <w:r w:rsidR="00947F49" w:rsidRPr="006C45BF">
        <w:rPr>
          <w:rFonts w:ascii="Times New Roman" w:hAnsi="Times New Roman" w:cs="Times New Roman"/>
          <w:sz w:val="24"/>
          <w:szCs w:val="24"/>
        </w:rPr>
        <w:t xml:space="preserve"> on average,</w:t>
      </w:r>
      <w:r w:rsidR="00FF16CE" w:rsidRPr="006C45BF">
        <w:rPr>
          <w:rFonts w:ascii="Times New Roman" w:hAnsi="Times New Roman" w:cs="Times New Roman"/>
          <w:sz w:val="24"/>
          <w:szCs w:val="24"/>
        </w:rPr>
        <w:t xml:space="preserve"> </w:t>
      </w:r>
      <w:r w:rsidR="00AB5859">
        <w:rPr>
          <w:rFonts w:ascii="Times New Roman" w:hAnsi="Times New Roman" w:cs="Times New Roman"/>
          <w:sz w:val="24"/>
          <w:szCs w:val="24"/>
        </w:rPr>
        <w:t xml:space="preserve">only </w:t>
      </w:r>
      <w:r w:rsidR="00E63C2F">
        <w:rPr>
          <w:rFonts w:ascii="Times New Roman" w:hAnsi="Times New Roman" w:cs="Times New Roman"/>
          <w:sz w:val="24"/>
          <w:szCs w:val="24"/>
        </w:rPr>
        <w:t xml:space="preserve">the </w:t>
      </w:r>
      <w:r w:rsidR="00E63C2F" w:rsidRPr="006C45BF">
        <w:rPr>
          <w:rFonts w:ascii="Times New Roman" w:hAnsi="Times New Roman" w:cs="Times New Roman"/>
          <w:sz w:val="24"/>
          <w:szCs w:val="24"/>
        </w:rPr>
        <w:t>negative</w:t>
      </w:r>
      <w:r w:rsidR="00687E47" w:rsidRPr="006C45BF">
        <w:rPr>
          <w:rFonts w:ascii="Times New Roman" w:hAnsi="Times New Roman" w:cs="Times New Roman"/>
          <w:sz w:val="24"/>
          <w:szCs w:val="24"/>
        </w:rPr>
        <w:t xml:space="preserve"> shocks have a statistically significant </w:t>
      </w:r>
      <w:r w:rsidR="003D6EB0">
        <w:rPr>
          <w:rFonts w:ascii="Times New Roman" w:hAnsi="Times New Roman" w:cs="Times New Roman"/>
          <w:sz w:val="24"/>
          <w:szCs w:val="24"/>
        </w:rPr>
        <w:t xml:space="preserve">treatment </w:t>
      </w:r>
      <w:r w:rsidR="00687E47" w:rsidRPr="006C45BF">
        <w:rPr>
          <w:rFonts w:ascii="Times New Roman" w:hAnsi="Times New Roman" w:cs="Times New Roman"/>
          <w:sz w:val="24"/>
          <w:szCs w:val="24"/>
        </w:rPr>
        <w:t>effect</w:t>
      </w:r>
      <w:r w:rsidR="003D6EB0">
        <w:rPr>
          <w:rFonts w:ascii="Times New Roman" w:hAnsi="Times New Roman" w:cs="Times New Roman"/>
          <w:sz w:val="24"/>
          <w:szCs w:val="24"/>
        </w:rPr>
        <w:t xml:space="preserve"> of the proximity to the storm surge</w:t>
      </w:r>
      <w:r w:rsidR="00687E47" w:rsidRPr="006C45BF">
        <w:rPr>
          <w:rFonts w:ascii="Times New Roman" w:hAnsi="Times New Roman" w:cs="Times New Roman"/>
          <w:sz w:val="24"/>
          <w:szCs w:val="24"/>
        </w:rPr>
        <w:t xml:space="preserve"> on property values. </w:t>
      </w:r>
      <w:r w:rsidR="00A07BFA" w:rsidRPr="006C45BF">
        <w:rPr>
          <w:rFonts w:ascii="Times New Roman" w:hAnsi="Times New Roman" w:cs="Times New Roman"/>
          <w:sz w:val="24"/>
          <w:szCs w:val="24"/>
        </w:rPr>
        <w:t xml:space="preserve">These results are robust to various regression specifications. </w:t>
      </w:r>
      <w:r w:rsidR="00883D63" w:rsidRPr="006C45BF">
        <w:rPr>
          <w:rFonts w:ascii="Times New Roman" w:hAnsi="Times New Roman" w:cs="Times New Roman"/>
          <w:sz w:val="24"/>
          <w:szCs w:val="24"/>
        </w:rPr>
        <w:t>Thus when investigating the geographic impacts of storms and/or other shocks to cities, it is vital to understand the variation in these two types of impacts; this is crucial not only for measurement reasons but for the policy implications about where to deploy resources before or after a storm.</w:t>
      </w:r>
      <w:r w:rsidR="00E63C2F">
        <w:rPr>
          <w:rFonts w:ascii="Times New Roman" w:hAnsi="Times New Roman" w:cs="Times New Roman"/>
          <w:sz w:val="24"/>
          <w:szCs w:val="24"/>
        </w:rPr>
        <w:t xml:space="preserve"> Th</w:t>
      </w:r>
      <w:r w:rsidR="00AF20EE">
        <w:rPr>
          <w:rFonts w:ascii="Times New Roman" w:hAnsi="Times New Roman" w:cs="Times New Roman"/>
          <w:sz w:val="24"/>
          <w:szCs w:val="24"/>
        </w:rPr>
        <w:t>e</w:t>
      </w:r>
      <w:r w:rsidR="00E63C2F">
        <w:rPr>
          <w:rFonts w:ascii="Times New Roman" w:hAnsi="Times New Roman" w:cs="Times New Roman"/>
          <w:sz w:val="24"/>
          <w:szCs w:val="24"/>
        </w:rPr>
        <w:t xml:space="preserve"> finding </w:t>
      </w:r>
      <w:r w:rsidR="00AF20EE">
        <w:rPr>
          <w:rFonts w:ascii="Times New Roman" w:hAnsi="Times New Roman" w:cs="Times New Roman"/>
          <w:sz w:val="24"/>
          <w:szCs w:val="24"/>
        </w:rPr>
        <w:t>of</w:t>
      </w:r>
      <w:r w:rsidR="00E63C2F">
        <w:rPr>
          <w:rFonts w:ascii="Times New Roman" w:hAnsi="Times New Roman" w:cs="Times New Roman"/>
          <w:sz w:val="24"/>
          <w:szCs w:val="24"/>
        </w:rPr>
        <w:t xml:space="preserve"> </w:t>
      </w:r>
      <w:r w:rsidR="00AF20EE">
        <w:rPr>
          <w:rFonts w:ascii="Times New Roman" w:hAnsi="Times New Roman" w:cs="Times New Roman"/>
          <w:sz w:val="24"/>
          <w:szCs w:val="24"/>
        </w:rPr>
        <w:t xml:space="preserve">a statistically significant effect from </w:t>
      </w:r>
      <w:r w:rsidR="00E63C2F">
        <w:rPr>
          <w:rFonts w:ascii="Times New Roman" w:hAnsi="Times New Roman" w:cs="Times New Roman"/>
          <w:sz w:val="24"/>
          <w:szCs w:val="24"/>
        </w:rPr>
        <w:t>negative shocks but</w:t>
      </w:r>
      <w:r w:rsidR="00AF20EE">
        <w:rPr>
          <w:rFonts w:ascii="Times New Roman" w:hAnsi="Times New Roman" w:cs="Times New Roman"/>
          <w:sz w:val="24"/>
          <w:szCs w:val="24"/>
        </w:rPr>
        <w:t xml:space="preserve"> not from</w:t>
      </w:r>
      <w:r w:rsidR="00E63C2F">
        <w:rPr>
          <w:rFonts w:ascii="Times New Roman" w:hAnsi="Times New Roman" w:cs="Times New Roman"/>
          <w:sz w:val="24"/>
          <w:szCs w:val="24"/>
        </w:rPr>
        <w:t xml:space="preserve"> positive shocks is consistent with the literature </w:t>
      </w:r>
      <w:r w:rsidR="00AF20EE">
        <w:rPr>
          <w:rFonts w:ascii="Times New Roman" w:hAnsi="Times New Roman" w:cs="Times New Roman"/>
          <w:sz w:val="24"/>
          <w:szCs w:val="24"/>
        </w:rPr>
        <w:t>i</w:t>
      </w:r>
      <w:r w:rsidR="00E63C2F">
        <w:rPr>
          <w:rFonts w:ascii="Times New Roman" w:hAnsi="Times New Roman" w:cs="Times New Roman"/>
          <w:sz w:val="24"/>
          <w:szCs w:val="24"/>
        </w:rPr>
        <w:t xml:space="preserve">n </w:t>
      </w:r>
      <w:r w:rsidR="00AF20EE">
        <w:rPr>
          <w:rFonts w:ascii="Times New Roman" w:hAnsi="Times New Roman" w:cs="Times New Roman"/>
          <w:sz w:val="24"/>
          <w:szCs w:val="24"/>
        </w:rPr>
        <w:t>behavioral</w:t>
      </w:r>
      <w:r w:rsidR="00E63C2F">
        <w:rPr>
          <w:rFonts w:ascii="Times New Roman" w:hAnsi="Times New Roman" w:cs="Times New Roman"/>
          <w:sz w:val="24"/>
          <w:szCs w:val="24"/>
        </w:rPr>
        <w:t xml:space="preserve"> economics</w:t>
      </w:r>
      <w:r w:rsidR="0023549F">
        <w:rPr>
          <w:rFonts w:ascii="Times New Roman" w:hAnsi="Times New Roman" w:cs="Times New Roman"/>
          <w:sz w:val="24"/>
          <w:szCs w:val="24"/>
        </w:rPr>
        <w:t xml:space="preserve">, which finds that negative </w:t>
      </w:r>
      <w:r w:rsidR="00AF20EE">
        <w:rPr>
          <w:rFonts w:ascii="Times New Roman" w:hAnsi="Times New Roman" w:cs="Times New Roman"/>
          <w:sz w:val="24"/>
          <w:szCs w:val="24"/>
        </w:rPr>
        <w:t>events</w:t>
      </w:r>
      <w:r w:rsidR="0023549F">
        <w:rPr>
          <w:rFonts w:ascii="Times New Roman" w:hAnsi="Times New Roman" w:cs="Times New Roman"/>
          <w:sz w:val="24"/>
          <w:szCs w:val="24"/>
        </w:rPr>
        <w:t xml:space="preserve"> can</w:t>
      </w:r>
      <w:r w:rsidR="00AF20EE">
        <w:rPr>
          <w:rFonts w:ascii="Times New Roman" w:hAnsi="Times New Roman" w:cs="Times New Roman"/>
          <w:sz w:val="24"/>
          <w:szCs w:val="24"/>
        </w:rPr>
        <w:t xml:space="preserve"> often</w:t>
      </w:r>
      <w:r w:rsidR="0023549F">
        <w:rPr>
          <w:rFonts w:ascii="Times New Roman" w:hAnsi="Times New Roman" w:cs="Times New Roman"/>
          <w:sz w:val="24"/>
          <w:szCs w:val="24"/>
        </w:rPr>
        <w:t xml:space="preserve"> unl</w:t>
      </w:r>
      <w:r w:rsidR="00AF20EE">
        <w:rPr>
          <w:rFonts w:ascii="Times New Roman" w:hAnsi="Times New Roman" w:cs="Times New Roman"/>
          <w:sz w:val="24"/>
          <w:szCs w:val="24"/>
        </w:rPr>
        <w:t>eash</w:t>
      </w:r>
      <w:r w:rsidR="0023549F">
        <w:rPr>
          <w:rFonts w:ascii="Times New Roman" w:hAnsi="Times New Roman" w:cs="Times New Roman"/>
          <w:sz w:val="24"/>
          <w:szCs w:val="24"/>
        </w:rPr>
        <w:t xml:space="preserve"> extreme </w:t>
      </w:r>
      <w:r w:rsidR="00AF20EE">
        <w:rPr>
          <w:rFonts w:ascii="Times New Roman" w:hAnsi="Times New Roman" w:cs="Times New Roman"/>
          <w:sz w:val="24"/>
          <w:szCs w:val="24"/>
        </w:rPr>
        <w:t xml:space="preserve">reactions from people </w:t>
      </w:r>
      <w:r w:rsidR="0023549F">
        <w:rPr>
          <w:rFonts w:ascii="Times New Roman" w:hAnsi="Times New Roman" w:cs="Times New Roman"/>
          <w:sz w:val="24"/>
          <w:szCs w:val="24"/>
        </w:rPr>
        <w:t>(</w:t>
      </w:r>
      <w:r w:rsidR="0023549F" w:rsidRPr="001A35EE">
        <w:rPr>
          <w:rFonts w:ascii="Times New Roman" w:hAnsi="Times New Roman" w:cs="Times New Roman"/>
          <w:sz w:val="24"/>
          <w:szCs w:val="24"/>
        </w:rPr>
        <w:t>Card</w:t>
      </w:r>
      <w:r w:rsidR="0023549F">
        <w:rPr>
          <w:rFonts w:ascii="Times New Roman" w:hAnsi="Times New Roman" w:cs="Times New Roman"/>
          <w:sz w:val="24"/>
          <w:szCs w:val="24"/>
        </w:rPr>
        <w:t xml:space="preserve"> </w:t>
      </w:r>
      <w:r w:rsidR="0023549F" w:rsidRPr="001A35EE">
        <w:rPr>
          <w:rFonts w:ascii="Times New Roman" w:hAnsi="Times New Roman" w:cs="Times New Roman"/>
          <w:sz w:val="24"/>
          <w:szCs w:val="24"/>
        </w:rPr>
        <w:t>and Dahl</w:t>
      </w:r>
      <w:r w:rsidR="0023549F">
        <w:rPr>
          <w:rFonts w:ascii="Times New Roman" w:hAnsi="Times New Roman" w:cs="Times New Roman"/>
          <w:sz w:val="24"/>
          <w:szCs w:val="24"/>
        </w:rPr>
        <w:t>, 2011).</w:t>
      </w:r>
    </w:p>
    <w:p w14:paraId="646EA07C" w14:textId="32A3E21E" w:rsidR="000D2F43" w:rsidRPr="006C45BF" w:rsidRDefault="000D2F43" w:rsidP="006C45BF">
      <w:pPr>
        <w:pStyle w:val="NoSpacing"/>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The remainder of this paper proceeds as follow</w:t>
      </w:r>
      <w:r w:rsidR="00C75AEC" w:rsidRPr="006C45BF">
        <w:rPr>
          <w:rFonts w:ascii="Times New Roman" w:hAnsi="Times New Roman" w:cs="Times New Roman"/>
          <w:sz w:val="24"/>
          <w:szCs w:val="24"/>
        </w:rPr>
        <w:t xml:space="preserve">s. First, we review the literature on </w:t>
      </w:r>
      <w:r w:rsidR="00247CAA" w:rsidRPr="006C45BF">
        <w:rPr>
          <w:rFonts w:ascii="Times New Roman" w:hAnsi="Times New Roman" w:cs="Times New Roman"/>
          <w:sz w:val="24"/>
          <w:szCs w:val="24"/>
        </w:rPr>
        <w:t>how storm risk information impacts real estate, and more generally, how storms impact real estate</w:t>
      </w:r>
      <w:r w:rsidR="00072CCB" w:rsidRPr="006C45BF">
        <w:rPr>
          <w:rFonts w:ascii="Times New Roman" w:hAnsi="Times New Roman" w:cs="Times New Roman"/>
          <w:sz w:val="24"/>
          <w:szCs w:val="24"/>
        </w:rPr>
        <w:t xml:space="preserve">, to demonstrate that our approach has not been considered in other </w:t>
      </w:r>
      <w:r w:rsidR="00C6730F" w:rsidRPr="006C45BF">
        <w:rPr>
          <w:rFonts w:ascii="Times New Roman" w:hAnsi="Times New Roman" w:cs="Times New Roman"/>
          <w:sz w:val="24"/>
          <w:szCs w:val="24"/>
        </w:rPr>
        <w:t>storm and real estate studies</w:t>
      </w:r>
      <w:r w:rsidR="00247CAA" w:rsidRPr="006C45BF">
        <w:rPr>
          <w:rFonts w:ascii="Times New Roman" w:hAnsi="Times New Roman" w:cs="Times New Roman"/>
          <w:sz w:val="24"/>
          <w:szCs w:val="24"/>
        </w:rPr>
        <w:t xml:space="preserve">. Then we </w:t>
      </w:r>
      <w:r w:rsidR="003F2028" w:rsidRPr="006C45BF">
        <w:rPr>
          <w:rFonts w:ascii="Times New Roman" w:hAnsi="Times New Roman" w:cs="Times New Roman"/>
          <w:sz w:val="24"/>
          <w:szCs w:val="24"/>
        </w:rPr>
        <w:t>present our approach, followed by a discussion of the data we use for our analysis of New York City and</w:t>
      </w:r>
      <w:r w:rsidR="00072CCB" w:rsidRPr="006C45BF">
        <w:rPr>
          <w:rFonts w:ascii="Times New Roman" w:hAnsi="Times New Roman" w:cs="Times New Roman"/>
          <w:sz w:val="24"/>
          <w:szCs w:val="24"/>
        </w:rPr>
        <w:t xml:space="preserve"> information shocks resulting from</w:t>
      </w:r>
      <w:r w:rsidR="003F2028" w:rsidRPr="006C45BF">
        <w:rPr>
          <w:rFonts w:ascii="Times New Roman" w:hAnsi="Times New Roman" w:cs="Times New Roman"/>
          <w:sz w:val="24"/>
          <w:szCs w:val="24"/>
        </w:rPr>
        <w:t xml:space="preserve"> hurricane Sandy.</w:t>
      </w:r>
      <w:r w:rsidR="00C6730F" w:rsidRPr="006C45BF">
        <w:rPr>
          <w:rFonts w:ascii="Times New Roman" w:hAnsi="Times New Roman" w:cs="Times New Roman"/>
          <w:sz w:val="24"/>
          <w:szCs w:val="24"/>
        </w:rPr>
        <w:t xml:space="preserve"> This sets the stage for the presentation of our empirical results. Finally, we offer some concluding remarks. </w:t>
      </w:r>
    </w:p>
    <w:p w14:paraId="0BCEB3C1" w14:textId="77777777" w:rsidR="000D2F43" w:rsidRPr="006C45BF" w:rsidRDefault="000D2F43" w:rsidP="006C45BF">
      <w:pPr>
        <w:pStyle w:val="NoSpacing"/>
        <w:spacing w:line="480" w:lineRule="auto"/>
        <w:jc w:val="both"/>
        <w:rPr>
          <w:rFonts w:ascii="Times New Roman" w:hAnsi="Times New Roman" w:cs="Times New Roman"/>
          <w:sz w:val="24"/>
          <w:szCs w:val="24"/>
        </w:rPr>
      </w:pPr>
    </w:p>
    <w:p w14:paraId="13D2AC70" w14:textId="77777777" w:rsidR="00785949" w:rsidRPr="006C45BF" w:rsidRDefault="00785949" w:rsidP="006C45BF">
      <w:pPr>
        <w:pStyle w:val="NoSpacing"/>
        <w:numPr>
          <w:ilvl w:val="0"/>
          <w:numId w:val="12"/>
        </w:numPr>
        <w:spacing w:line="480" w:lineRule="auto"/>
        <w:jc w:val="both"/>
        <w:rPr>
          <w:rFonts w:ascii="Times New Roman" w:hAnsi="Times New Roman" w:cs="Times New Roman"/>
          <w:b/>
          <w:sz w:val="24"/>
          <w:szCs w:val="24"/>
        </w:rPr>
      </w:pPr>
      <w:r w:rsidRPr="006C45BF">
        <w:rPr>
          <w:rFonts w:ascii="Times New Roman" w:hAnsi="Times New Roman" w:cs="Times New Roman"/>
          <w:b/>
          <w:sz w:val="24"/>
          <w:szCs w:val="24"/>
        </w:rPr>
        <w:t>Literature Review</w:t>
      </w:r>
    </w:p>
    <w:p w14:paraId="45C6343A" w14:textId="232DAB61" w:rsidR="00FC498C" w:rsidRPr="006C45BF" w:rsidRDefault="00C82147" w:rsidP="006C45BF">
      <w:pPr>
        <w:pStyle w:val="NoSpacing"/>
        <w:spacing w:line="480" w:lineRule="auto"/>
        <w:jc w:val="both"/>
        <w:rPr>
          <w:rFonts w:ascii="Times New Roman" w:hAnsi="Times New Roman" w:cs="Times New Roman"/>
          <w:sz w:val="24"/>
          <w:szCs w:val="24"/>
        </w:rPr>
      </w:pPr>
      <w:r w:rsidRPr="006C45BF">
        <w:rPr>
          <w:rFonts w:ascii="Times New Roman" w:hAnsi="Times New Roman" w:cs="Times New Roman"/>
          <w:sz w:val="24"/>
          <w:szCs w:val="24"/>
        </w:rPr>
        <w:t>The events</w:t>
      </w:r>
      <w:r w:rsidR="00B419AB" w:rsidRPr="006C45BF">
        <w:rPr>
          <w:rFonts w:ascii="Times New Roman" w:hAnsi="Times New Roman" w:cs="Times New Roman"/>
          <w:sz w:val="24"/>
          <w:szCs w:val="24"/>
        </w:rPr>
        <w:t xml:space="preserve"> in the past few years</w:t>
      </w:r>
      <w:r w:rsidRPr="006C45BF">
        <w:rPr>
          <w:rFonts w:ascii="Times New Roman" w:hAnsi="Times New Roman" w:cs="Times New Roman"/>
          <w:sz w:val="24"/>
          <w:szCs w:val="24"/>
        </w:rPr>
        <w:t xml:space="preserve"> of Hurricane Harvey in Texas</w:t>
      </w:r>
      <w:r w:rsidR="00624DCA" w:rsidRPr="006C45BF">
        <w:rPr>
          <w:rFonts w:ascii="Times New Roman" w:hAnsi="Times New Roman" w:cs="Times New Roman"/>
          <w:sz w:val="24"/>
          <w:szCs w:val="24"/>
        </w:rPr>
        <w:t xml:space="preserve"> and Irma in Florida</w:t>
      </w:r>
      <w:r w:rsidRPr="006C45BF">
        <w:rPr>
          <w:rFonts w:ascii="Times New Roman" w:hAnsi="Times New Roman" w:cs="Times New Roman"/>
          <w:sz w:val="24"/>
          <w:szCs w:val="24"/>
        </w:rPr>
        <w:t xml:space="preserve"> demonstrate that the FEMA flood zones </w:t>
      </w:r>
      <w:r w:rsidR="00B419AB" w:rsidRPr="006C45BF">
        <w:rPr>
          <w:rFonts w:ascii="Times New Roman" w:hAnsi="Times New Roman" w:cs="Times New Roman"/>
          <w:sz w:val="24"/>
          <w:szCs w:val="24"/>
        </w:rPr>
        <w:t xml:space="preserve">have left </w:t>
      </w:r>
      <w:r w:rsidR="00E73CD8" w:rsidRPr="006C45BF">
        <w:rPr>
          <w:rFonts w:ascii="Times New Roman" w:hAnsi="Times New Roman" w:cs="Times New Roman"/>
          <w:sz w:val="24"/>
          <w:szCs w:val="24"/>
        </w:rPr>
        <w:t>residential real estate owners</w:t>
      </w:r>
      <w:r w:rsidRPr="006C45BF">
        <w:rPr>
          <w:rFonts w:ascii="Times New Roman" w:hAnsi="Times New Roman" w:cs="Times New Roman"/>
          <w:sz w:val="24"/>
          <w:szCs w:val="24"/>
        </w:rPr>
        <w:t xml:space="preserve"> an imperfect measure of flooding likelihoods (Fessenden, et al., 2017). </w:t>
      </w:r>
      <w:r w:rsidR="005B0CCF" w:rsidRPr="006C45BF">
        <w:rPr>
          <w:rFonts w:ascii="Times New Roman" w:hAnsi="Times New Roman" w:cs="Times New Roman"/>
          <w:sz w:val="24"/>
          <w:szCs w:val="24"/>
        </w:rPr>
        <w:t>This motivates the need to study how information shocks due to unanticipated flood risk information might impact house prices. There is little known research on this specific topic.</w:t>
      </w:r>
    </w:p>
    <w:p w14:paraId="0D9A212F" w14:textId="33C5E7B5" w:rsidR="003F6815" w:rsidRPr="006C45BF" w:rsidRDefault="00236EEA" w:rsidP="006C45BF">
      <w:pPr>
        <w:pStyle w:val="NoSpacing"/>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 xml:space="preserve">There is a growing literature on the </w:t>
      </w:r>
      <w:r w:rsidR="003F6815" w:rsidRPr="006C45BF">
        <w:rPr>
          <w:rFonts w:ascii="Times New Roman" w:hAnsi="Times New Roman" w:cs="Times New Roman"/>
          <w:sz w:val="24"/>
          <w:szCs w:val="24"/>
        </w:rPr>
        <w:t>specific topic of flood risk information</w:t>
      </w:r>
      <w:r w:rsidRPr="006C45BF">
        <w:rPr>
          <w:rFonts w:ascii="Times New Roman" w:hAnsi="Times New Roman" w:cs="Times New Roman"/>
          <w:sz w:val="24"/>
          <w:szCs w:val="24"/>
        </w:rPr>
        <w:t>.</w:t>
      </w:r>
      <w:r w:rsidR="003F6815" w:rsidRPr="006C45BF">
        <w:rPr>
          <w:rFonts w:ascii="Times New Roman" w:hAnsi="Times New Roman" w:cs="Times New Roman"/>
          <w:sz w:val="24"/>
          <w:szCs w:val="24"/>
        </w:rPr>
        <w:t xml:space="preserve"> </w:t>
      </w:r>
      <w:r w:rsidR="001A66F2" w:rsidRPr="006C45BF">
        <w:rPr>
          <w:rFonts w:ascii="Times New Roman" w:hAnsi="Times New Roman" w:cs="Times New Roman"/>
          <w:sz w:val="24"/>
          <w:szCs w:val="24"/>
        </w:rPr>
        <w:t>O</w:t>
      </w:r>
      <w:r w:rsidR="003F6815" w:rsidRPr="006C45BF">
        <w:rPr>
          <w:rFonts w:ascii="Times New Roman" w:hAnsi="Times New Roman" w:cs="Times New Roman"/>
          <w:sz w:val="24"/>
          <w:szCs w:val="24"/>
        </w:rPr>
        <w:t xml:space="preserve">ne </w:t>
      </w:r>
      <w:r w:rsidR="00DE7EEC" w:rsidRPr="006C45BF">
        <w:rPr>
          <w:rFonts w:ascii="Times New Roman" w:hAnsi="Times New Roman" w:cs="Times New Roman"/>
          <w:sz w:val="24"/>
          <w:szCs w:val="24"/>
        </w:rPr>
        <w:t xml:space="preserve">recent paper is Yi and </w:t>
      </w:r>
      <w:r w:rsidR="001F13AD" w:rsidRPr="006C45BF">
        <w:rPr>
          <w:rFonts w:ascii="Times New Roman" w:hAnsi="Times New Roman" w:cs="Times New Roman"/>
          <w:sz w:val="24"/>
          <w:szCs w:val="24"/>
        </w:rPr>
        <w:t>Choi</w:t>
      </w:r>
      <w:r w:rsidR="00B10AE5" w:rsidRPr="006C45BF">
        <w:rPr>
          <w:rFonts w:ascii="Times New Roman" w:hAnsi="Times New Roman" w:cs="Times New Roman"/>
          <w:sz w:val="24"/>
          <w:szCs w:val="24"/>
        </w:rPr>
        <w:t xml:space="preserve"> (2020)</w:t>
      </w:r>
      <w:r w:rsidR="001F13AD" w:rsidRPr="006C45BF">
        <w:rPr>
          <w:rFonts w:ascii="Times New Roman" w:hAnsi="Times New Roman" w:cs="Times New Roman"/>
          <w:sz w:val="24"/>
          <w:szCs w:val="24"/>
        </w:rPr>
        <w:t>, who study the 2008 floods in De</w:t>
      </w:r>
      <w:r w:rsidR="00563193" w:rsidRPr="006C45BF">
        <w:rPr>
          <w:rFonts w:ascii="Times New Roman" w:hAnsi="Times New Roman" w:cs="Times New Roman"/>
          <w:sz w:val="24"/>
          <w:szCs w:val="24"/>
        </w:rPr>
        <w:t xml:space="preserve">s </w:t>
      </w:r>
      <w:r w:rsidR="001F13AD" w:rsidRPr="006C45BF">
        <w:rPr>
          <w:rFonts w:ascii="Times New Roman" w:hAnsi="Times New Roman" w:cs="Times New Roman"/>
          <w:sz w:val="24"/>
          <w:szCs w:val="24"/>
        </w:rPr>
        <w:t xml:space="preserve">Moines, Iowa. </w:t>
      </w:r>
      <w:r w:rsidR="0028419A" w:rsidRPr="006C45BF">
        <w:rPr>
          <w:rFonts w:ascii="Times New Roman" w:hAnsi="Times New Roman" w:cs="Times New Roman"/>
          <w:sz w:val="24"/>
          <w:szCs w:val="24"/>
        </w:rPr>
        <w:t xml:space="preserve">They use a difference-in-differences approach to track properties that sold over </w:t>
      </w:r>
      <w:r w:rsidR="00563193" w:rsidRPr="006C45BF">
        <w:rPr>
          <w:rFonts w:ascii="Times New Roman" w:hAnsi="Times New Roman" w:cs="Times New Roman"/>
          <w:sz w:val="24"/>
          <w:szCs w:val="24"/>
        </w:rPr>
        <w:t>time and</w:t>
      </w:r>
      <w:r w:rsidR="0028419A" w:rsidRPr="006C45BF">
        <w:rPr>
          <w:rFonts w:ascii="Times New Roman" w:hAnsi="Times New Roman" w:cs="Times New Roman"/>
          <w:sz w:val="24"/>
          <w:szCs w:val="24"/>
        </w:rPr>
        <w:t xml:space="preserve"> found that homeowners update their </w:t>
      </w:r>
      <w:r w:rsidR="00200C16" w:rsidRPr="006C45BF">
        <w:rPr>
          <w:rFonts w:ascii="Times New Roman" w:hAnsi="Times New Roman" w:cs="Times New Roman"/>
          <w:sz w:val="24"/>
          <w:szCs w:val="24"/>
        </w:rPr>
        <w:t>perceptions of flood risks in locations where the flood extended beyond pre-existing flood zones. Another paper in this literature</w:t>
      </w:r>
      <w:r w:rsidR="003F6815" w:rsidRPr="006C45BF">
        <w:rPr>
          <w:rFonts w:ascii="Times New Roman" w:hAnsi="Times New Roman" w:cs="Times New Roman"/>
          <w:sz w:val="24"/>
          <w:szCs w:val="24"/>
        </w:rPr>
        <w:t xml:space="preserve"> is Bin and Landry (2013), who find that the effects of unexpected flood risk following a major storm disappear after several years. They examine Pitt County, North Carolina and find a discount of between 5% and 9% following Hurricanes Fran and Floyd. More recent data indicate a higher discount rate, although as noted above, these effects vanish as additional time elapses. </w:t>
      </w:r>
    </w:p>
    <w:p w14:paraId="44B45481" w14:textId="6C9045CB" w:rsidR="002E63DC" w:rsidRPr="006C45BF" w:rsidRDefault="002E63DC" w:rsidP="006C45BF">
      <w:pPr>
        <w:spacing w:line="480" w:lineRule="auto"/>
        <w:ind w:firstLine="720"/>
        <w:jc w:val="both"/>
        <w:rPr>
          <w:rFonts w:ascii="Times New Roman" w:hAnsi="Times New Roman" w:cs="Times New Roman"/>
          <w:color w:val="222222"/>
          <w:sz w:val="24"/>
          <w:szCs w:val="24"/>
          <w:shd w:val="clear" w:color="auto" w:fill="FFFFFF"/>
        </w:rPr>
      </w:pPr>
      <w:r w:rsidRPr="006C45BF">
        <w:rPr>
          <w:rFonts w:ascii="Times New Roman" w:hAnsi="Times New Roman" w:cs="Times New Roman"/>
          <w:color w:val="222222"/>
          <w:sz w:val="24"/>
          <w:szCs w:val="24"/>
          <w:shd w:val="clear" w:color="auto" w:fill="FFFFFF"/>
        </w:rPr>
        <w:t xml:space="preserve">The findings of Bin and Landry (2013) are similar to those of </w:t>
      </w:r>
      <w:proofErr w:type="spellStart"/>
      <w:r w:rsidRPr="006C45BF">
        <w:rPr>
          <w:rFonts w:ascii="Times New Roman" w:hAnsi="Times New Roman" w:cs="Times New Roman"/>
          <w:color w:val="222222"/>
          <w:sz w:val="24"/>
          <w:szCs w:val="24"/>
          <w:shd w:val="clear" w:color="auto" w:fill="FFFFFF"/>
        </w:rPr>
        <w:t>Atreya</w:t>
      </w:r>
      <w:proofErr w:type="spellEnd"/>
      <w:r w:rsidRPr="006C45BF">
        <w:rPr>
          <w:rFonts w:ascii="Times New Roman" w:hAnsi="Times New Roman" w:cs="Times New Roman"/>
          <w:color w:val="222222"/>
          <w:sz w:val="24"/>
          <w:szCs w:val="24"/>
          <w:shd w:val="clear" w:color="auto" w:fill="FFFFFF"/>
        </w:rPr>
        <w:t xml:space="preserve"> et al. (2013)</w:t>
      </w:r>
      <w:r w:rsidR="005B6371" w:rsidRPr="006C45BF">
        <w:rPr>
          <w:rFonts w:ascii="Times New Roman" w:hAnsi="Times New Roman" w:cs="Times New Roman"/>
          <w:color w:val="222222"/>
          <w:sz w:val="24"/>
          <w:szCs w:val="24"/>
          <w:shd w:val="clear" w:color="auto" w:fill="FFFFFF"/>
        </w:rPr>
        <w:t>, who</w:t>
      </w:r>
      <w:r w:rsidRPr="006C45BF">
        <w:rPr>
          <w:rFonts w:ascii="Times New Roman" w:hAnsi="Times New Roman" w:cs="Times New Roman"/>
          <w:color w:val="222222"/>
          <w:sz w:val="24"/>
          <w:szCs w:val="24"/>
          <w:shd w:val="clear" w:color="auto" w:fill="FFFFFF"/>
        </w:rPr>
        <w:t xml:space="preserve"> examined </w:t>
      </w:r>
      <w:r w:rsidR="005B6371" w:rsidRPr="006C45BF">
        <w:rPr>
          <w:rFonts w:ascii="Times New Roman" w:hAnsi="Times New Roman" w:cs="Times New Roman"/>
          <w:color w:val="222222"/>
          <w:sz w:val="24"/>
          <w:szCs w:val="24"/>
          <w:shd w:val="clear" w:color="auto" w:fill="FFFFFF"/>
        </w:rPr>
        <w:t xml:space="preserve">a </w:t>
      </w:r>
      <w:r w:rsidRPr="006C45BF">
        <w:rPr>
          <w:rFonts w:ascii="Times New Roman" w:hAnsi="Times New Roman" w:cs="Times New Roman"/>
          <w:color w:val="222222"/>
          <w:sz w:val="24"/>
          <w:szCs w:val="24"/>
          <w:shd w:val="clear" w:color="auto" w:fill="FFFFFF"/>
        </w:rPr>
        <w:t>100-year flood</w:t>
      </w:r>
      <w:r w:rsidR="005B6371" w:rsidRPr="006C45BF">
        <w:rPr>
          <w:rFonts w:ascii="Times New Roman" w:hAnsi="Times New Roman" w:cs="Times New Roman"/>
          <w:color w:val="222222"/>
          <w:sz w:val="24"/>
          <w:szCs w:val="24"/>
          <w:shd w:val="clear" w:color="auto" w:fill="FFFFFF"/>
        </w:rPr>
        <w:t xml:space="preserve"> event that occurred</w:t>
      </w:r>
      <w:r w:rsidRPr="006C45BF">
        <w:rPr>
          <w:rFonts w:ascii="Times New Roman" w:hAnsi="Times New Roman" w:cs="Times New Roman"/>
          <w:color w:val="222222"/>
          <w:sz w:val="24"/>
          <w:szCs w:val="24"/>
          <w:shd w:val="clear" w:color="auto" w:fill="FFFFFF"/>
        </w:rPr>
        <w:t xml:space="preserve"> in one county in Georgia. Immediately after the flood, house prices fell for properties within the flood plains, but these effects became smaller over time and eventually vanished. A related study is </w:t>
      </w:r>
      <w:proofErr w:type="spellStart"/>
      <w:r w:rsidRPr="006C45BF">
        <w:rPr>
          <w:rFonts w:ascii="Times New Roman" w:hAnsi="Times New Roman" w:cs="Times New Roman"/>
          <w:color w:val="222222"/>
          <w:sz w:val="24"/>
          <w:szCs w:val="24"/>
          <w:shd w:val="clear" w:color="auto" w:fill="FFFFFF"/>
        </w:rPr>
        <w:t>Atreya</w:t>
      </w:r>
      <w:proofErr w:type="spellEnd"/>
      <w:r w:rsidRPr="006C45BF">
        <w:rPr>
          <w:rFonts w:ascii="Times New Roman" w:hAnsi="Times New Roman" w:cs="Times New Roman"/>
          <w:color w:val="222222"/>
          <w:sz w:val="24"/>
          <w:szCs w:val="24"/>
          <w:shd w:val="clear" w:color="auto" w:fill="FFFFFF"/>
        </w:rPr>
        <w:t xml:space="preserve"> and Ferreira (2015), who found that prices of flooded properties after this same 100-year flood in Albany, Georgia fell by much more than properties</w:t>
      </w:r>
      <w:r w:rsidR="001D285F" w:rsidRPr="006C45BF">
        <w:rPr>
          <w:rFonts w:ascii="Times New Roman" w:hAnsi="Times New Roman" w:cs="Times New Roman"/>
          <w:color w:val="222222"/>
          <w:sz w:val="24"/>
          <w:szCs w:val="24"/>
          <w:shd w:val="clear" w:color="auto" w:fill="FFFFFF"/>
        </w:rPr>
        <w:t xml:space="preserve"> that were</w:t>
      </w:r>
      <w:r w:rsidRPr="006C45BF">
        <w:rPr>
          <w:rFonts w:ascii="Times New Roman" w:hAnsi="Times New Roman" w:cs="Times New Roman"/>
          <w:color w:val="222222"/>
          <w:sz w:val="24"/>
          <w:szCs w:val="24"/>
          <w:shd w:val="clear" w:color="auto" w:fill="FFFFFF"/>
        </w:rPr>
        <w:t xml:space="preserve"> in the flood zones but were </w:t>
      </w:r>
      <w:r w:rsidR="001D285F" w:rsidRPr="006C45BF">
        <w:rPr>
          <w:rFonts w:ascii="Times New Roman" w:hAnsi="Times New Roman" w:cs="Times New Roman"/>
          <w:color w:val="222222"/>
          <w:sz w:val="24"/>
          <w:szCs w:val="24"/>
          <w:shd w:val="clear" w:color="auto" w:fill="FFFFFF"/>
        </w:rPr>
        <w:t xml:space="preserve">also </w:t>
      </w:r>
      <w:r w:rsidRPr="006C45BF">
        <w:rPr>
          <w:rFonts w:ascii="Times New Roman" w:hAnsi="Times New Roman" w:cs="Times New Roman"/>
          <w:color w:val="222222"/>
          <w:sz w:val="24"/>
          <w:szCs w:val="24"/>
          <w:shd w:val="clear" w:color="auto" w:fill="FFFFFF"/>
        </w:rPr>
        <w:t>dry as a result of the storm.</w:t>
      </w:r>
    </w:p>
    <w:p w14:paraId="0EAF62F2" w14:textId="1AF3F593" w:rsidR="003A468E" w:rsidRPr="006C45BF" w:rsidRDefault="00504D45" w:rsidP="006C45BF">
      <w:pPr>
        <w:spacing w:line="480" w:lineRule="auto"/>
        <w:ind w:firstLine="720"/>
        <w:jc w:val="both"/>
        <w:rPr>
          <w:rFonts w:ascii="Times New Roman" w:hAnsi="Times New Roman" w:cs="Times New Roman"/>
          <w:color w:val="222222"/>
          <w:sz w:val="24"/>
          <w:szCs w:val="24"/>
          <w:shd w:val="clear" w:color="auto" w:fill="FFFFFF"/>
        </w:rPr>
      </w:pPr>
      <w:r w:rsidRPr="006C45BF">
        <w:rPr>
          <w:rFonts w:ascii="Times New Roman" w:hAnsi="Times New Roman" w:cs="Times New Roman"/>
          <w:color w:val="222222"/>
          <w:sz w:val="24"/>
          <w:szCs w:val="24"/>
          <w:shd w:val="clear" w:color="auto" w:fill="FFFFFF"/>
        </w:rPr>
        <w:t>Other relevant research on flood risk information includes Smith et al. (2006), who focus on damaged properties after Hurricane Katrina in the Miami area. They find that middle income individuals move away from risk. Wealthy individuals, on the other hand, prefer to stay in their homes but purchase insurance. Lower income individuals prefer to move into affordable housing.</w:t>
      </w:r>
      <w:r w:rsidR="003A468E" w:rsidRPr="006C45BF">
        <w:rPr>
          <w:rFonts w:ascii="Times New Roman" w:hAnsi="Times New Roman" w:cs="Times New Roman"/>
          <w:color w:val="222222"/>
          <w:sz w:val="24"/>
          <w:szCs w:val="24"/>
          <w:shd w:val="clear" w:color="auto" w:fill="FFFFFF"/>
        </w:rPr>
        <w:t xml:space="preserve"> In a related paper, Carbone et al. (2006) studied two separate counties’ responses to risk information from Hurricane Andrew in Florida – one county that was damaged, and another county with no damage. They find that the storm provides significant information to residents of these two counties.</w:t>
      </w:r>
    </w:p>
    <w:p w14:paraId="705F4D7F" w14:textId="7E97DB79" w:rsidR="00FD7CF3" w:rsidRPr="006C45BF" w:rsidRDefault="00FD7CF3" w:rsidP="006C45BF">
      <w:pPr>
        <w:spacing w:line="480" w:lineRule="auto"/>
        <w:ind w:firstLine="720"/>
        <w:jc w:val="both"/>
        <w:rPr>
          <w:rFonts w:ascii="Times New Roman" w:hAnsi="Times New Roman" w:cs="Times New Roman"/>
          <w:color w:val="222222"/>
          <w:sz w:val="24"/>
          <w:szCs w:val="24"/>
          <w:shd w:val="clear" w:color="auto" w:fill="FFFFFF"/>
        </w:rPr>
      </w:pPr>
      <w:r w:rsidRPr="006C45BF">
        <w:rPr>
          <w:rFonts w:ascii="Times New Roman" w:hAnsi="Times New Roman" w:cs="Times New Roman"/>
          <w:color w:val="222222"/>
          <w:sz w:val="24"/>
          <w:szCs w:val="24"/>
          <w:shd w:val="clear" w:color="auto" w:fill="FFFFFF"/>
        </w:rPr>
        <w:t>Zhang (2016) considers whether there was any impact on properties locating in the floodplain in Fargo, ND. They use a spatial quantile approach to address this. A key finding is that lower priced houses are affected more adversely by being in the floodplain.</w:t>
      </w:r>
    </w:p>
    <w:p w14:paraId="28E5AF15" w14:textId="46838CB6" w:rsidR="008B3411" w:rsidRPr="006C45BF" w:rsidRDefault="008B3411" w:rsidP="006C45BF">
      <w:pPr>
        <w:spacing w:line="480" w:lineRule="auto"/>
        <w:ind w:firstLine="720"/>
        <w:jc w:val="both"/>
        <w:rPr>
          <w:rFonts w:ascii="Times New Roman" w:hAnsi="Times New Roman" w:cs="Times New Roman"/>
          <w:sz w:val="24"/>
          <w:szCs w:val="24"/>
        </w:rPr>
      </w:pPr>
      <w:r w:rsidRPr="006C45BF">
        <w:rPr>
          <w:rFonts w:ascii="Times New Roman" w:hAnsi="Times New Roman" w:cs="Times New Roman"/>
          <w:color w:val="222222"/>
          <w:sz w:val="24"/>
          <w:szCs w:val="24"/>
          <w:shd w:val="clear" w:color="auto" w:fill="FFFFFF"/>
        </w:rPr>
        <w:t>In another recent study, McCoy and Zhao (2018) find that the likelihood of investment in damaged buildings is higher for properties in the flood zones than flooded properties outside the flood zones, and the latter effect is statistically insignificant while the former effect is significant.</w:t>
      </w:r>
    </w:p>
    <w:p w14:paraId="58D84DDB" w14:textId="4AF0A645" w:rsidR="002847D1" w:rsidRPr="006C45BF" w:rsidRDefault="002847D1" w:rsidP="006C45BF">
      <w:pPr>
        <w:pStyle w:val="NoSpacing"/>
        <w:spacing w:line="480" w:lineRule="auto"/>
        <w:ind w:firstLine="720"/>
        <w:jc w:val="both"/>
        <w:rPr>
          <w:rFonts w:ascii="Times New Roman" w:hAnsi="Times New Roman" w:cs="Times New Roman"/>
          <w:sz w:val="24"/>
          <w:szCs w:val="24"/>
        </w:rPr>
      </w:pPr>
      <w:proofErr w:type="spellStart"/>
      <w:r w:rsidRPr="006C45BF">
        <w:rPr>
          <w:rFonts w:ascii="Times New Roman" w:hAnsi="Times New Roman" w:cs="Times New Roman"/>
          <w:color w:val="222222"/>
          <w:sz w:val="24"/>
          <w:szCs w:val="24"/>
          <w:shd w:val="clear" w:color="auto" w:fill="FFFFFF"/>
        </w:rPr>
        <w:t>Pommeranz</w:t>
      </w:r>
      <w:proofErr w:type="spellEnd"/>
      <w:r w:rsidRPr="006C45BF">
        <w:rPr>
          <w:rFonts w:ascii="Times New Roman" w:hAnsi="Times New Roman" w:cs="Times New Roman"/>
          <w:color w:val="222222"/>
          <w:sz w:val="24"/>
          <w:szCs w:val="24"/>
          <w:shd w:val="clear" w:color="auto" w:fill="FFFFFF"/>
        </w:rPr>
        <w:t xml:space="preserve"> and </w:t>
      </w:r>
      <w:proofErr w:type="spellStart"/>
      <w:r w:rsidRPr="006C45BF">
        <w:rPr>
          <w:rFonts w:ascii="Times New Roman" w:hAnsi="Times New Roman" w:cs="Times New Roman"/>
          <w:color w:val="222222"/>
          <w:sz w:val="24"/>
          <w:szCs w:val="24"/>
          <w:shd w:val="clear" w:color="auto" w:fill="FFFFFF"/>
        </w:rPr>
        <w:t>Steininger</w:t>
      </w:r>
      <w:proofErr w:type="spellEnd"/>
      <w:r w:rsidRPr="006C45BF">
        <w:rPr>
          <w:rFonts w:ascii="Times New Roman" w:hAnsi="Times New Roman" w:cs="Times New Roman"/>
          <w:color w:val="222222"/>
          <w:sz w:val="24"/>
          <w:szCs w:val="24"/>
          <w:shd w:val="clear" w:color="auto" w:fill="FFFFFF"/>
        </w:rPr>
        <w:t xml:space="preserve"> (20</w:t>
      </w:r>
      <w:r w:rsidR="006B5C3E" w:rsidRPr="006C45BF">
        <w:rPr>
          <w:rFonts w:ascii="Times New Roman" w:hAnsi="Times New Roman" w:cs="Times New Roman"/>
          <w:color w:val="222222"/>
          <w:sz w:val="24"/>
          <w:szCs w:val="24"/>
          <w:shd w:val="clear" w:color="auto" w:fill="FFFFFF"/>
        </w:rPr>
        <w:t>18</w:t>
      </w:r>
      <w:r w:rsidRPr="006C45BF">
        <w:rPr>
          <w:rFonts w:ascii="Times New Roman" w:hAnsi="Times New Roman" w:cs="Times New Roman"/>
          <w:color w:val="222222"/>
          <w:sz w:val="24"/>
          <w:szCs w:val="24"/>
          <w:shd w:val="clear" w:color="auto" w:fill="FFFFFF"/>
        </w:rPr>
        <w:t>) estimate various spatial hedonic models for housing prices in Dresden, Germany. In particular, they investigate the impacts of flood zone risk categorization (low risk, moderate risk, high risk, extremely high risk) on housing prices. They estimate both direct and indirect effects. Direct effects are the impacts of a house's flood zone risk on the price, while indirect effects are based on a weighted average of flood zone risks from surrounding properties. That is, the indirect effect aims to test for spillovers of risk from surrounding properties. They find negative indirect effects from surrounding properties (i.e., higher average neighborhood risk leads to lower prices), but no statistically significant direct effects. This suggests</w:t>
      </w:r>
      <w:r w:rsidR="00076744" w:rsidRPr="006C45BF">
        <w:rPr>
          <w:rFonts w:ascii="Times New Roman" w:hAnsi="Times New Roman" w:cs="Times New Roman"/>
          <w:color w:val="222222"/>
          <w:sz w:val="24"/>
          <w:szCs w:val="24"/>
          <w:shd w:val="clear" w:color="auto" w:fill="FFFFFF"/>
        </w:rPr>
        <w:t xml:space="preserve"> that</w:t>
      </w:r>
      <w:r w:rsidRPr="006C45BF">
        <w:rPr>
          <w:rFonts w:ascii="Times New Roman" w:hAnsi="Times New Roman" w:cs="Times New Roman"/>
          <w:color w:val="222222"/>
          <w:sz w:val="24"/>
          <w:szCs w:val="24"/>
          <w:shd w:val="clear" w:color="auto" w:fill="FFFFFF"/>
        </w:rPr>
        <w:t xml:space="preserve"> buyers use the average risk of a neighborhood to estimat</w:t>
      </w:r>
      <w:r w:rsidR="00076744" w:rsidRPr="006C45BF">
        <w:rPr>
          <w:rFonts w:ascii="Times New Roman" w:hAnsi="Times New Roman" w:cs="Times New Roman"/>
          <w:color w:val="222222"/>
          <w:sz w:val="24"/>
          <w:szCs w:val="24"/>
          <w:shd w:val="clear" w:color="auto" w:fill="FFFFFF"/>
        </w:rPr>
        <w:t>e</w:t>
      </w:r>
      <w:r w:rsidRPr="006C45BF">
        <w:rPr>
          <w:rFonts w:ascii="Times New Roman" w:hAnsi="Times New Roman" w:cs="Times New Roman"/>
          <w:color w:val="222222"/>
          <w:sz w:val="24"/>
          <w:szCs w:val="24"/>
          <w:shd w:val="clear" w:color="auto" w:fill="FFFFFF"/>
        </w:rPr>
        <w:t xml:space="preserve"> home values</w:t>
      </w:r>
      <w:r w:rsidR="00076744" w:rsidRPr="006C45BF">
        <w:rPr>
          <w:rFonts w:ascii="Times New Roman" w:hAnsi="Times New Roman" w:cs="Times New Roman"/>
          <w:color w:val="222222"/>
          <w:sz w:val="24"/>
          <w:szCs w:val="24"/>
          <w:shd w:val="clear" w:color="auto" w:fill="FFFFFF"/>
        </w:rPr>
        <w:t>,</w:t>
      </w:r>
      <w:r w:rsidRPr="006C45BF">
        <w:rPr>
          <w:rFonts w:ascii="Times New Roman" w:hAnsi="Times New Roman" w:cs="Times New Roman"/>
          <w:color w:val="222222"/>
          <w:sz w:val="24"/>
          <w:szCs w:val="24"/>
          <w:shd w:val="clear" w:color="auto" w:fill="FFFFFF"/>
        </w:rPr>
        <w:t xml:space="preserve"> likely because of the difficulty of ascertaining the specific risk of a particular property. Our paper, unlike theirs, looks at the impact of new information, and thus we aim to see how home buyers update their housing prices when they acquire this additional information about the risk of flooding. </w:t>
      </w:r>
    </w:p>
    <w:p w14:paraId="76CBE2ED" w14:textId="1B5EC71A" w:rsidR="004918CD" w:rsidRPr="006C45BF" w:rsidRDefault="003F6815" w:rsidP="002E6ABF">
      <w:pPr>
        <w:pStyle w:val="NoSpacing"/>
        <w:widowControl w:val="0"/>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More broadly, t</w:t>
      </w:r>
      <w:r w:rsidR="004918CD" w:rsidRPr="006C45BF">
        <w:rPr>
          <w:rFonts w:ascii="Times New Roman" w:hAnsi="Times New Roman" w:cs="Times New Roman"/>
          <w:sz w:val="24"/>
          <w:szCs w:val="24"/>
        </w:rPr>
        <w:t xml:space="preserve">here </w:t>
      </w:r>
      <w:r w:rsidR="00FC498C" w:rsidRPr="006C45BF">
        <w:rPr>
          <w:rFonts w:ascii="Times New Roman" w:hAnsi="Times New Roman" w:cs="Times New Roman"/>
          <w:sz w:val="24"/>
          <w:szCs w:val="24"/>
        </w:rPr>
        <w:t>are</w:t>
      </w:r>
      <w:r w:rsidR="003856FA" w:rsidRPr="006C45BF">
        <w:rPr>
          <w:rFonts w:ascii="Times New Roman" w:hAnsi="Times New Roman" w:cs="Times New Roman"/>
          <w:sz w:val="24"/>
          <w:szCs w:val="24"/>
        </w:rPr>
        <w:t xml:space="preserve"> a variety</w:t>
      </w:r>
      <w:r w:rsidR="004918CD" w:rsidRPr="006C45BF">
        <w:rPr>
          <w:rFonts w:ascii="Times New Roman" w:hAnsi="Times New Roman" w:cs="Times New Roman"/>
          <w:sz w:val="24"/>
          <w:szCs w:val="24"/>
        </w:rPr>
        <w:t xml:space="preserve"> of studies </w:t>
      </w:r>
      <w:r w:rsidR="00FC498C" w:rsidRPr="006C45BF">
        <w:rPr>
          <w:rFonts w:ascii="Times New Roman" w:hAnsi="Times New Roman" w:cs="Times New Roman"/>
          <w:sz w:val="24"/>
          <w:szCs w:val="24"/>
        </w:rPr>
        <w:t>t</w:t>
      </w:r>
      <w:r w:rsidR="003856FA" w:rsidRPr="006C45BF">
        <w:rPr>
          <w:rFonts w:ascii="Times New Roman" w:hAnsi="Times New Roman" w:cs="Times New Roman"/>
          <w:sz w:val="24"/>
          <w:szCs w:val="24"/>
        </w:rPr>
        <w:t>hat investigate</w:t>
      </w:r>
      <w:r w:rsidR="0053015A" w:rsidRPr="006C45BF">
        <w:rPr>
          <w:rFonts w:ascii="Times New Roman" w:hAnsi="Times New Roman" w:cs="Times New Roman"/>
          <w:sz w:val="24"/>
          <w:szCs w:val="24"/>
        </w:rPr>
        <w:t xml:space="preserve"> the</w:t>
      </w:r>
      <w:r w:rsidR="003856FA" w:rsidRPr="006C45BF">
        <w:rPr>
          <w:rFonts w:ascii="Times New Roman" w:hAnsi="Times New Roman" w:cs="Times New Roman"/>
          <w:sz w:val="24"/>
          <w:szCs w:val="24"/>
        </w:rPr>
        <w:t xml:space="preserve"> impact</w:t>
      </w:r>
      <w:r w:rsidR="0053015A" w:rsidRPr="006C45BF">
        <w:rPr>
          <w:rFonts w:ascii="Times New Roman" w:hAnsi="Times New Roman" w:cs="Times New Roman"/>
          <w:sz w:val="24"/>
          <w:szCs w:val="24"/>
        </w:rPr>
        <w:t>s of storms or natural disaster</w:t>
      </w:r>
      <w:r w:rsidR="003856FA" w:rsidRPr="006C45BF">
        <w:rPr>
          <w:rFonts w:ascii="Times New Roman" w:hAnsi="Times New Roman" w:cs="Times New Roman"/>
          <w:sz w:val="24"/>
          <w:szCs w:val="24"/>
        </w:rPr>
        <w:t xml:space="preserve"> on real estate and local economies</w:t>
      </w:r>
      <w:r w:rsidRPr="006C45BF">
        <w:rPr>
          <w:rFonts w:ascii="Times New Roman" w:hAnsi="Times New Roman" w:cs="Times New Roman"/>
          <w:sz w:val="24"/>
          <w:szCs w:val="24"/>
        </w:rPr>
        <w:t xml:space="preserve"> without specifically focusing on the changes in flood risk</w:t>
      </w:r>
      <w:r w:rsidR="003856FA" w:rsidRPr="006C45BF">
        <w:rPr>
          <w:rFonts w:ascii="Times New Roman" w:hAnsi="Times New Roman" w:cs="Times New Roman"/>
          <w:sz w:val="24"/>
          <w:szCs w:val="24"/>
        </w:rPr>
        <w:t>.</w:t>
      </w:r>
      <w:r w:rsidR="004918CD" w:rsidRPr="006C45BF">
        <w:rPr>
          <w:rFonts w:ascii="Times New Roman" w:hAnsi="Times New Roman" w:cs="Times New Roman"/>
          <w:sz w:val="24"/>
          <w:szCs w:val="24"/>
        </w:rPr>
        <w:t xml:space="preserve"> These include studies of specific hurricanes</w:t>
      </w:r>
      <w:r w:rsidR="003856FA" w:rsidRPr="006C45BF">
        <w:rPr>
          <w:rFonts w:ascii="Times New Roman" w:hAnsi="Times New Roman" w:cs="Times New Roman"/>
          <w:sz w:val="24"/>
          <w:szCs w:val="24"/>
        </w:rPr>
        <w:t>,</w:t>
      </w:r>
      <w:r w:rsidR="004918CD" w:rsidRPr="006C45BF">
        <w:rPr>
          <w:rFonts w:ascii="Times New Roman" w:hAnsi="Times New Roman" w:cs="Times New Roman"/>
          <w:sz w:val="24"/>
          <w:szCs w:val="24"/>
        </w:rPr>
        <w:t xml:space="preserve"> </w:t>
      </w:r>
      <w:r w:rsidR="003856FA" w:rsidRPr="006C45BF">
        <w:rPr>
          <w:rFonts w:ascii="Times New Roman" w:hAnsi="Times New Roman" w:cs="Times New Roman"/>
          <w:sz w:val="24"/>
          <w:szCs w:val="24"/>
        </w:rPr>
        <w:t xml:space="preserve">as well as others </w:t>
      </w:r>
      <w:r w:rsidRPr="006C45BF">
        <w:rPr>
          <w:rFonts w:ascii="Times New Roman" w:hAnsi="Times New Roman" w:cs="Times New Roman"/>
          <w:sz w:val="24"/>
          <w:szCs w:val="24"/>
        </w:rPr>
        <w:t xml:space="preserve">on </w:t>
      </w:r>
      <w:r w:rsidR="0053015A" w:rsidRPr="006C45BF">
        <w:rPr>
          <w:rFonts w:ascii="Times New Roman" w:hAnsi="Times New Roman" w:cs="Times New Roman"/>
          <w:sz w:val="24"/>
          <w:szCs w:val="24"/>
        </w:rPr>
        <w:t>the</w:t>
      </w:r>
      <w:r w:rsidR="004918CD" w:rsidRPr="006C45BF">
        <w:rPr>
          <w:rFonts w:ascii="Times New Roman" w:hAnsi="Times New Roman" w:cs="Times New Roman"/>
          <w:sz w:val="24"/>
          <w:szCs w:val="24"/>
        </w:rPr>
        <w:t xml:space="preserve"> proximity to the coast.</w:t>
      </w:r>
      <w:r w:rsidR="003856FA" w:rsidRPr="006C45BF">
        <w:rPr>
          <w:rFonts w:ascii="Times New Roman" w:hAnsi="Times New Roman" w:cs="Times New Roman"/>
          <w:sz w:val="24"/>
          <w:szCs w:val="24"/>
        </w:rPr>
        <w:t xml:space="preserve"> </w:t>
      </w:r>
      <w:r w:rsidR="00971F41" w:rsidRPr="006C45BF">
        <w:rPr>
          <w:rFonts w:ascii="Times New Roman" w:hAnsi="Times New Roman" w:cs="Times New Roman"/>
          <w:sz w:val="24"/>
          <w:szCs w:val="24"/>
        </w:rPr>
        <w:t xml:space="preserve">We mention one in particular here, because of its focus on Hurricane Sandy in New York City. </w:t>
      </w:r>
      <w:r w:rsidR="00042421" w:rsidRPr="006C45BF">
        <w:rPr>
          <w:rFonts w:ascii="Times New Roman" w:hAnsi="Times New Roman" w:cs="Times New Roman"/>
          <w:sz w:val="24"/>
          <w:szCs w:val="24"/>
        </w:rPr>
        <w:t xml:space="preserve">Specifically, </w:t>
      </w:r>
      <w:r w:rsidR="00624DCA" w:rsidRPr="006C45BF">
        <w:rPr>
          <w:rFonts w:ascii="Times New Roman" w:hAnsi="Times New Roman" w:cs="Times New Roman"/>
          <w:sz w:val="24"/>
          <w:szCs w:val="24"/>
        </w:rPr>
        <w:t xml:space="preserve">Ortega and </w:t>
      </w:r>
      <w:proofErr w:type="spellStart"/>
      <w:r w:rsidR="00624DCA" w:rsidRPr="006C45BF">
        <w:rPr>
          <w:rFonts w:ascii="Times New Roman" w:hAnsi="Times New Roman" w:cs="Times New Roman"/>
          <w:sz w:val="24"/>
          <w:szCs w:val="24"/>
        </w:rPr>
        <w:t>Taspin</w:t>
      </w:r>
      <w:r w:rsidR="004918CD" w:rsidRPr="006C45BF">
        <w:rPr>
          <w:rFonts w:ascii="Times New Roman" w:hAnsi="Times New Roman" w:cs="Times New Roman"/>
          <w:sz w:val="24"/>
          <w:szCs w:val="24"/>
        </w:rPr>
        <w:t>ar</w:t>
      </w:r>
      <w:proofErr w:type="spellEnd"/>
      <w:r w:rsidR="004918CD" w:rsidRPr="006C45BF">
        <w:rPr>
          <w:rFonts w:ascii="Times New Roman" w:hAnsi="Times New Roman" w:cs="Times New Roman"/>
          <w:sz w:val="24"/>
          <w:szCs w:val="24"/>
        </w:rPr>
        <w:t xml:space="preserve"> (201</w:t>
      </w:r>
      <w:r w:rsidR="006D22F7" w:rsidRPr="006C45BF">
        <w:rPr>
          <w:rFonts w:ascii="Times New Roman" w:hAnsi="Times New Roman" w:cs="Times New Roman"/>
          <w:sz w:val="24"/>
          <w:szCs w:val="24"/>
        </w:rPr>
        <w:t>8</w:t>
      </w:r>
      <w:r w:rsidR="004918CD" w:rsidRPr="006C45BF">
        <w:rPr>
          <w:rFonts w:ascii="Times New Roman" w:hAnsi="Times New Roman" w:cs="Times New Roman"/>
          <w:sz w:val="24"/>
          <w:szCs w:val="24"/>
        </w:rPr>
        <w:t>) examine Sandy and the New York City housing market, and</w:t>
      </w:r>
      <w:r w:rsidR="00AC6C3D" w:rsidRPr="006C45BF">
        <w:rPr>
          <w:rFonts w:ascii="Times New Roman" w:hAnsi="Times New Roman" w:cs="Times New Roman"/>
          <w:sz w:val="24"/>
          <w:szCs w:val="24"/>
        </w:rPr>
        <w:t xml:space="preserve"> they</w:t>
      </w:r>
      <w:r w:rsidR="004918CD" w:rsidRPr="006C45BF">
        <w:rPr>
          <w:rFonts w:ascii="Times New Roman" w:hAnsi="Times New Roman" w:cs="Times New Roman"/>
          <w:sz w:val="24"/>
          <w:szCs w:val="24"/>
        </w:rPr>
        <w:t xml:space="preserve"> address the question of whether housing demand shifted towards less exposed areas. They divide the </w:t>
      </w:r>
      <w:r w:rsidR="007D4378" w:rsidRPr="006C45BF">
        <w:rPr>
          <w:rFonts w:ascii="Times New Roman" w:hAnsi="Times New Roman" w:cs="Times New Roman"/>
          <w:sz w:val="24"/>
          <w:szCs w:val="24"/>
        </w:rPr>
        <w:t xml:space="preserve">city </w:t>
      </w:r>
      <w:r w:rsidR="004918CD" w:rsidRPr="006C45BF">
        <w:rPr>
          <w:rFonts w:ascii="Times New Roman" w:hAnsi="Times New Roman" w:cs="Times New Roman"/>
          <w:sz w:val="24"/>
          <w:szCs w:val="24"/>
        </w:rPr>
        <w:t xml:space="preserve">into </w:t>
      </w:r>
      <w:r w:rsidR="00466ECC" w:rsidRPr="006C45BF">
        <w:rPr>
          <w:rFonts w:ascii="Times New Roman" w:hAnsi="Times New Roman" w:cs="Times New Roman"/>
          <w:sz w:val="24"/>
          <w:szCs w:val="24"/>
        </w:rPr>
        <w:t xml:space="preserve">six </w:t>
      </w:r>
      <w:r w:rsidR="004918CD" w:rsidRPr="006C45BF">
        <w:rPr>
          <w:rFonts w:ascii="Times New Roman" w:hAnsi="Times New Roman" w:cs="Times New Roman"/>
          <w:sz w:val="24"/>
          <w:szCs w:val="24"/>
        </w:rPr>
        <w:t xml:space="preserve">Hurricane Evacuation Zones (HEZ’s). They allow for “treatments” of 0 (no damage), 1 (minor damage), and 2 (major damage), and compare prices post-Sandy for the treatment </w:t>
      </w:r>
      <w:r w:rsidR="00466ECC" w:rsidRPr="006C45BF">
        <w:rPr>
          <w:rFonts w:ascii="Times New Roman" w:hAnsi="Times New Roman" w:cs="Times New Roman"/>
          <w:sz w:val="24"/>
          <w:szCs w:val="24"/>
        </w:rPr>
        <w:t>versus</w:t>
      </w:r>
      <w:r w:rsidR="004918CD" w:rsidRPr="006C45BF">
        <w:rPr>
          <w:rFonts w:ascii="Times New Roman" w:hAnsi="Times New Roman" w:cs="Times New Roman"/>
          <w:sz w:val="24"/>
          <w:szCs w:val="24"/>
        </w:rPr>
        <w:t xml:space="preserve"> control groups.</w:t>
      </w:r>
      <w:r w:rsidR="001735D4" w:rsidRPr="006C45BF">
        <w:rPr>
          <w:rFonts w:ascii="Times New Roman" w:hAnsi="Times New Roman" w:cs="Times New Roman"/>
          <w:sz w:val="24"/>
          <w:szCs w:val="24"/>
        </w:rPr>
        <w:t xml:space="preserve"> The control group is the property sales outside of the flood zone.</w:t>
      </w:r>
      <w:r w:rsidR="004918CD" w:rsidRPr="006C45BF">
        <w:rPr>
          <w:rFonts w:ascii="Times New Roman" w:hAnsi="Times New Roman" w:cs="Times New Roman"/>
          <w:sz w:val="24"/>
          <w:szCs w:val="24"/>
        </w:rPr>
        <w:t xml:space="preserve"> Their difference-in-differences model includes a dependent variable of the log of house sales prices, and they include a dummy for post-Sandy sales for being in zones 1 or 2, and neighborhood and time fixed effects. They also estimate a second difference-in-differences model with all </w:t>
      </w:r>
      <w:r w:rsidR="00BD6326" w:rsidRPr="006C45BF">
        <w:rPr>
          <w:rFonts w:ascii="Times New Roman" w:hAnsi="Times New Roman" w:cs="Times New Roman"/>
          <w:sz w:val="24"/>
          <w:szCs w:val="24"/>
        </w:rPr>
        <w:t>three</w:t>
      </w:r>
      <w:r w:rsidR="004918CD" w:rsidRPr="006C45BF">
        <w:rPr>
          <w:rFonts w:ascii="Times New Roman" w:hAnsi="Times New Roman" w:cs="Times New Roman"/>
          <w:sz w:val="24"/>
          <w:szCs w:val="24"/>
        </w:rPr>
        <w:t xml:space="preserve"> treatment groups, each of which is interacted with a post-Sandy dummy variable. </w:t>
      </w:r>
      <w:r w:rsidR="009F6BD8" w:rsidRPr="009F6BD8">
        <w:rPr>
          <w:rFonts w:ascii="Times New Roman" w:hAnsi="Times New Roman" w:cs="Times New Roman"/>
          <w:sz w:val="24"/>
          <w:szCs w:val="24"/>
        </w:rPr>
        <w:t xml:space="preserve">They find evidence that the treatment effects are significant. They also find that for damaged houses, the </w:t>
      </w:r>
      <w:r w:rsidR="004918CD" w:rsidRPr="006C45BF">
        <w:rPr>
          <w:rFonts w:ascii="Times New Roman" w:hAnsi="Times New Roman" w:cs="Times New Roman"/>
          <w:sz w:val="24"/>
          <w:szCs w:val="24"/>
        </w:rPr>
        <w:t xml:space="preserve">treatment effects </w:t>
      </w:r>
      <w:r w:rsidR="004B21F0" w:rsidRPr="006C45BF">
        <w:rPr>
          <w:rFonts w:ascii="Times New Roman" w:hAnsi="Times New Roman" w:cs="Times New Roman"/>
          <w:sz w:val="24"/>
          <w:szCs w:val="24"/>
        </w:rPr>
        <w:t>appear to be permanent</w:t>
      </w:r>
      <w:r w:rsidR="00D57F33" w:rsidRPr="006C45BF">
        <w:rPr>
          <w:rFonts w:ascii="Times New Roman" w:hAnsi="Times New Roman" w:cs="Times New Roman"/>
          <w:sz w:val="24"/>
          <w:szCs w:val="24"/>
        </w:rPr>
        <w:t>, with a drop in values between 17% and 22%</w:t>
      </w:r>
      <w:r w:rsidR="004B21F0" w:rsidRPr="006C45BF">
        <w:rPr>
          <w:rFonts w:ascii="Times New Roman" w:hAnsi="Times New Roman" w:cs="Times New Roman"/>
          <w:sz w:val="24"/>
          <w:szCs w:val="24"/>
        </w:rPr>
        <w:t>.</w:t>
      </w:r>
      <w:r w:rsidR="007F087C" w:rsidRPr="006C45BF">
        <w:rPr>
          <w:rStyle w:val="FootnoteReference"/>
          <w:rFonts w:ascii="Times New Roman" w:hAnsi="Times New Roman" w:cs="Times New Roman"/>
          <w:sz w:val="24"/>
          <w:szCs w:val="24"/>
        </w:rPr>
        <w:footnoteReference w:id="5"/>
      </w:r>
      <w:r w:rsidR="009F6BD8" w:rsidRPr="009F6BD8">
        <w:rPr>
          <w:rFonts w:ascii="Times New Roman" w:hAnsi="Times New Roman" w:cs="Times New Roman"/>
          <w:sz w:val="24"/>
          <w:szCs w:val="24"/>
          <w:vertAlign w:val="superscript"/>
        </w:rPr>
        <w:t>,</w:t>
      </w:r>
      <w:r w:rsidR="009F6BD8">
        <w:rPr>
          <w:rFonts w:ascii="Times New Roman" w:hAnsi="Times New Roman" w:cs="Times New Roman"/>
          <w:sz w:val="24"/>
          <w:szCs w:val="24"/>
        </w:rPr>
        <w:t xml:space="preserve"> </w:t>
      </w:r>
      <w:r w:rsidR="00897E66" w:rsidRPr="006C45BF">
        <w:rPr>
          <w:rStyle w:val="FootnoteReference"/>
          <w:rFonts w:ascii="Times New Roman" w:hAnsi="Times New Roman" w:cs="Times New Roman"/>
          <w:sz w:val="24"/>
          <w:szCs w:val="24"/>
        </w:rPr>
        <w:footnoteReference w:id="6"/>
      </w:r>
    </w:p>
    <w:p w14:paraId="0A9556B9" w14:textId="1D7BD272" w:rsidR="00893284" w:rsidRPr="006C45BF" w:rsidRDefault="005706C2" w:rsidP="002E6ABF">
      <w:pPr>
        <w:pStyle w:val="NoSpacing"/>
        <w:widowControl w:val="0"/>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 xml:space="preserve">With these studies in mind, </w:t>
      </w:r>
      <w:r w:rsidR="00912EFC" w:rsidRPr="006C45BF">
        <w:rPr>
          <w:rFonts w:ascii="Times New Roman" w:hAnsi="Times New Roman" w:cs="Times New Roman"/>
          <w:sz w:val="24"/>
          <w:szCs w:val="24"/>
        </w:rPr>
        <w:t xml:space="preserve">our research </w:t>
      </w:r>
      <w:r w:rsidR="00F968F9">
        <w:rPr>
          <w:rFonts w:ascii="Times New Roman" w:hAnsi="Times New Roman" w:cs="Times New Roman"/>
          <w:sz w:val="24"/>
          <w:szCs w:val="24"/>
        </w:rPr>
        <w:t xml:space="preserve">examines treatment effects of proximity to the storm surge, and also </w:t>
      </w:r>
      <w:r w:rsidR="00912EFC" w:rsidRPr="006C45BF">
        <w:rPr>
          <w:rFonts w:ascii="Times New Roman" w:hAnsi="Times New Roman" w:cs="Times New Roman"/>
          <w:sz w:val="24"/>
          <w:szCs w:val="24"/>
        </w:rPr>
        <w:t xml:space="preserve">considers both positive and negative </w:t>
      </w:r>
      <w:r w:rsidR="00F968F9">
        <w:rPr>
          <w:rFonts w:ascii="Times New Roman" w:hAnsi="Times New Roman" w:cs="Times New Roman"/>
          <w:sz w:val="24"/>
          <w:szCs w:val="24"/>
        </w:rPr>
        <w:t>surges</w:t>
      </w:r>
      <w:r w:rsidR="00912EFC" w:rsidRPr="006C45BF">
        <w:rPr>
          <w:rFonts w:ascii="Times New Roman" w:hAnsi="Times New Roman" w:cs="Times New Roman"/>
          <w:sz w:val="24"/>
          <w:szCs w:val="24"/>
        </w:rPr>
        <w:t xml:space="preserve"> </w:t>
      </w:r>
      <w:r w:rsidR="000B5DD7" w:rsidRPr="006C45BF">
        <w:rPr>
          <w:rFonts w:ascii="Times New Roman" w:hAnsi="Times New Roman" w:cs="Times New Roman"/>
          <w:sz w:val="24"/>
          <w:szCs w:val="24"/>
        </w:rPr>
        <w:t>that do not precisely overlap with the pre-determined flood zones. Given the data limitations</w:t>
      </w:r>
      <w:r w:rsidR="0050187A" w:rsidRPr="006C45BF">
        <w:rPr>
          <w:rFonts w:ascii="Times New Roman" w:hAnsi="Times New Roman" w:cs="Times New Roman"/>
          <w:sz w:val="24"/>
          <w:szCs w:val="24"/>
        </w:rPr>
        <w:t xml:space="preserve"> in general</w:t>
      </w:r>
      <w:r w:rsidR="000B5DD7" w:rsidRPr="006C45BF">
        <w:rPr>
          <w:rFonts w:ascii="Times New Roman" w:hAnsi="Times New Roman" w:cs="Times New Roman"/>
          <w:sz w:val="24"/>
          <w:szCs w:val="24"/>
        </w:rPr>
        <w:t xml:space="preserve"> for sales </w:t>
      </w:r>
      <w:r w:rsidR="0050187A" w:rsidRPr="006C45BF">
        <w:rPr>
          <w:rFonts w:ascii="Times New Roman" w:hAnsi="Times New Roman" w:cs="Times New Roman"/>
          <w:sz w:val="24"/>
          <w:szCs w:val="24"/>
        </w:rPr>
        <w:t>of flooded properties, w</w:t>
      </w:r>
      <w:r w:rsidRPr="006C45BF">
        <w:rPr>
          <w:rFonts w:ascii="Times New Roman" w:hAnsi="Times New Roman" w:cs="Times New Roman"/>
          <w:sz w:val="24"/>
          <w:szCs w:val="24"/>
        </w:rPr>
        <w:t>e now turn to our</w:t>
      </w:r>
      <w:r w:rsidR="00FF6DE1" w:rsidRPr="006C45BF">
        <w:rPr>
          <w:rFonts w:ascii="Times New Roman" w:hAnsi="Times New Roman" w:cs="Times New Roman"/>
          <w:sz w:val="24"/>
          <w:szCs w:val="24"/>
        </w:rPr>
        <w:t xml:space="preserve"> methodology to estimate the impacts on dry properties</w:t>
      </w:r>
      <w:r w:rsidRPr="006C45BF">
        <w:rPr>
          <w:rFonts w:ascii="Times New Roman" w:hAnsi="Times New Roman" w:cs="Times New Roman"/>
          <w:sz w:val="24"/>
          <w:szCs w:val="24"/>
        </w:rPr>
        <w:t>.</w:t>
      </w:r>
    </w:p>
    <w:p w14:paraId="1E2CBF24" w14:textId="77777777" w:rsidR="00893284" w:rsidRPr="006C45BF" w:rsidRDefault="00893284" w:rsidP="006C45BF">
      <w:pPr>
        <w:pStyle w:val="NoSpacing"/>
        <w:spacing w:line="480" w:lineRule="auto"/>
        <w:ind w:left="720"/>
        <w:jc w:val="both"/>
        <w:rPr>
          <w:rFonts w:ascii="Times New Roman" w:hAnsi="Times New Roman" w:cs="Times New Roman"/>
          <w:sz w:val="24"/>
          <w:szCs w:val="24"/>
        </w:rPr>
      </w:pPr>
    </w:p>
    <w:p w14:paraId="35AD89F1" w14:textId="77777777" w:rsidR="00785949" w:rsidRPr="006C45BF" w:rsidRDefault="00F10EB4" w:rsidP="006C45BF">
      <w:pPr>
        <w:pStyle w:val="NoSpacing"/>
        <w:numPr>
          <w:ilvl w:val="0"/>
          <w:numId w:val="12"/>
        </w:numPr>
        <w:spacing w:line="480" w:lineRule="auto"/>
        <w:jc w:val="both"/>
        <w:rPr>
          <w:rFonts w:ascii="Times New Roman" w:hAnsi="Times New Roman" w:cs="Times New Roman"/>
          <w:b/>
          <w:sz w:val="24"/>
          <w:szCs w:val="24"/>
        </w:rPr>
      </w:pPr>
      <w:r w:rsidRPr="006C45BF">
        <w:rPr>
          <w:rFonts w:ascii="Times New Roman" w:hAnsi="Times New Roman" w:cs="Times New Roman"/>
          <w:b/>
          <w:sz w:val="24"/>
          <w:szCs w:val="24"/>
        </w:rPr>
        <w:t xml:space="preserve">The </w:t>
      </w:r>
      <w:r w:rsidR="00785949" w:rsidRPr="006C45BF">
        <w:rPr>
          <w:rFonts w:ascii="Times New Roman" w:hAnsi="Times New Roman" w:cs="Times New Roman"/>
          <w:b/>
          <w:sz w:val="24"/>
          <w:szCs w:val="24"/>
        </w:rPr>
        <w:t>Theory</w:t>
      </w:r>
      <w:r w:rsidRPr="006C45BF">
        <w:rPr>
          <w:rFonts w:ascii="Times New Roman" w:hAnsi="Times New Roman" w:cs="Times New Roman"/>
          <w:b/>
          <w:sz w:val="24"/>
          <w:szCs w:val="24"/>
        </w:rPr>
        <w:t xml:space="preserve"> of Price Effects</w:t>
      </w:r>
      <w:r w:rsidR="006D2D87" w:rsidRPr="006C45BF">
        <w:rPr>
          <w:rFonts w:ascii="Times New Roman" w:hAnsi="Times New Roman" w:cs="Times New Roman"/>
          <w:b/>
          <w:sz w:val="24"/>
          <w:szCs w:val="24"/>
        </w:rPr>
        <w:t xml:space="preserve"> </w:t>
      </w:r>
    </w:p>
    <w:p w14:paraId="3903D060" w14:textId="0386C96B" w:rsidR="00E061A3" w:rsidRPr="006C45BF" w:rsidRDefault="00E41ACC" w:rsidP="006C45BF">
      <w:pPr>
        <w:pStyle w:val="NoSpacing"/>
        <w:spacing w:line="480" w:lineRule="auto"/>
        <w:jc w:val="both"/>
        <w:rPr>
          <w:rFonts w:ascii="Times New Roman" w:hAnsi="Times New Roman" w:cs="Times New Roman"/>
          <w:sz w:val="24"/>
          <w:szCs w:val="24"/>
        </w:rPr>
      </w:pPr>
      <w:r w:rsidRPr="006C45BF">
        <w:rPr>
          <w:rFonts w:ascii="Times New Roman" w:hAnsi="Times New Roman" w:cs="Times New Roman"/>
          <w:sz w:val="24"/>
          <w:szCs w:val="24"/>
        </w:rPr>
        <w:t>O</w:t>
      </w:r>
      <w:r w:rsidR="00560DCA" w:rsidRPr="006C45BF">
        <w:rPr>
          <w:rFonts w:ascii="Times New Roman" w:hAnsi="Times New Roman" w:cs="Times New Roman"/>
          <w:sz w:val="24"/>
          <w:szCs w:val="24"/>
        </w:rPr>
        <w:t>ur ai</w:t>
      </w:r>
      <w:r w:rsidR="00BD6326" w:rsidRPr="006C45BF">
        <w:rPr>
          <w:rFonts w:ascii="Times New Roman" w:hAnsi="Times New Roman" w:cs="Times New Roman"/>
          <w:sz w:val="24"/>
          <w:szCs w:val="24"/>
        </w:rPr>
        <w:t>m is to understand how a storm shock</w:t>
      </w:r>
      <w:r w:rsidR="00560DCA" w:rsidRPr="006C45BF">
        <w:rPr>
          <w:rFonts w:ascii="Times New Roman" w:hAnsi="Times New Roman" w:cs="Times New Roman"/>
          <w:sz w:val="24"/>
          <w:szCs w:val="24"/>
        </w:rPr>
        <w:t xml:space="preserve"> can affect those properties that were not damaged by the storm. The point is that for many propert</w:t>
      </w:r>
      <w:r w:rsidR="00645D4D" w:rsidRPr="006C45BF">
        <w:rPr>
          <w:rFonts w:ascii="Times New Roman" w:hAnsi="Times New Roman" w:cs="Times New Roman"/>
          <w:sz w:val="24"/>
          <w:szCs w:val="24"/>
        </w:rPr>
        <w:t>y</w:t>
      </w:r>
      <w:r w:rsidR="00560DCA" w:rsidRPr="006C45BF">
        <w:rPr>
          <w:rFonts w:ascii="Times New Roman" w:hAnsi="Times New Roman" w:cs="Times New Roman"/>
          <w:sz w:val="24"/>
          <w:szCs w:val="24"/>
        </w:rPr>
        <w:t xml:space="preserve"> owners the storm represented new information on the potential damage due to storm </w:t>
      </w:r>
      <w:r w:rsidR="00BD6326" w:rsidRPr="006C45BF">
        <w:rPr>
          <w:rFonts w:ascii="Times New Roman" w:hAnsi="Times New Roman" w:cs="Times New Roman"/>
          <w:sz w:val="24"/>
          <w:szCs w:val="24"/>
        </w:rPr>
        <w:t>surges</w:t>
      </w:r>
      <w:r w:rsidR="00560DCA" w:rsidRPr="006C45BF">
        <w:rPr>
          <w:rFonts w:ascii="Times New Roman" w:hAnsi="Times New Roman" w:cs="Times New Roman"/>
          <w:sz w:val="24"/>
          <w:szCs w:val="24"/>
        </w:rPr>
        <w:t>.</w:t>
      </w:r>
      <w:r w:rsidR="00645D4D" w:rsidRPr="006C45BF">
        <w:rPr>
          <w:rFonts w:ascii="Times New Roman" w:hAnsi="Times New Roman" w:cs="Times New Roman"/>
          <w:sz w:val="24"/>
          <w:szCs w:val="24"/>
        </w:rPr>
        <w:t xml:space="preserve"> </w:t>
      </w:r>
      <w:r w:rsidR="00E061A3" w:rsidRPr="006C45BF">
        <w:rPr>
          <w:rFonts w:ascii="Times New Roman" w:hAnsi="Times New Roman" w:cs="Times New Roman"/>
          <w:sz w:val="24"/>
          <w:szCs w:val="24"/>
        </w:rPr>
        <w:t>Our</w:t>
      </w:r>
      <w:r w:rsidR="00CE223C" w:rsidRPr="006C45BF">
        <w:rPr>
          <w:rFonts w:ascii="Times New Roman" w:hAnsi="Times New Roman" w:cs="Times New Roman"/>
          <w:sz w:val="24"/>
          <w:szCs w:val="24"/>
        </w:rPr>
        <w:t xml:space="preserve"> main</w:t>
      </w:r>
      <w:r w:rsidR="00E061A3" w:rsidRPr="006C45BF">
        <w:rPr>
          <w:rFonts w:ascii="Times New Roman" w:hAnsi="Times New Roman" w:cs="Times New Roman"/>
          <w:sz w:val="24"/>
          <w:szCs w:val="24"/>
        </w:rPr>
        <w:t xml:space="preserve"> </w:t>
      </w:r>
      <w:r w:rsidR="00AC4D98" w:rsidRPr="006C45BF">
        <w:rPr>
          <w:rFonts w:ascii="Times New Roman" w:hAnsi="Times New Roman" w:cs="Times New Roman"/>
          <w:sz w:val="24"/>
          <w:szCs w:val="24"/>
        </w:rPr>
        <w:t>identification strate</w:t>
      </w:r>
      <w:r w:rsidR="00AA5EA5" w:rsidRPr="006C45BF">
        <w:rPr>
          <w:rFonts w:ascii="Times New Roman" w:hAnsi="Times New Roman" w:cs="Times New Roman"/>
          <w:sz w:val="24"/>
          <w:szCs w:val="24"/>
        </w:rPr>
        <w:t>gy</w:t>
      </w:r>
      <w:r w:rsidR="00E061A3" w:rsidRPr="006C45BF">
        <w:rPr>
          <w:rFonts w:ascii="Times New Roman" w:hAnsi="Times New Roman" w:cs="Times New Roman"/>
          <w:sz w:val="24"/>
          <w:szCs w:val="24"/>
        </w:rPr>
        <w:t xml:space="preserve"> is</w:t>
      </w:r>
      <w:r w:rsidR="00096C7D" w:rsidRPr="006C45BF">
        <w:rPr>
          <w:rFonts w:ascii="Times New Roman" w:hAnsi="Times New Roman" w:cs="Times New Roman"/>
          <w:sz w:val="24"/>
          <w:szCs w:val="24"/>
        </w:rPr>
        <w:t xml:space="preserve"> to</w:t>
      </w:r>
      <w:r w:rsidR="00E061A3" w:rsidRPr="006C45BF">
        <w:rPr>
          <w:rFonts w:ascii="Times New Roman" w:hAnsi="Times New Roman" w:cs="Times New Roman"/>
          <w:sz w:val="24"/>
          <w:szCs w:val="24"/>
        </w:rPr>
        <w:t xml:space="preserve"> look at the</w:t>
      </w:r>
      <w:r w:rsidR="008572B3" w:rsidRPr="006C45BF">
        <w:rPr>
          <w:rFonts w:ascii="Times New Roman" w:hAnsi="Times New Roman" w:cs="Times New Roman"/>
          <w:sz w:val="24"/>
          <w:szCs w:val="24"/>
        </w:rPr>
        <w:t xml:space="preserve"> </w:t>
      </w:r>
      <w:r w:rsidR="00E061A3" w:rsidRPr="006C45BF">
        <w:rPr>
          <w:rFonts w:ascii="Times New Roman" w:hAnsi="Times New Roman" w:cs="Times New Roman"/>
          <w:sz w:val="24"/>
          <w:szCs w:val="24"/>
        </w:rPr>
        <w:t xml:space="preserve">shock that occurred based on </w:t>
      </w:r>
      <w:r w:rsidR="00E42E90">
        <w:rPr>
          <w:rFonts w:ascii="Times New Roman" w:hAnsi="Times New Roman" w:cs="Times New Roman"/>
          <w:sz w:val="24"/>
          <w:szCs w:val="24"/>
        </w:rPr>
        <w:t>proximity to the storm surge</w:t>
      </w:r>
      <w:r w:rsidR="005C4F30" w:rsidRPr="006C45BF">
        <w:rPr>
          <w:rFonts w:ascii="Times New Roman" w:hAnsi="Times New Roman" w:cs="Times New Roman"/>
          <w:sz w:val="24"/>
          <w:szCs w:val="24"/>
        </w:rPr>
        <w:t>.</w:t>
      </w:r>
      <w:r w:rsidR="0091697F" w:rsidRPr="006C45BF">
        <w:rPr>
          <w:rFonts w:ascii="Times New Roman" w:hAnsi="Times New Roman" w:cs="Times New Roman"/>
          <w:sz w:val="24"/>
          <w:szCs w:val="24"/>
        </w:rPr>
        <w:t xml:space="preserve"> In short, our variable of interest is the </w:t>
      </w:r>
      <w:r w:rsidR="00E42E90">
        <w:rPr>
          <w:rFonts w:ascii="Times New Roman" w:hAnsi="Times New Roman" w:cs="Times New Roman"/>
          <w:sz w:val="24"/>
          <w:szCs w:val="24"/>
        </w:rPr>
        <w:t xml:space="preserve">treatment effect </w:t>
      </w:r>
      <w:r w:rsidR="00662C97">
        <w:rPr>
          <w:rFonts w:ascii="Times New Roman" w:hAnsi="Times New Roman" w:cs="Times New Roman"/>
          <w:sz w:val="24"/>
          <w:szCs w:val="24"/>
        </w:rPr>
        <w:t>for proximity to the storm for properties that sold after the storm</w:t>
      </w:r>
      <w:r w:rsidR="00CD4167">
        <w:rPr>
          <w:rFonts w:ascii="Times New Roman" w:hAnsi="Times New Roman" w:cs="Times New Roman"/>
          <w:sz w:val="24"/>
          <w:szCs w:val="24"/>
        </w:rPr>
        <w:t>, conditional on the distance</w:t>
      </w:r>
      <w:r w:rsidR="00BE472A">
        <w:rPr>
          <w:rFonts w:ascii="Times New Roman" w:hAnsi="Times New Roman" w:cs="Times New Roman"/>
          <w:sz w:val="24"/>
          <w:szCs w:val="24"/>
        </w:rPr>
        <w:t xml:space="preserve"> to</w:t>
      </w:r>
      <w:r w:rsidR="00CD4167">
        <w:rPr>
          <w:rFonts w:ascii="Times New Roman" w:hAnsi="Times New Roman" w:cs="Times New Roman"/>
          <w:sz w:val="24"/>
          <w:szCs w:val="24"/>
        </w:rPr>
        <w:t xml:space="preserve"> the closest FEMA boundary</w:t>
      </w:r>
      <w:r w:rsidR="0091697F" w:rsidRPr="006C45BF">
        <w:rPr>
          <w:rFonts w:ascii="Times New Roman" w:hAnsi="Times New Roman" w:cs="Times New Roman"/>
          <w:sz w:val="24"/>
          <w:szCs w:val="24"/>
        </w:rPr>
        <w:t>.</w:t>
      </w:r>
    </w:p>
    <w:p w14:paraId="410DD67A" w14:textId="1DB6ACEA" w:rsidR="0091697F" w:rsidRDefault="0091697F" w:rsidP="006C45BF">
      <w:pPr>
        <w:pStyle w:val="NoSpacing"/>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That is, we aim to estimate:</w:t>
      </w:r>
      <w:r w:rsidR="001D015A">
        <w:rPr>
          <w:rFonts w:ascii="Times New Roman" w:hAnsi="Times New Roman" w:cs="Times New Roman"/>
          <w:sz w:val="24"/>
          <w:szCs w:val="24"/>
        </w:rPr>
        <w:t xml:space="preserve"> </w:t>
      </w:r>
    </w:p>
    <w:p w14:paraId="4AE9CD80" w14:textId="77777777" w:rsidR="0091697F" w:rsidRPr="006C45BF" w:rsidRDefault="0091697F" w:rsidP="006C45BF">
      <w:pPr>
        <w:pStyle w:val="NoSpacing"/>
        <w:spacing w:line="480" w:lineRule="auto"/>
        <w:jc w:val="both"/>
        <w:rPr>
          <w:rFonts w:ascii="Times New Roman" w:hAnsi="Times New Roman" w:cs="Times New Roman"/>
          <w:sz w:val="24"/>
          <w:szCs w:val="24"/>
        </w:rPr>
      </w:pPr>
    </w:p>
    <w:p w14:paraId="067D96C6" w14:textId="6E7C2CEE" w:rsidR="0091697F" w:rsidRPr="006C45BF" w:rsidRDefault="0091697F" w:rsidP="006C45BF">
      <w:pPr>
        <w:pStyle w:val="NoSpacing"/>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ln</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treatment</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ζ</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w:rPr>
                  <w:rFonts w:ascii="Cambria Math" w:hAnsi="Cambria Math" w:cs="Times New Roman"/>
                  <w:sz w:val="24"/>
                  <w:szCs w:val="24"/>
                </w:rPr>
                <m:t>i</m:t>
              </m:r>
            </m:sub>
          </m:sSub>
        </m:oMath>
      </m:oMathPara>
    </w:p>
    <w:p w14:paraId="1B0DD34B" w14:textId="77777777" w:rsidR="00EE36EB" w:rsidRPr="006C45BF" w:rsidRDefault="00EE36EB" w:rsidP="006C45BF">
      <w:pPr>
        <w:pStyle w:val="NoSpacing"/>
        <w:spacing w:line="480" w:lineRule="auto"/>
        <w:jc w:val="both"/>
        <w:rPr>
          <w:rFonts w:ascii="Times New Roman" w:eastAsiaTheme="minorEastAsia" w:hAnsi="Times New Roman" w:cs="Times New Roman"/>
          <w:sz w:val="24"/>
          <w:szCs w:val="24"/>
        </w:rPr>
      </w:pPr>
      <w:r w:rsidRPr="006C45BF">
        <w:rPr>
          <w:rFonts w:ascii="Times New Roman" w:eastAsiaTheme="minorEastAsia" w:hAnsi="Times New Roman" w:cs="Times New Roman"/>
          <w:sz w:val="24"/>
          <w:szCs w:val="24"/>
        </w:rPr>
        <w:t xml:space="preserve">where </w:t>
      </w:r>
    </w:p>
    <w:p w14:paraId="7C6FA1E9" w14:textId="1F6FD013" w:rsidR="00EE36EB" w:rsidRPr="006C45BF" w:rsidRDefault="002C47F9" w:rsidP="006C45BF">
      <w:pPr>
        <w:pStyle w:val="NoSpacing"/>
        <w:spacing w:line="48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treatment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(Post Storm)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(Surge Distance)</m:t>
              </m:r>
            </m:e>
            <m:sub>
              <m:r>
                <w:rPr>
                  <w:rFonts w:ascii="Cambria Math" w:hAnsi="Cambria Math" w:cs="Times New Roman"/>
                  <w:sz w:val="24"/>
                  <w:szCs w:val="24"/>
                </w:rPr>
                <m:t>i</m:t>
              </m:r>
            </m:sub>
          </m:sSub>
        </m:oMath>
      </m:oMathPara>
    </w:p>
    <w:p w14:paraId="51E58368" w14:textId="64E9BDE6" w:rsidR="00E313A5" w:rsidRPr="006C45BF" w:rsidRDefault="00EE36EB" w:rsidP="006C45BF">
      <w:pPr>
        <w:pStyle w:val="NoSpacing"/>
        <w:spacing w:line="480" w:lineRule="auto"/>
        <w:jc w:val="both"/>
        <w:rPr>
          <w:rFonts w:ascii="Times New Roman" w:eastAsiaTheme="minorEastAsia" w:hAnsi="Times New Roman" w:cs="Times New Roman"/>
          <w:sz w:val="24"/>
          <w:szCs w:val="24"/>
        </w:rPr>
      </w:pPr>
      <w:r w:rsidRPr="006C45BF">
        <w:rPr>
          <w:rFonts w:ascii="Times New Roman" w:hAnsi="Times New Roman" w:cs="Times New Roman"/>
          <w:sz w:val="24"/>
          <w:szCs w:val="24"/>
        </w:rPr>
        <w:t>f</w:t>
      </w:r>
      <w:r w:rsidR="0091697F" w:rsidRPr="006C45BF">
        <w:rPr>
          <w:rFonts w:ascii="Times New Roman" w:hAnsi="Times New Roman" w:cs="Times New Roman"/>
          <w:sz w:val="24"/>
          <w:szCs w:val="24"/>
        </w:rPr>
        <w:t xml:space="preserve">or </w:t>
      </w:r>
      <m:oMath>
        <m:r>
          <w:rPr>
            <w:rFonts w:ascii="Cambria Math" w:hAnsi="Cambria Math" w:cs="Times New Roman"/>
            <w:sz w:val="24"/>
            <w:szCs w:val="24"/>
          </w:rPr>
          <m:t>i=1,…,N,</m:t>
        </m:r>
      </m:oMath>
      <w:r w:rsidR="0091697F" w:rsidRPr="006C45BF">
        <w:rPr>
          <w:rFonts w:ascii="Times New Roman" w:hAnsi="Times New Roman" w:cs="Times New Roman"/>
          <w:sz w:val="24"/>
          <w:szCs w:val="24"/>
        </w:rPr>
        <w:t xml:space="preserve"> non-flooded properties,</w:t>
      </w:r>
      <w:r w:rsidRPr="006C45BF">
        <w:rPr>
          <w:rFonts w:ascii="Times New Roman" w:hAnsi="Times New Roman" w:cs="Times New Roman"/>
          <w:sz w:val="24"/>
          <w:szCs w:val="24"/>
        </w:rPr>
        <w:t xml:space="preserve"> and where</w:t>
      </w:r>
      <w:r w:rsidR="0091697F" w:rsidRPr="006C45B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0091697F" w:rsidRPr="006C45BF">
        <w:rPr>
          <w:rFonts w:ascii="Times New Roman" w:eastAsiaTheme="minorEastAsia" w:hAnsi="Times New Roman" w:cs="Times New Roman"/>
          <w:b/>
          <w:sz w:val="24"/>
          <w:szCs w:val="24"/>
        </w:rPr>
        <w:t xml:space="preserve"> </w:t>
      </w:r>
      <w:r w:rsidR="0091697F" w:rsidRPr="006C45BF">
        <w:rPr>
          <w:rFonts w:ascii="Times New Roman" w:eastAsiaTheme="minorEastAsia" w:hAnsi="Times New Roman" w:cs="Times New Roman"/>
          <w:sz w:val="24"/>
          <w:szCs w:val="24"/>
        </w:rPr>
        <w:t xml:space="preserve">are control </w:t>
      </w:r>
      <w:r w:rsidRPr="006C45BF">
        <w:rPr>
          <w:rFonts w:ascii="Times New Roman" w:eastAsiaTheme="minorEastAsia" w:hAnsi="Times New Roman" w:cs="Times New Roman"/>
          <w:sz w:val="24"/>
          <w:szCs w:val="24"/>
        </w:rPr>
        <w:t>variables</w:t>
      </w:r>
      <w:r w:rsidR="00B869D7">
        <w:rPr>
          <w:rFonts w:ascii="Times New Roman" w:eastAsiaTheme="minorEastAsia" w:hAnsi="Times New Roman" w:cs="Times New Roman"/>
          <w:sz w:val="24"/>
          <w:szCs w:val="24"/>
        </w:rPr>
        <w:t xml:space="preserve"> (including property characteristics and the FEMA floodplain distance)</w:t>
      </w:r>
      <w:r w:rsidR="007908CA">
        <w:rPr>
          <w:rFonts w:ascii="Times New Roman" w:eastAsiaTheme="minorEastAsia" w:hAnsi="Times New Roman" w:cs="Times New Roman"/>
          <w:sz w:val="24"/>
          <w:szCs w:val="24"/>
        </w:rPr>
        <w:t>,</w:t>
      </w:r>
      <w:r w:rsidR="0091697F" w:rsidRPr="006C45BF">
        <w:rPr>
          <w:rFonts w:ascii="Times New Roman" w:eastAsiaTheme="minorEastAsia"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w:rPr>
                <w:rFonts w:ascii="Cambria Math" w:hAnsi="Cambria Math" w:cs="Times New Roman"/>
                <w:sz w:val="24"/>
                <w:szCs w:val="24"/>
              </w:rPr>
              <m:t>i</m:t>
            </m:r>
          </m:sub>
        </m:sSub>
      </m:oMath>
      <w:r w:rsidR="00B739D9" w:rsidRPr="006C45BF">
        <w:rPr>
          <w:rFonts w:ascii="Times New Roman" w:eastAsiaTheme="minorEastAsia" w:hAnsi="Times New Roman" w:cs="Times New Roman"/>
          <w:sz w:val="24"/>
          <w:szCs w:val="24"/>
        </w:rPr>
        <w:t xml:space="preserve"> is the error term</w:t>
      </w:r>
      <w:r w:rsidR="004479C2" w:rsidRPr="006C45BF">
        <w:rPr>
          <w:rFonts w:ascii="Times New Roman" w:eastAsiaTheme="minorEastAsia" w:hAnsi="Times New Roman" w:cs="Times New Roman"/>
          <w:sz w:val="24"/>
          <w:szCs w:val="24"/>
        </w:rPr>
        <w:t>.</w:t>
      </w:r>
      <w:r w:rsidR="00B739D9" w:rsidRPr="006C45BF">
        <w:rPr>
          <w:rFonts w:ascii="Times New Roman" w:eastAsiaTheme="minorEastAsia" w:hAnsi="Times New Roman" w:cs="Times New Roman"/>
          <w:sz w:val="24"/>
          <w:szCs w:val="24"/>
        </w:rPr>
        <w:t xml:space="preserve"> </w:t>
      </w:r>
      <w:r w:rsidR="00CB5833" w:rsidRPr="006C45BF">
        <w:rPr>
          <w:rFonts w:ascii="Times New Roman" w:eastAsiaTheme="minorEastAsia" w:hAnsi="Times New Roman" w:cs="Times New Roman"/>
          <w:sz w:val="24"/>
          <w:szCs w:val="24"/>
        </w:rPr>
        <w:t xml:space="preserve">Thus </w:t>
      </w:r>
      <m:oMath>
        <m:r>
          <w:rPr>
            <w:rFonts w:ascii="Cambria Math" w:hAnsi="Cambria Math" w:cs="Times New Roman"/>
            <w:sz w:val="24"/>
            <w:szCs w:val="24"/>
          </w:rPr>
          <m:t>θ</m:t>
        </m:r>
      </m:oMath>
      <w:r w:rsidR="00E63C2F">
        <w:rPr>
          <w:rFonts w:ascii="Times New Roman" w:eastAsiaTheme="minorEastAsia" w:hAnsi="Times New Roman" w:cs="Times New Roman"/>
          <w:sz w:val="24"/>
          <w:szCs w:val="24"/>
        </w:rPr>
        <w:t>—the</w:t>
      </w:r>
      <w:r w:rsidR="006B5C3E" w:rsidRPr="006C45BF">
        <w:rPr>
          <w:rFonts w:ascii="Times New Roman" w:eastAsiaTheme="minorEastAsia" w:hAnsi="Times New Roman" w:cs="Times New Roman"/>
          <w:sz w:val="24"/>
          <w:szCs w:val="24"/>
        </w:rPr>
        <w:t xml:space="preserve"> primary variable of interest</w:t>
      </w:r>
      <w:r w:rsidR="00E63C2F">
        <w:rPr>
          <w:rFonts w:ascii="Times New Roman" w:eastAsiaTheme="minorEastAsia" w:hAnsi="Times New Roman" w:cs="Times New Roman"/>
          <w:sz w:val="24"/>
          <w:szCs w:val="24"/>
        </w:rPr>
        <w:t xml:space="preserve">—represents </w:t>
      </w:r>
      <w:r w:rsidR="00CB5833" w:rsidRPr="006C45BF">
        <w:rPr>
          <w:rFonts w:ascii="Times New Roman" w:eastAsiaTheme="minorEastAsia" w:hAnsi="Times New Roman" w:cs="Times New Roman"/>
          <w:sz w:val="24"/>
          <w:szCs w:val="24"/>
        </w:rPr>
        <w:t xml:space="preserve">the change in price due to the change in the </w:t>
      </w:r>
      <w:r w:rsidR="008A3FD5">
        <w:rPr>
          <w:rFonts w:ascii="Times New Roman" w:eastAsiaTheme="minorEastAsia" w:hAnsi="Times New Roman" w:cs="Times New Roman"/>
          <w:sz w:val="24"/>
          <w:szCs w:val="24"/>
        </w:rPr>
        <w:t>proximity to the storm</w:t>
      </w:r>
      <w:r w:rsidR="007908CA">
        <w:rPr>
          <w:rFonts w:ascii="Times New Roman" w:eastAsiaTheme="minorEastAsia" w:hAnsi="Times New Roman" w:cs="Times New Roman"/>
          <w:sz w:val="24"/>
          <w:szCs w:val="24"/>
        </w:rPr>
        <w:t>.</w:t>
      </w:r>
    </w:p>
    <w:p w14:paraId="19C17309" w14:textId="473B598F" w:rsidR="00CB5833" w:rsidRDefault="008D5B09" w:rsidP="006C45B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We</w:t>
      </w:r>
      <w:r w:rsidR="00793B7E">
        <w:rPr>
          <w:rFonts w:ascii="Times New Roman" w:hAnsi="Times New Roman" w:cs="Times New Roman"/>
          <w:sz w:val="24"/>
          <w:szCs w:val="24"/>
        </w:rPr>
        <w:t xml:space="preserve"> examin</w:t>
      </w:r>
      <w:r>
        <w:rPr>
          <w:rFonts w:ascii="Times New Roman" w:hAnsi="Times New Roman" w:cs="Times New Roman"/>
          <w:sz w:val="24"/>
          <w:szCs w:val="24"/>
        </w:rPr>
        <w:t>e</w:t>
      </w:r>
      <w:r w:rsidR="008B1A58">
        <w:rPr>
          <w:rFonts w:ascii="Times New Roman" w:hAnsi="Times New Roman" w:cs="Times New Roman"/>
          <w:sz w:val="24"/>
          <w:szCs w:val="24"/>
        </w:rPr>
        <w:t xml:space="preserve"> dry properties </w:t>
      </w:r>
      <w:r w:rsidR="007908CA">
        <w:rPr>
          <w:rFonts w:ascii="Times New Roman" w:hAnsi="Times New Roman" w:cs="Times New Roman"/>
          <w:sz w:val="24"/>
          <w:szCs w:val="24"/>
        </w:rPr>
        <w:t xml:space="preserve">at least 0.03 miles from the surge and less than 1 mile from the surge </w:t>
      </w:r>
      <w:r w:rsidR="008B1A58">
        <w:rPr>
          <w:rFonts w:ascii="Times New Roman" w:hAnsi="Times New Roman" w:cs="Times New Roman"/>
          <w:sz w:val="24"/>
          <w:szCs w:val="24"/>
        </w:rPr>
        <w:t>in the non-flooded areas</w:t>
      </w:r>
      <w:r>
        <w:rPr>
          <w:rFonts w:ascii="Times New Roman" w:hAnsi="Times New Roman" w:cs="Times New Roman"/>
          <w:sz w:val="24"/>
          <w:szCs w:val="24"/>
        </w:rPr>
        <w:t xml:space="preserve">. </w:t>
      </w:r>
      <w:r w:rsidR="00A2464A" w:rsidRPr="006C45BF">
        <w:rPr>
          <w:rFonts w:ascii="Times New Roman" w:hAnsi="Times New Roman" w:cs="Times New Roman"/>
          <w:sz w:val="24"/>
          <w:szCs w:val="24"/>
        </w:rPr>
        <w:t xml:space="preserve">In other words, we drop </w:t>
      </w:r>
      <w:r w:rsidR="006031CF" w:rsidRPr="006C45BF">
        <w:rPr>
          <w:rFonts w:ascii="Times New Roman" w:hAnsi="Times New Roman" w:cs="Times New Roman"/>
          <w:sz w:val="24"/>
          <w:szCs w:val="24"/>
        </w:rPr>
        <w:t>any observation for which the storm surge distance is less than 0.0</w:t>
      </w:r>
      <w:r w:rsidR="00076744" w:rsidRPr="006C45BF">
        <w:rPr>
          <w:rFonts w:ascii="Times New Roman" w:hAnsi="Times New Roman" w:cs="Times New Roman"/>
          <w:sz w:val="24"/>
          <w:szCs w:val="24"/>
        </w:rPr>
        <w:t>3</w:t>
      </w:r>
      <w:r w:rsidR="006031CF" w:rsidRPr="006C45BF">
        <w:rPr>
          <w:rFonts w:ascii="Times New Roman" w:hAnsi="Times New Roman" w:cs="Times New Roman"/>
          <w:sz w:val="24"/>
          <w:szCs w:val="24"/>
        </w:rPr>
        <w:t xml:space="preserve"> mile from that observation.</w:t>
      </w:r>
      <w:r w:rsidR="002D0B30" w:rsidRPr="006C45BF">
        <w:rPr>
          <w:rFonts w:ascii="Times New Roman" w:hAnsi="Times New Roman" w:cs="Times New Roman"/>
          <w:sz w:val="24"/>
          <w:szCs w:val="24"/>
        </w:rPr>
        <w:t xml:space="preserve"> We</w:t>
      </w:r>
      <w:r w:rsidR="007C47E3" w:rsidRPr="006C45BF">
        <w:rPr>
          <w:rFonts w:ascii="Times New Roman" w:hAnsi="Times New Roman" w:cs="Times New Roman"/>
          <w:sz w:val="24"/>
          <w:szCs w:val="24"/>
        </w:rPr>
        <w:t xml:space="preserve"> also only</w:t>
      </w:r>
      <w:r w:rsidR="002D0B30" w:rsidRPr="006C45BF">
        <w:rPr>
          <w:rFonts w:ascii="Times New Roman" w:hAnsi="Times New Roman" w:cs="Times New Roman"/>
          <w:sz w:val="24"/>
          <w:szCs w:val="24"/>
        </w:rPr>
        <w:t xml:space="preserve"> consider properties that are no further than </w:t>
      </w:r>
      <w:r w:rsidR="00466ECC" w:rsidRPr="006C45BF">
        <w:rPr>
          <w:rFonts w:ascii="Times New Roman" w:hAnsi="Times New Roman" w:cs="Times New Roman"/>
          <w:sz w:val="24"/>
          <w:szCs w:val="24"/>
        </w:rPr>
        <w:t xml:space="preserve">one </w:t>
      </w:r>
      <w:r w:rsidR="002D0B30" w:rsidRPr="006C45BF">
        <w:rPr>
          <w:rFonts w:ascii="Times New Roman" w:hAnsi="Times New Roman" w:cs="Times New Roman"/>
          <w:sz w:val="24"/>
          <w:szCs w:val="24"/>
        </w:rPr>
        <w:t>mile away from the storm surge</w:t>
      </w:r>
      <w:r w:rsidR="00343197" w:rsidRPr="006C45BF">
        <w:rPr>
          <w:rFonts w:ascii="Times New Roman" w:hAnsi="Times New Roman" w:cs="Times New Roman"/>
          <w:sz w:val="24"/>
          <w:szCs w:val="24"/>
        </w:rPr>
        <w:t>, on the dry side of the surge</w:t>
      </w:r>
      <w:r w:rsidR="002D0B30" w:rsidRPr="006C45BF">
        <w:rPr>
          <w:rFonts w:ascii="Times New Roman" w:hAnsi="Times New Roman" w:cs="Times New Roman"/>
          <w:sz w:val="24"/>
          <w:szCs w:val="24"/>
        </w:rPr>
        <w:t>, and also that sold within a short period of time</w:t>
      </w:r>
      <w:r w:rsidR="00E756E2">
        <w:rPr>
          <w:rFonts w:ascii="Times New Roman" w:hAnsi="Times New Roman" w:cs="Times New Roman"/>
          <w:sz w:val="24"/>
          <w:szCs w:val="24"/>
        </w:rPr>
        <w:t xml:space="preserve"> before and</w:t>
      </w:r>
      <w:r w:rsidR="002D0B30" w:rsidRPr="006C45BF">
        <w:rPr>
          <w:rFonts w:ascii="Times New Roman" w:hAnsi="Times New Roman" w:cs="Times New Roman"/>
          <w:sz w:val="24"/>
          <w:szCs w:val="24"/>
        </w:rPr>
        <w:t xml:space="preserve"> after the storm</w:t>
      </w:r>
      <w:r w:rsidR="00E756E2">
        <w:rPr>
          <w:rFonts w:ascii="Times New Roman" w:hAnsi="Times New Roman" w:cs="Times New Roman"/>
          <w:sz w:val="24"/>
          <w:szCs w:val="24"/>
        </w:rPr>
        <w:t>.</w:t>
      </w:r>
      <w:r w:rsidR="0055543E">
        <w:rPr>
          <w:rFonts w:ascii="Times New Roman" w:hAnsi="Times New Roman" w:cs="Times New Roman"/>
          <w:sz w:val="24"/>
          <w:szCs w:val="24"/>
        </w:rPr>
        <w:t xml:space="preserve"> We also drop any properties that were flooded</w:t>
      </w:r>
      <w:r w:rsidR="00192E75">
        <w:rPr>
          <w:rFonts w:ascii="Times New Roman" w:hAnsi="Times New Roman" w:cs="Times New Roman"/>
          <w:sz w:val="24"/>
          <w:szCs w:val="24"/>
        </w:rPr>
        <w:t xml:space="preserve"> (i.e., for which the storm surge reached the property).</w:t>
      </w:r>
    </w:p>
    <w:p w14:paraId="06269E8E" w14:textId="40DEAC3D" w:rsidR="00581AB1" w:rsidRDefault="00E137BB" w:rsidP="006C45B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also </w:t>
      </w:r>
      <w:r w:rsidR="00323064">
        <w:rPr>
          <w:rFonts w:ascii="Times New Roman" w:hAnsi="Times New Roman" w:cs="Times New Roman"/>
          <w:sz w:val="24"/>
          <w:szCs w:val="24"/>
        </w:rPr>
        <w:t>consider whether</w:t>
      </w:r>
      <w:r w:rsidR="00187DCD">
        <w:rPr>
          <w:rFonts w:ascii="Times New Roman" w:hAnsi="Times New Roman" w:cs="Times New Roman"/>
          <w:sz w:val="24"/>
          <w:szCs w:val="24"/>
        </w:rPr>
        <w:t xml:space="preserve"> properties with</w:t>
      </w:r>
      <w:r w:rsidR="00323064">
        <w:rPr>
          <w:rFonts w:ascii="Times New Roman" w:hAnsi="Times New Roman" w:cs="Times New Roman"/>
          <w:sz w:val="24"/>
          <w:szCs w:val="24"/>
        </w:rPr>
        <w:t xml:space="preserve"> “positive” or “negative” shocks </w:t>
      </w:r>
      <w:r w:rsidR="00187DCD">
        <w:rPr>
          <w:rFonts w:ascii="Times New Roman" w:hAnsi="Times New Roman" w:cs="Times New Roman"/>
          <w:sz w:val="24"/>
          <w:szCs w:val="24"/>
        </w:rPr>
        <w:t>experience</w:t>
      </w:r>
      <w:r w:rsidR="00323064">
        <w:rPr>
          <w:rFonts w:ascii="Times New Roman" w:hAnsi="Times New Roman" w:cs="Times New Roman"/>
          <w:sz w:val="24"/>
          <w:szCs w:val="24"/>
        </w:rPr>
        <w:t xml:space="preserve"> a</w:t>
      </w:r>
      <w:r w:rsidR="00187DCD">
        <w:rPr>
          <w:rFonts w:ascii="Times New Roman" w:hAnsi="Times New Roman" w:cs="Times New Roman"/>
          <w:sz w:val="24"/>
          <w:szCs w:val="24"/>
        </w:rPr>
        <w:t xml:space="preserve"> different</w:t>
      </w:r>
      <w:r w:rsidR="00323064">
        <w:rPr>
          <w:rFonts w:ascii="Times New Roman" w:hAnsi="Times New Roman" w:cs="Times New Roman"/>
          <w:sz w:val="24"/>
          <w:szCs w:val="24"/>
        </w:rPr>
        <w:t xml:space="preserve"> impact </w:t>
      </w:r>
      <w:r w:rsidR="00187DCD">
        <w:rPr>
          <w:rFonts w:ascii="Times New Roman" w:hAnsi="Times New Roman" w:cs="Times New Roman"/>
          <w:sz w:val="24"/>
          <w:szCs w:val="24"/>
        </w:rPr>
        <w:t xml:space="preserve">of proximity to </w:t>
      </w:r>
      <w:r w:rsidR="008D0934">
        <w:rPr>
          <w:rFonts w:ascii="Times New Roman" w:hAnsi="Times New Roman" w:cs="Times New Roman"/>
          <w:sz w:val="24"/>
          <w:szCs w:val="24"/>
        </w:rPr>
        <w:t>Sandy</w:t>
      </w:r>
      <w:r w:rsidR="00187DCD">
        <w:rPr>
          <w:rFonts w:ascii="Times New Roman" w:hAnsi="Times New Roman" w:cs="Times New Roman"/>
          <w:sz w:val="24"/>
          <w:szCs w:val="24"/>
        </w:rPr>
        <w:t xml:space="preserve"> </w:t>
      </w:r>
      <w:r w:rsidR="00323064">
        <w:rPr>
          <w:rFonts w:ascii="Times New Roman" w:hAnsi="Times New Roman" w:cs="Times New Roman"/>
          <w:sz w:val="24"/>
          <w:szCs w:val="24"/>
        </w:rPr>
        <w:t>on house prices. First, note that d</w:t>
      </w:r>
      <w:r w:rsidRPr="006C45BF">
        <w:rPr>
          <w:rFonts w:ascii="Times New Roman" w:hAnsi="Times New Roman" w:cs="Times New Roman"/>
          <w:sz w:val="24"/>
          <w:szCs w:val="24"/>
        </w:rPr>
        <w:t xml:space="preserve">istance is measured from the centroid of the property. </w:t>
      </w:r>
      <w:r w:rsidR="00AF5C19">
        <w:rPr>
          <w:rFonts w:ascii="Times New Roman" w:hAnsi="Times New Roman" w:cs="Times New Roman"/>
          <w:sz w:val="24"/>
          <w:szCs w:val="24"/>
        </w:rPr>
        <w:t>The positive and negative shock</w:t>
      </w:r>
      <w:r w:rsidR="00122BE1">
        <w:rPr>
          <w:rFonts w:ascii="Times New Roman" w:hAnsi="Times New Roman" w:cs="Times New Roman"/>
          <w:sz w:val="24"/>
          <w:szCs w:val="24"/>
        </w:rPr>
        <w:t xml:space="preserve"> variables</w:t>
      </w:r>
      <w:r w:rsidR="00AF5C19">
        <w:rPr>
          <w:rFonts w:ascii="Times New Roman" w:hAnsi="Times New Roman" w:cs="Times New Roman"/>
          <w:sz w:val="24"/>
          <w:szCs w:val="24"/>
        </w:rPr>
        <w:t xml:space="preserve"> are measuring the distance in each </w:t>
      </w:r>
      <w:r w:rsidR="00122BE1">
        <w:rPr>
          <w:rFonts w:ascii="Times New Roman" w:hAnsi="Times New Roman" w:cs="Times New Roman"/>
          <w:sz w:val="24"/>
          <w:szCs w:val="24"/>
        </w:rPr>
        <w:t xml:space="preserve">subgroup. </w:t>
      </w:r>
      <w:r w:rsidRPr="006C45BF">
        <w:rPr>
          <w:rFonts w:ascii="Times New Roman" w:hAnsi="Times New Roman" w:cs="Times New Roman"/>
          <w:sz w:val="24"/>
          <w:szCs w:val="24"/>
        </w:rPr>
        <w:t>So, if the distance</w:t>
      </w:r>
      <w:r>
        <w:rPr>
          <w:rFonts w:ascii="Times New Roman" w:hAnsi="Times New Roman" w:cs="Times New Roman"/>
          <w:sz w:val="24"/>
          <w:szCs w:val="24"/>
        </w:rPr>
        <w:t xml:space="preserve"> from a property</w:t>
      </w:r>
      <w:r w:rsidRPr="006C45BF">
        <w:rPr>
          <w:rFonts w:ascii="Times New Roman" w:hAnsi="Times New Roman" w:cs="Times New Roman"/>
          <w:sz w:val="24"/>
          <w:szCs w:val="24"/>
        </w:rPr>
        <w:t xml:space="preserve"> to the Sandy flood</w:t>
      </w:r>
      <w:r w:rsidR="00122BE1">
        <w:rPr>
          <w:rFonts w:ascii="Times New Roman" w:hAnsi="Times New Roman" w:cs="Times New Roman"/>
          <w:sz w:val="24"/>
          <w:szCs w:val="24"/>
        </w:rPr>
        <w:t>,</w:t>
      </w:r>
      <w:r w:rsidRPr="006C45BF">
        <w:rPr>
          <w:rFonts w:ascii="Times New Roman" w:hAnsi="Times New Roman" w:cs="Times New Roman"/>
          <w:sz w:val="24"/>
          <w:szCs w:val="24"/>
        </w:rPr>
        <w:t xml:space="preserve"> minus the distance</w:t>
      </w:r>
      <w:r>
        <w:rPr>
          <w:rFonts w:ascii="Times New Roman" w:hAnsi="Times New Roman" w:cs="Times New Roman"/>
          <w:sz w:val="24"/>
          <w:szCs w:val="24"/>
        </w:rPr>
        <w:t xml:space="preserve"> between the same property and</w:t>
      </w:r>
      <w:r w:rsidRPr="006C45BF">
        <w:rPr>
          <w:rFonts w:ascii="Times New Roman" w:hAnsi="Times New Roman" w:cs="Times New Roman"/>
          <w:sz w:val="24"/>
          <w:szCs w:val="24"/>
        </w:rPr>
        <w:t xml:space="preserve"> the FEMA floodplain, </w:t>
      </w:r>
      <w:r w:rsidRPr="006C45BF">
        <w:rPr>
          <w:rFonts w:ascii="Times New Roman" w:hAnsi="Times New Roman" w:cs="Times New Roman"/>
          <w:i/>
          <w:iCs/>
          <w:sz w:val="24"/>
          <w:szCs w:val="24"/>
        </w:rPr>
        <w:t>Sandy-FEMA,</w:t>
      </w:r>
      <w:r w:rsidRPr="006C45BF">
        <w:rPr>
          <w:rFonts w:ascii="Times New Roman" w:hAnsi="Times New Roman" w:cs="Times New Roman"/>
          <w:sz w:val="24"/>
          <w:szCs w:val="24"/>
        </w:rPr>
        <w:t xml:space="preserve"> is positive, it means that the FEMA floodplain was closer to the property than the storm (a </w:t>
      </w:r>
      <w:r>
        <w:rPr>
          <w:rFonts w:ascii="Times New Roman" w:hAnsi="Times New Roman" w:cs="Times New Roman"/>
          <w:sz w:val="24"/>
          <w:szCs w:val="24"/>
        </w:rPr>
        <w:t xml:space="preserve">large </w:t>
      </w:r>
      <w:r w:rsidRPr="006C45BF">
        <w:rPr>
          <w:rFonts w:ascii="Times New Roman" w:hAnsi="Times New Roman" w:cs="Times New Roman"/>
          <w:sz w:val="24"/>
          <w:szCs w:val="24"/>
        </w:rPr>
        <w:t xml:space="preserve">positive shock). A negative value for </w:t>
      </w:r>
      <w:r w:rsidRPr="006C45BF">
        <w:rPr>
          <w:rFonts w:ascii="Times New Roman" w:hAnsi="Times New Roman" w:cs="Times New Roman"/>
          <w:i/>
          <w:iCs/>
          <w:sz w:val="24"/>
          <w:szCs w:val="24"/>
        </w:rPr>
        <w:t>Sandy-FEMA</w:t>
      </w:r>
      <w:r w:rsidRPr="006C45BF">
        <w:rPr>
          <w:rFonts w:ascii="Times New Roman" w:hAnsi="Times New Roman" w:cs="Times New Roman"/>
          <w:sz w:val="24"/>
          <w:szCs w:val="24"/>
        </w:rPr>
        <w:t xml:space="preserve"> means the storm was closer to the property than the FEMA floodplain (a </w:t>
      </w:r>
      <w:r>
        <w:rPr>
          <w:rFonts w:ascii="Times New Roman" w:hAnsi="Times New Roman" w:cs="Times New Roman"/>
          <w:sz w:val="24"/>
          <w:szCs w:val="24"/>
        </w:rPr>
        <w:t xml:space="preserve">large </w:t>
      </w:r>
      <w:r w:rsidRPr="006C45BF">
        <w:rPr>
          <w:rFonts w:ascii="Times New Roman" w:hAnsi="Times New Roman" w:cs="Times New Roman"/>
          <w:sz w:val="24"/>
          <w:szCs w:val="24"/>
        </w:rPr>
        <w:t>negative shock).</w:t>
      </w:r>
      <w:r>
        <w:rPr>
          <w:rFonts w:ascii="Times New Roman" w:hAnsi="Times New Roman" w:cs="Times New Roman"/>
          <w:sz w:val="24"/>
          <w:szCs w:val="24"/>
        </w:rPr>
        <w:t xml:space="preserve"> </w:t>
      </w:r>
      <w:r w:rsidR="0078570B">
        <w:rPr>
          <w:rFonts w:ascii="Times New Roman" w:hAnsi="Times New Roman" w:cs="Times New Roman"/>
          <w:sz w:val="24"/>
          <w:szCs w:val="24"/>
        </w:rPr>
        <w:t>We return to this issue in the results section below</w:t>
      </w:r>
      <w:r w:rsidR="00581AB1">
        <w:rPr>
          <w:rFonts w:ascii="Times New Roman" w:hAnsi="Times New Roman" w:cs="Times New Roman"/>
          <w:sz w:val="24"/>
          <w:szCs w:val="24"/>
        </w:rPr>
        <w:t>.</w:t>
      </w:r>
    </w:p>
    <w:p w14:paraId="39827BF3" w14:textId="377EA44C" w:rsidR="00581AB1" w:rsidRDefault="00581AB1" w:rsidP="006C45BF">
      <w:pPr>
        <w:pStyle w:val="NoSpacing"/>
        <w:spacing w:line="480" w:lineRule="auto"/>
        <w:jc w:val="both"/>
        <w:rPr>
          <w:rFonts w:ascii="Times New Roman" w:eastAsiaTheme="minorEastAsia" w:hAnsi="Times New Roman" w:cs="Times New Roman"/>
          <w:sz w:val="24"/>
          <w:szCs w:val="24"/>
        </w:rPr>
      </w:pPr>
    </w:p>
    <w:p w14:paraId="1071BC52" w14:textId="77777777" w:rsidR="002E6ABF" w:rsidRPr="006C45BF" w:rsidRDefault="002E6ABF" w:rsidP="006C45BF">
      <w:pPr>
        <w:pStyle w:val="NoSpacing"/>
        <w:spacing w:line="480" w:lineRule="auto"/>
        <w:jc w:val="both"/>
        <w:rPr>
          <w:rFonts w:ascii="Times New Roman" w:eastAsiaTheme="minorEastAsia" w:hAnsi="Times New Roman" w:cs="Times New Roman"/>
          <w:sz w:val="24"/>
          <w:szCs w:val="24"/>
        </w:rPr>
      </w:pPr>
    </w:p>
    <w:p w14:paraId="7D22EF38" w14:textId="77777777" w:rsidR="006029C9" w:rsidRPr="006C45BF" w:rsidRDefault="002C3544" w:rsidP="006C45BF">
      <w:pPr>
        <w:pStyle w:val="ListParagraph"/>
        <w:numPr>
          <w:ilvl w:val="0"/>
          <w:numId w:val="12"/>
        </w:numPr>
        <w:spacing w:line="480" w:lineRule="auto"/>
        <w:jc w:val="both"/>
        <w:rPr>
          <w:rFonts w:ascii="Times New Roman" w:hAnsi="Times New Roman" w:cs="Times New Roman"/>
          <w:b/>
          <w:bCs/>
          <w:sz w:val="24"/>
          <w:szCs w:val="24"/>
        </w:rPr>
      </w:pPr>
      <w:r w:rsidRPr="006C45BF">
        <w:rPr>
          <w:rFonts w:ascii="Times New Roman" w:hAnsi="Times New Roman" w:cs="Times New Roman"/>
          <w:b/>
          <w:bCs/>
          <w:sz w:val="24"/>
          <w:szCs w:val="24"/>
        </w:rPr>
        <w:t>Hurricane Sandy</w:t>
      </w:r>
    </w:p>
    <w:p w14:paraId="7B9CBC39" w14:textId="77777777" w:rsidR="002C3544" w:rsidRPr="006C45BF" w:rsidRDefault="002C3544" w:rsidP="006C45BF">
      <w:pPr>
        <w:pStyle w:val="ListParagraph"/>
        <w:numPr>
          <w:ilvl w:val="1"/>
          <w:numId w:val="12"/>
        </w:numPr>
        <w:spacing w:line="480" w:lineRule="auto"/>
        <w:jc w:val="both"/>
        <w:rPr>
          <w:rFonts w:ascii="Times New Roman" w:hAnsi="Times New Roman" w:cs="Times New Roman"/>
          <w:b/>
          <w:bCs/>
          <w:sz w:val="24"/>
          <w:szCs w:val="24"/>
        </w:rPr>
      </w:pPr>
      <w:r w:rsidRPr="006C45BF">
        <w:rPr>
          <w:rFonts w:ascii="Times New Roman" w:hAnsi="Times New Roman" w:cs="Times New Roman"/>
          <w:b/>
          <w:bCs/>
          <w:sz w:val="24"/>
          <w:szCs w:val="24"/>
        </w:rPr>
        <w:t xml:space="preserve"> The Data</w:t>
      </w:r>
    </w:p>
    <w:p w14:paraId="46EDCC0B" w14:textId="5DD9E04F" w:rsidR="006029C9" w:rsidRPr="006C45BF" w:rsidRDefault="00E06CED" w:rsidP="006C45BF">
      <w:pPr>
        <w:spacing w:line="480" w:lineRule="auto"/>
        <w:jc w:val="both"/>
        <w:rPr>
          <w:rFonts w:ascii="Times New Roman" w:hAnsi="Times New Roman" w:cs="Times New Roman"/>
          <w:sz w:val="24"/>
          <w:szCs w:val="24"/>
        </w:rPr>
      </w:pPr>
      <w:r w:rsidRPr="006C45BF">
        <w:rPr>
          <w:rFonts w:ascii="Times New Roman" w:hAnsi="Times New Roman" w:cs="Times New Roman"/>
          <w:sz w:val="24"/>
          <w:szCs w:val="24"/>
        </w:rPr>
        <w:t xml:space="preserve">Here </w:t>
      </w:r>
      <w:r w:rsidR="002B2020" w:rsidRPr="006C45BF">
        <w:rPr>
          <w:rFonts w:ascii="Times New Roman" w:hAnsi="Times New Roman" w:cs="Times New Roman"/>
          <w:sz w:val="24"/>
          <w:szCs w:val="24"/>
        </w:rPr>
        <w:t xml:space="preserve">we </w:t>
      </w:r>
      <w:r w:rsidRPr="006C45BF">
        <w:rPr>
          <w:rFonts w:ascii="Times New Roman" w:hAnsi="Times New Roman" w:cs="Times New Roman"/>
          <w:sz w:val="24"/>
          <w:szCs w:val="24"/>
        </w:rPr>
        <w:t xml:space="preserve">provide some basic information about the data; </w:t>
      </w:r>
      <w:r w:rsidR="00B91C9D" w:rsidRPr="006C45BF">
        <w:rPr>
          <w:rFonts w:ascii="Times New Roman" w:hAnsi="Times New Roman" w:cs="Times New Roman"/>
          <w:sz w:val="24"/>
          <w:szCs w:val="24"/>
        </w:rPr>
        <w:t>A</w:t>
      </w:r>
      <w:r w:rsidR="00A337D0" w:rsidRPr="006C45BF">
        <w:rPr>
          <w:rFonts w:ascii="Times New Roman" w:hAnsi="Times New Roman" w:cs="Times New Roman"/>
          <w:sz w:val="24"/>
          <w:szCs w:val="24"/>
        </w:rPr>
        <w:t>ppendix</w:t>
      </w:r>
      <w:r w:rsidR="00C21F56" w:rsidRPr="006C45BF">
        <w:rPr>
          <w:rFonts w:ascii="Times New Roman" w:hAnsi="Times New Roman" w:cs="Times New Roman"/>
          <w:sz w:val="24"/>
          <w:szCs w:val="24"/>
        </w:rPr>
        <w:t xml:space="preserve"> A</w:t>
      </w:r>
      <w:r w:rsidR="00A337D0" w:rsidRPr="006C45BF">
        <w:rPr>
          <w:rFonts w:ascii="Times New Roman" w:hAnsi="Times New Roman" w:cs="Times New Roman"/>
          <w:sz w:val="24"/>
          <w:szCs w:val="24"/>
        </w:rPr>
        <w:t xml:space="preserve"> </w:t>
      </w:r>
      <w:r w:rsidRPr="006C45BF">
        <w:rPr>
          <w:rFonts w:ascii="Times New Roman" w:hAnsi="Times New Roman" w:cs="Times New Roman"/>
          <w:sz w:val="24"/>
          <w:szCs w:val="24"/>
        </w:rPr>
        <w:t xml:space="preserve">gives more </w:t>
      </w:r>
      <w:r w:rsidR="00A337D0" w:rsidRPr="006C45BF">
        <w:rPr>
          <w:rFonts w:ascii="Times New Roman" w:hAnsi="Times New Roman" w:cs="Times New Roman"/>
          <w:sz w:val="24"/>
          <w:szCs w:val="24"/>
        </w:rPr>
        <w:t xml:space="preserve">details </w:t>
      </w:r>
      <w:r w:rsidRPr="006C45BF">
        <w:rPr>
          <w:rFonts w:ascii="Times New Roman" w:hAnsi="Times New Roman" w:cs="Times New Roman"/>
          <w:sz w:val="24"/>
          <w:szCs w:val="24"/>
        </w:rPr>
        <w:t>about the dat</w:t>
      </w:r>
      <w:r w:rsidR="00EF45F2" w:rsidRPr="006C45BF">
        <w:rPr>
          <w:rFonts w:ascii="Times New Roman" w:hAnsi="Times New Roman" w:cs="Times New Roman"/>
          <w:sz w:val="24"/>
          <w:szCs w:val="24"/>
        </w:rPr>
        <w:t>a collection, processing</w:t>
      </w:r>
      <w:r w:rsidR="0089361B" w:rsidRPr="006C45BF">
        <w:rPr>
          <w:rFonts w:ascii="Times New Roman" w:hAnsi="Times New Roman" w:cs="Times New Roman"/>
          <w:sz w:val="24"/>
          <w:szCs w:val="24"/>
        </w:rPr>
        <w:t>,</w:t>
      </w:r>
      <w:r w:rsidR="00EF45F2" w:rsidRPr="006C45BF">
        <w:rPr>
          <w:rFonts w:ascii="Times New Roman" w:hAnsi="Times New Roman" w:cs="Times New Roman"/>
          <w:sz w:val="24"/>
          <w:szCs w:val="24"/>
        </w:rPr>
        <w:t xml:space="preserve"> and so</w:t>
      </w:r>
      <w:r w:rsidRPr="006C45BF">
        <w:rPr>
          <w:rFonts w:ascii="Times New Roman" w:hAnsi="Times New Roman" w:cs="Times New Roman"/>
          <w:sz w:val="24"/>
          <w:szCs w:val="24"/>
        </w:rPr>
        <w:t>u</w:t>
      </w:r>
      <w:r w:rsidR="00EF45F2" w:rsidRPr="006C45BF">
        <w:rPr>
          <w:rFonts w:ascii="Times New Roman" w:hAnsi="Times New Roman" w:cs="Times New Roman"/>
          <w:sz w:val="24"/>
          <w:szCs w:val="24"/>
        </w:rPr>
        <w:t>r</w:t>
      </w:r>
      <w:r w:rsidRPr="006C45BF">
        <w:rPr>
          <w:rFonts w:ascii="Times New Roman" w:hAnsi="Times New Roman" w:cs="Times New Roman"/>
          <w:sz w:val="24"/>
          <w:szCs w:val="24"/>
        </w:rPr>
        <w:t>ces</w:t>
      </w:r>
      <w:r w:rsidR="00A337D0" w:rsidRPr="006C45BF">
        <w:rPr>
          <w:rFonts w:ascii="Times New Roman" w:hAnsi="Times New Roman" w:cs="Times New Roman"/>
          <w:sz w:val="24"/>
          <w:szCs w:val="24"/>
        </w:rPr>
        <w:t xml:space="preserve">. </w:t>
      </w:r>
      <w:r w:rsidR="001E7711" w:rsidRPr="006C45BF">
        <w:rPr>
          <w:rFonts w:ascii="Times New Roman" w:hAnsi="Times New Roman" w:cs="Times New Roman"/>
          <w:b/>
          <w:bCs/>
          <w:sz w:val="24"/>
          <w:szCs w:val="24"/>
        </w:rPr>
        <w:t>Table</w:t>
      </w:r>
      <w:r w:rsidR="00530040" w:rsidRPr="006C45BF">
        <w:rPr>
          <w:rFonts w:ascii="Times New Roman" w:hAnsi="Times New Roman" w:cs="Times New Roman"/>
          <w:b/>
          <w:bCs/>
          <w:sz w:val="24"/>
          <w:szCs w:val="24"/>
        </w:rPr>
        <w:t xml:space="preserve"> </w:t>
      </w:r>
      <w:r w:rsidR="00307675" w:rsidRPr="006C45BF">
        <w:rPr>
          <w:rFonts w:ascii="Times New Roman" w:hAnsi="Times New Roman" w:cs="Times New Roman"/>
          <w:b/>
          <w:bCs/>
          <w:sz w:val="24"/>
          <w:szCs w:val="24"/>
        </w:rPr>
        <w:t>1</w:t>
      </w:r>
      <w:r w:rsidR="001E7711" w:rsidRPr="006C45BF">
        <w:rPr>
          <w:rFonts w:ascii="Times New Roman" w:hAnsi="Times New Roman" w:cs="Times New Roman"/>
          <w:b/>
          <w:bCs/>
          <w:sz w:val="24"/>
          <w:szCs w:val="24"/>
        </w:rPr>
        <w:t xml:space="preserve"> </w:t>
      </w:r>
      <w:r w:rsidR="001E7711" w:rsidRPr="006C45BF">
        <w:rPr>
          <w:rFonts w:ascii="Times New Roman" w:hAnsi="Times New Roman" w:cs="Times New Roman"/>
          <w:sz w:val="24"/>
          <w:szCs w:val="24"/>
        </w:rPr>
        <w:t>provides descriptive statistics for the data set</w:t>
      </w:r>
      <w:r w:rsidR="00655E06" w:rsidRPr="006C45BF">
        <w:rPr>
          <w:rFonts w:ascii="Times New Roman" w:hAnsi="Times New Roman" w:cs="Times New Roman"/>
          <w:sz w:val="24"/>
          <w:szCs w:val="24"/>
        </w:rPr>
        <w:t xml:space="preserve"> </w:t>
      </w:r>
      <w:r w:rsidR="006C179B">
        <w:rPr>
          <w:rFonts w:ascii="Times New Roman" w:hAnsi="Times New Roman" w:cs="Times New Roman"/>
          <w:sz w:val="24"/>
          <w:szCs w:val="24"/>
        </w:rPr>
        <w:t>for</w:t>
      </w:r>
      <w:r w:rsidR="00BE472A">
        <w:rPr>
          <w:rFonts w:ascii="Times New Roman" w:hAnsi="Times New Roman" w:cs="Times New Roman"/>
          <w:sz w:val="24"/>
          <w:szCs w:val="24"/>
        </w:rPr>
        <w:t xml:space="preserve"> </w:t>
      </w:r>
      <w:r w:rsidR="006C179B">
        <w:rPr>
          <w:rFonts w:ascii="Times New Roman" w:hAnsi="Times New Roman" w:cs="Times New Roman"/>
          <w:sz w:val="24"/>
          <w:szCs w:val="24"/>
        </w:rPr>
        <w:t>2011-2014</w:t>
      </w:r>
      <w:r w:rsidR="00655E06" w:rsidRPr="006C45BF">
        <w:rPr>
          <w:rFonts w:ascii="Times New Roman" w:hAnsi="Times New Roman" w:cs="Times New Roman"/>
          <w:sz w:val="24"/>
          <w:szCs w:val="24"/>
        </w:rPr>
        <w:t xml:space="preserve">, which is our main sample for the </w:t>
      </w:r>
      <w:r w:rsidR="00037E4C">
        <w:rPr>
          <w:rFonts w:ascii="Times New Roman" w:hAnsi="Times New Roman" w:cs="Times New Roman"/>
          <w:sz w:val="24"/>
          <w:szCs w:val="24"/>
        </w:rPr>
        <w:t>difference</w:t>
      </w:r>
      <w:r w:rsidR="00F4273E">
        <w:rPr>
          <w:rFonts w:ascii="Times New Roman" w:hAnsi="Times New Roman" w:cs="Times New Roman"/>
          <w:sz w:val="24"/>
          <w:szCs w:val="24"/>
        </w:rPr>
        <w:t>-in-diff</w:t>
      </w:r>
      <w:r w:rsidR="00037E4C">
        <w:rPr>
          <w:rFonts w:ascii="Times New Roman" w:hAnsi="Times New Roman" w:cs="Times New Roman"/>
          <w:sz w:val="24"/>
          <w:szCs w:val="24"/>
        </w:rPr>
        <w:t>erence</w:t>
      </w:r>
      <w:r w:rsidR="00655E06" w:rsidRPr="006C45BF">
        <w:rPr>
          <w:rFonts w:ascii="Times New Roman" w:hAnsi="Times New Roman" w:cs="Times New Roman"/>
          <w:sz w:val="24"/>
          <w:szCs w:val="24"/>
        </w:rPr>
        <w:t xml:space="preserve"> regressions. </w:t>
      </w:r>
      <w:r w:rsidR="001E7711" w:rsidRPr="006C45BF">
        <w:rPr>
          <w:rFonts w:ascii="Times New Roman" w:hAnsi="Times New Roman" w:cs="Times New Roman"/>
          <w:sz w:val="24"/>
          <w:szCs w:val="24"/>
        </w:rPr>
        <w:t xml:space="preserve"> </w:t>
      </w:r>
      <w:r w:rsidR="00883D63" w:rsidRPr="006C45BF">
        <w:rPr>
          <w:rFonts w:ascii="Times New Roman" w:hAnsi="Times New Roman" w:cs="Times New Roman"/>
          <w:sz w:val="24"/>
          <w:szCs w:val="24"/>
        </w:rPr>
        <w:t xml:space="preserve">Information about </w:t>
      </w:r>
      <w:r w:rsidR="001E7711" w:rsidRPr="006C45BF">
        <w:rPr>
          <w:rFonts w:ascii="Times New Roman" w:hAnsi="Times New Roman" w:cs="Times New Roman"/>
          <w:sz w:val="24"/>
          <w:szCs w:val="24"/>
        </w:rPr>
        <w:t xml:space="preserve">additional control variables are provided in the Appendix.  </w:t>
      </w:r>
    </w:p>
    <w:p w14:paraId="7971E1A9" w14:textId="76270AF3" w:rsidR="00610ADB" w:rsidRPr="006C45BF" w:rsidRDefault="00610ADB" w:rsidP="006C45BF">
      <w:pPr>
        <w:spacing w:line="480" w:lineRule="auto"/>
        <w:jc w:val="center"/>
        <w:rPr>
          <w:rFonts w:ascii="Times New Roman" w:hAnsi="Times New Roman" w:cs="Times New Roman"/>
          <w:b/>
          <w:bCs/>
          <w:sz w:val="24"/>
          <w:szCs w:val="24"/>
        </w:rPr>
      </w:pPr>
      <w:r w:rsidRPr="006C45BF">
        <w:rPr>
          <w:rFonts w:ascii="Times New Roman" w:hAnsi="Times New Roman" w:cs="Times New Roman"/>
          <w:b/>
          <w:bCs/>
          <w:sz w:val="24"/>
          <w:szCs w:val="24"/>
        </w:rPr>
        <w:t xml:space="preserve">{Table </w:t>
      </w:r>
      <w:r w:rsidR="00307675" w:rsidRPr="006C45BF">
        <w:rPr>
          <w:rFonts w:ascii="Times New Roman" w:hAnsi="Times New Roman" w:cs="Times New Roman"/>
          <w:b/>
          <w:bCs/>
          <w:sz w:val="24"/>
          <w:szCs w:val="24"/>
        </w:rPr>
        <w:t>1</w:t>
      </w:r>
      <w:r w:rsidR="005720BD" w:rsidRPr="006C45BF">
        <w:rPr>
          <w:rFonts w:ascii="Times New Roman" w:hAnsi="Times New Roman" w:cs="Times New Roman"/>
          <w:b/>
          <w:bCs/>
          <w:sz w:val="24"/>
          <w:szCs w:val="24"/>
        </w:rPr>
        <w:t xml:space="preserve"> about here: </w:t>
      </w:r>
      <w:r w:rsidRPr="006C45BF">
        <w:rPr>
          <w:rFonts w:ascii="Times New Roman" w:hAnsi="Times New Roman" w:cs="Times New Roman"/>
          <w:b/>
          <w:bCs/>
          <w:sz w:val="24"/>
          <w:szCs w:val="24"/>
        </w:rPr>
        <w:t>Desc stats</w:t>
      </w:r>
      <w:r w:rsidR="005720BD" w:rsidRPr="006C45BF">
        <w:rPr>
          <w:rFonts w:ascii="Times New Roman" w:hAnsi="Times New Roman" w:cs="Times New Roman"/>
          <w:b/>
          <w:bCs/>
          <w:sz w:val="24"/>
          <w:szCs w:val="24"/>
        </w:rPr>
        <w:t>.</w:t>
      </w:r>
      <w:r w:rsidRPr="006C45BF">
        <w:rPr>
          <w:rFonts w:ascii="Times New Roman" w:hAnsi="Times New Roman" w:cs="Times New Roman"/>
          <w:b/>
          <w:bCs/>
          <w:sz w:val="24"/>
          <w:szCs w:val="24"/>
        </w:rPr>
        <w:t>}</w:t>
      </w:r>
    </w:p>
    <w:p w14:paraId="0DCD8C4C" w14:textId="7F8391ED" w:rsidR="00E8035E" w:rsidRPr="006C45BF" w:rsidRDefault="003D6892" w:rsidP="006C45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Recall that the date </w:t>
      </w:r>
      <w:r w:rsidRPr="006C45BF">
        <w:rPr>
          <w:rFonts w:ascii="Times New Roman" w:hAnsi="Times New Roman" w:cs="Times New Roman"/>
          <w:sz w:val="24"/>
          <w:szCs w:val="24"/>
        </w:rPr>
        <w:t>Hurricane Sandy</w:t>
      </w:r>
      <w:r w:rsidR="0018351B">
        <w:rPr>
          <w:rFonts w:ascii="Times New Roman" w:hAnsi="Times New Roman" w:cs="Times New Roman"/>
          <w:sz w:val="24"/>
          <w:szCs w:val="24"/>
        </w:rPr>
        <w:t xml:space="preserve"> hit New York City</w:t>
      </w:r>
      <w:r>
        <w:rPr>
          <w:rFonts w:ascii="Times New Roman" w:hAnsi="Times New Roman" w:cs="Times New Roman"/>
          <w:sz w:val="24"/>
          <w:szCs w:val="24"/>
        </w:rPr>
        <w:t xml:space="preserve"> was</w:t>
      </w:r>
      <w:r w:rsidR="00435AA3">
        <w:rPr>
          <w:rFonts w:ascii="Times New Roman" w:hAnsi="Times New Roman" w:cs="Times New Roman"/>
          <w:sz w:val="24"/>
          <w:szCs w:val="24"/>
        </w:rPr>
        <w:t xml:space="preserve"> </w:t>
      </w:r>
      <w:r w:rsidRPr="006C45BF">
        <w:rPr>
          <w:rFonts w:ascii="Times New Roman" w:hAnsi="Times New Roman" w:cs="Times New Roman"/>
          <w:sz w:val="24"/>
          <w:szCs w:val="24"/>
        </w:rPr>
        <w:t>October 29, 201</w:t>
      </w:r>
      <w:r w:rsidR="00B26AA0">
        <w:rPr>
          <w:rFonts w:ascii="Times New Roman" w:hAnsi="Times New Roman" w:cs="Times New Roman"/>
          <w:sz w:val="24"/>
          <w:szCs w:val="24"/>
        </w:rPr>
        <w:t>2</w:t>
      </w:r>
      <w:r>
        <w:rPr>
          <w:rFonts w:ascii="Times New Roman" w:hAnsi="Times New Roman" w:cs="Times New Roman"/>
          <w:sz w:val="24"/>
          <w:szCs w:val="24"/>
        </w:rPr>
        <w:t>.</w:t>
      </w:r>
      <w:r w:rsidR="001E7711" w:rsidRPr="006C45BF">
        <w:rPr>
          <w:rFonts w:ascii="Times New Roman" w:hAnsi="Times New Roman" w:cs="Times New Roman"/>
          <w:sz w:val="24"/>
          <w:szCs w:val="24"/>
        </w:rPr>
        <w:t xml:space="preserve"> </w:t>
      </w:r>
      <w:r>
        <w:rPr>
          <w:rFonts w:ascii="Times New Roman" w:hAnsi="Times New Roman" w:cs="Times New Roman"/>
          <w:sz w:val="24"/>
          <w:szCs w:val="24"/>
        </w:rPr>
        <w:t>W</w:t>
      </w:r>
      <w:r w:rsidR="001E7711" w:rsidRPr="006C45BF">
        <w:rPr>
          <w:rFonts w:ascii="Times New Roman" w:hAnsi="Times New Roman" w:cs="Times New Roman"/>
          <w:sz w:val="24"/>
          <w:szCs w:val="24"/>
        </w:rPr>
        <w:t xml:space="preserve">e provide statistics for residential properties that were within one mile </w:t>
      </w:r>
      <w:r w:rsidR="00883D63" w:rsidRPr="006C45BF">
        <w:rPr>
          <w:rFonts w:ascii="Times New Roman" w:hAnsi="Times New Roman" w:cs="Times New Roman"/>
          <w:sz w:val="24"/>
          <w:szCs w:val="24"/>
        </w:rPr>
        <w:t xml:space="preserve">(but outside </w:t>
      </w:r>
      <w:r w:rsidR="001E7711" w:rsidRPr="006C45BF">
        <w:rPr>
          <w:rFonts w:ascii="Times New Roman" w:hAnsi="Times New Roman" w:cs="Times New Roman"/>
          <w:sz w:val="24"/>
          <w:szCs w:val="24"/>
        </w:rPr>
        <w:t>of</w:t>
      </w:r>
      <w:r w:rsidR="00883D63" w:rsidRPr="006C45BF">
        <w:rPr>
          <w:rFonts w:ascii="Times New Roman" w:hAnsi="Times New Roman" w:cs="Times New Roman"/>
          <w:sz w:val="24"/>
          <w:szCs w:val="24"/>
        </w:rPr>
        <w:t xml:space="preserve">) </w:t>
      </w:r>
      <w:r w:rsidR="001E7711" w:rsidRPr="006C45BF">
        <w:rPr>
          <w:rFonts w:ascii="Times New Roman" w:hAnsi="Times New Roman" w:cs="Times New Roman"/>
          <w:sz w:val="24"/>
          <w:szCs w:val="24"/>
        </w:rPr>
        <w:t>the storm surge boundary</w:t>
      </w:r>
      <w:r w:rsidR="00C232D5">
        <w:rPr>
          <w:rFonts w:ascii="Times New Roman" w:hAnsi="Times New Roman" w:cs="Times New Roman"/>
          <w:sz w:val="24"/>
          <w:szCs w:val="24"/>
        </w:rPr>
        <w:t>, but at least 0.03 miles from the storm surge boundary</w:t>
      </w:r>
      <w:r>
        <w:rPr>
          <w:rFonts w:ascii="Times New Roman" w:hAnsi="Times New Roman" w:cs="Times New Roman"/>
          <w:sz w:val="24"/>
          <w:szCs w:val="24"/>
        </w:rPr>
        <w:t>,</w:t>
      </w:r>
      <w:r w:rsidR="006029C9" w:rsidRPr="006C45BF">
        <w:rPr>
          <w:rFonts w:ascii="Times New Roman" w:hAnsi="Times New Roman" w:cs="Times New Roman"/>
          <w:sz w:val="24"/>
          <w:szCs w:val="24"/>
        </w:rPr>
        <w:t xml:space="preserve"> and </w:t>
      </w:r>
      <w:r w:rsidR="001E7711" w:rsidRPr="006C45BF">
        <w:rPr>
          <w:rFonts w:ascii="Times New Roman" w:hAnsi="Times New Roman" w:cs="Times New Roman"/>
          <w:sz w:val="24"/>
          <w:szCs w:val="24"/>
        </w:rPr>
        <w:t xml:space="preserve">sold </w:t>
      </w:r>
      <w:r w:rsidR="001326AF">
        <w:rPr>
          <w:rFonts w:ascii="Times New Roman" w:hAnsi="Times New Roman" w:cs="Times New Roman"/>
          <w:sz w:val="24"/>
          <w:szCs w:val="24"/>
        </w:rPr>
        <w:t>between January 1, 2011 and December 31, 201</w:t>
      </w:r>
      <w:r w:rsidR="00953C3F">
        <w:rPr>
          <w:rFonts w:ascii="Times New Roman" w:hAnsi="Times New Roman" w:cs="Times New Roman"/>
          <w:sz w:val="24"/>
          <w:szCs w:val="24"/>
        </w:rPr>
        <w:t>3</w:t>
      </w:r>
      <w:r w:rsidR="00F70AA0">
        <w:rPr>
          <w:rFonts w:ascii="Times New Roman" w:hAnsi="Times New Roman" w:cs="Times New Roman"/>
          <w:sz w:val="24"/>
          <w:szCs w:val="24"/>
        </w:rPr>
        <w:t xml:space="preserve"> </w:t>
      </w:r>
      <w:r w:rsidR="00883D63" w:rsidRPr="006C45BF">
        <w:rPr>
          <w:rFonts w:ascii="Times New Roman" w:hAnsi="Times New Roman" w:cs="Times New Roman"/>
          <w:sz w:val="24"/>
          <w:szCs w:val="24"/>
        </w:rPr>
        <w:t xml:space="preserve">(see </w:t>
      </w:r>
      <w:r w:rsidR="00883D63" w:rsidRPr="00F646A2">
        <w:rPr>
          <w:rFonts w:ascii="Times New Roman" w:hAnsi="Times New Roman" w:cs="Times New Roman"/>
          <w:b/>
          <w:bCs/>
          <w:sz w:val="24"/>
          <w:szCs w:val="24"/>
        </w:rPr>
        <w:t>Figure 1</w:t>
      </w:r>
      <w:r w:rsidR="00883D63" w:rsidRPr="006C45BF">
        <w:rPr>
          <w:rFonts w:ascii="Times New Roman" w:hAnsi="Times New Roman" w:cs="Times New Roman"/>
          <w:sz w:val="24"/>
          <w:szCs w:val="24"/>
        </w:rPr>
        <w:t>)</w:t>
      </w:r>
      <w:r w:rsidR="001E7711" w:rsidRPr="006C45BF">
        <w:rPr>
          <w:rFonts w:ascii="Times New Roman" w:hAnsi="Times New Roman" w:cs="Times New Roman"/>
          <w:sz w:val="24"/>
          <w:szCs w:val="24"/>
        </w:rPr>
        <w:t xml:space="preserve">. Here residential properties are any kind of structure that has at least one residential unit. However, the vast majority (83%) of the properties </w:t>
      </w:r>
      <w:r w:rsidR="00883D63" w:rsidRPr="006C45BF">
        <w:rPr>
          <w:rFonts w:ascii="Times New Roman" w:hAnsi="Times New Roman" w:cs="Times New Roman"/>
          <w:sz w:val="24"/>
          <w:szCs w:val="24"/>
        </w:rPr>
        <w:t>in the sample</w:t>
      </w:r>
      <w:r w:rsidR="001E7711" w:rsidRPr="006C45BF">
        <w:rPr>
          <w:rFonts w:ascii="Times New Roman" w:hAnsi="Times New Roman" w:cs="Times New Roman"/>
          <w:sz w:val="24"/>
          <w:szCs w:val="24"/>
        </w:rPr>
        <w:t xml:space="preserve"> are one- or two-family homes. But apartment buildings and at least one </w:t>
      </w:r>
      <w:r w:rsidR="00307675" w:rsidRPr="006C45BF">
        <w:rPr>
          <w:rFonts w:ascii="Times New Roman" w:hAnsi="Times New Roman" w:cs="Times New Roman"/>
          <w:sz w:val="24"/>
          <w:szCs w:val="24"/>
        </w:rPr>
        <w:t xml:space="preserve">housing </w:t>
      </w:r>
      <w:r w:rsidR="001E7711" w:rsidRPr="006C45BF">
        <w:rPr>
          <w:rFonts w:ascii="Times New Roman" w:hAnsi="Times New Roman" w:cs="Times New Roman"/>
          <w:sz w:val="24"/>
          <w:szCs w:val="24"/>
        </w:rPr>
        <w:t>complex are included in the sample</w:t>
      </w:r>
      <w:r w:rsidR="00883D63" w:rsidRPr="006C45BF">
        <w:rPr>
          <w:rFonts w:ascii="Times New Roman" w:hAnsi="Times New Roman" w:cs="Times New Roman"/>
          <w:sz w:val="24"/>
          <w:szCs w:val="24"/>
        </w:rPr>
        <w:t xml:space="preserve"> (dummy variables for building types are included in the regressions)</w:t>
      </w:r>
      <w:r w:rsidR="001E7711" w:rsidRPr="006C45BF">
        <w:rPr>
          <w:rFonts w:ascii="Times New Roman" w:hAnsi="Times New Roman" w:cs="Times New Roman"/>
          <w:sz w:val="24"/>
          <w:szCs w:val="24"/>
        </w:rPr>
        <w:t>. The largest fraction of properties (</w:t>
      </w:r>
      <w:r w:rsidR="00D60C1E" w:rsidRPr="006C45BF">
        <w:rPr>
          <w:rFonts w:ascii="Times New Roman" w:hAnsi="Times New Roman" w:cs="Times New Roman"/>
          <w:sz w:val="24"/>
          <w:szCs w:val="24"/>
        </w:rPr>
        <w:t>3</w:t>
      </w:r>
      <w:r w:rsidR="00D60C1E">
        <w:rPr>
          <w:rFonts w:ascii="Times New Roman" w:hAnsi="Times New Roman" w:cs="Times New Roman"/>
          <w:sz w:val="24"/>
          <w:szCs w:val="24"/>
        </w:rPr>
        <w:t>3</w:t>
      </w:r>
      <w:r w:rsidR="00402EF6">
        <w:rPr>
          <w:rFonts w:ascii="Times New Roman" w:hAnsi="Times New Roman" w:cs="Times New Roman"/>
          <w:sz w:val="24"/>
          <w:szCs w:val="24"/>
        </w:rPr>
        <w:t>.</w:t>
      </w:r>
      <w:r w:rsidR="00D60C1E">
        <w:rPr>
          <w:rFonts w:ascii="Times New Roman" w:hAnsi="Times New Roman" w:cs="Times New Roman"/>
          <w:sz w:val="24"/>
          <w:szCs w:val="24"/>
        </w:rPr>
        <w:t>9</w:t>
      </w:r>
      <w:r w:rsidR="001E7711" w:rsidRPr="006C45BF">
        <w:rPr>
          <w:rFonts w:ascii="Times New Roman" w:hAnsi="Times New Roman" w:cs="Times New Roman"/>
          <w:sz w:val="24"/>
          <w:szCs w:val="24"/>
        </w:rPr>
        <w:t>%) are in the borough of Queens. The next largest fraction is in Brooklyn (</w:t>
      </w:r>
      <w:r w:rsidR="00D60C1E">
        <w:rPr>
          <w:rFonts w:ascii="Times New Roman" w:hAnsi="Times New Roman" w:cs="Times New Roman"/>
          <w:sz w:val="24"/>
          <w:szCs w:val="24"/>
        </w:rPr>
        <w:t>28.9</w:t>
      </w:r>
      <w:r w:rsidR="001E7711" w:rsidRPr="006C45BF">
        <w:rPr>
          <w:rFonts w:ascii="Times New Roman" w:hAnsi="Times New Roman" w:cs="Times New Roman"/>
          <w:sz w:val="24"/>
          <w:szCs w:val="24"/>
        </w:rPr>
        <w:t xml:space="preserve">%). Less than </w:t>
      </w:r>
      <w:r w:rsidR="00D15B61">
        <w:rPr>
          <w:rFonts w:ascii="Times New Roman" w:hAnsi="Times New Roman" w:cs="Times New Roman"/>
          <w:sz w:val="24"/>
          <w:szCs w:val="24"/>
        </w:rPr>
        <w:t>4</w:t>
      </w:r>
      <w:r w:rsidR="001E7711" w:rsidRPr="006C45BF">
        <w:rPr>
          <w:rFonts w:ascii="Times New Roman" w:hAnsi="Times New Roman" w:cs="Times New Roman"/>
          <w:sz w:val="24"/>
          <w:szCs w:val="24"/>
        </w:rPr>
        <w:t>% of sales were in Manhattan.</w:t>
      </w:r>
      <w:r w:rsidR="00E71FD3" w:rsidRPr="006C45BF">
        <w:rPr>
          <w:rFonts w:ascii="Times New Roman" w:hAnsi="Times New Roman" w:cs="Times New Roman"/>
          <w:sz w:val="24"/>
          <w:szCs w:val="24"/>
        </w:rPr>
        <w:t xml:space="preserve"> </w:t>
      </w:r>
      <w:r w:rsidR="00E8035E" w:rsidRPr="006C45BF">
        <w:rPr>
          <w:rFonts w:ascii="Times New Roman" w:hAnsi="Times New Roman" w:cs="Times New Roman"/>
          <w:sz w:val="24"/>
          <w:szCs w:val="24"/>
        </w:rPr>
        <w:t xml:space="preserve">There are </w:t>
      </w:r>
      <w:r w:rsidR="00D60C1E">
        <w:rPr>
          <w:rFonts w:ascii="Times New Roman" w:hAnsi="Times New Roman" w:cs="Times New Roman"/>
          <w:sz w:val="24"/>
          <w:szCs w:val="24"/>
        </w:rPr>
        <w:t>31,982</w:t>
      </w:r>
      <w:r w:rsidR="009315D1" w:rsidRPr="006C45BF">
        <w:rPr>
          <w:rFonts w:ascii="Times New Roman" w:hAnsi="Times New Roman" w:cs="Times New Roman"/>
          <w:sz w:val="24"/>
          <w:szCs w:val="24"/>
        </w:rPr>
        <w:t xml:space="preserve"> </w:t>
      </w:r>
      <w:r w:rsidR="00E8035E" w:rsidRPr="006C45BF">
        <w:rPr>
          <w:rFonts w:ascii="Times New Roman" w:hAnsi="Times New Roman" w:cs="Times New Roman"/>
          <w:sz w:val="24"/>
          <w:szCs w:val="24"/>
        </w:rPr>
        <w:t xml:space="preserve">residential property sales that satisfy the filters described above. The average property </w:t>
      </w:r>
      <w:r w:rsidR="004B7867" w:rsidRPr="006C45BF">
        <w:rPr>
          <w:rFonts w:ascii="Times New Roman" w:hAnsi="Times New Roman" w:cs="Times New Roman"/>
          <w:sz w:val="24"/>
          <w:szCs w:val="24"/>
        </w:rPr>
        <w:t xml:space="preserve">in this sample </w:t>
      </w:r>
      <w:r w:rsidR="00E8035E" w:rsidRPr="006C45BF">
        <w:rPr>
          <w:rFonts w:ascii="Times New Roman" w:hAnsi="Times New Roman" w:cs="Times New Roman"/>
          <w:sz w:val="24"/>
          <w:szCs w:val="24"/>
        </w:rPr>
        <w:t>sold for slightly over $</w:t>
      </w:r>
      <w:r w:rsidR="00D60C1E">
        <w:rPr>
          <w:rFonts w:ascii="Times New Roman" w:hAnsi="Times New Roman" w:cs="Times New Roman"/>
          <w:sz w:val="24"/>
          <w:szCs w:val="24"/>
        </w:rPr>
        <w:t>962</w:t>
      </w:r>
      <w:r w:rsidR="0015007C">
        <w:rPr>
          <w:rFonts w:ascii="Times New Roman" w:hAnsi="Times New Roman" w:cs="Times New Roman"/>
          <w:sz w:val="24"/>
          <w:szCs w:val="24"/>
        </w:rPr>
        <w:t>,000</w:t>
      </w:r>
      <w:r w:rsidR="00E8035E" w:rsidRPr="006C45BF">
        <w:rPr>
          <w:rFonts w:ascii="Times New Roman" w:hAnsi="Times New Roman" w:cs="Times New Roman"/>
          <w:sz w:val="24"/>
          <w:szCs w:val="24"/>
        </w:rPr>
        <w:t xml:space="preserve">, </w:t>
      </w:r>
      <w:r w:rsidR="00CA0C20" w:rsidRPr="006C45BF">
        <w:rPr>
          <w:rFonts w:ascii="Times New Roman" w:hAnsi="Times New Roman" w:cs="Times New Roman"/>
          <w:sz w:val="24"/>
          <w:szCs w:val="24"/>
        </w:rPr>
        <w:t xml:space="preserve">was </w:t>
      </w:r>
      <w:r w:rsidR="00065258">
        <w:rPr>
          <w:rFonts w:ascii="Times New Roman" w:hAnsi="Times New Roman" w:cs="Times New Roman"/>
          <w:sz w:val="24"/>
          <w:szCs w:val="24"/>
        </w:rPr>
        <w:t>73</w:t>
      </w:r>
      <w:r w:rsidR="00D60C1E">
        <w:rPr>
          <w:rFonts w:ascii="Times New Roman" w:hAnsi="Times New Roman" w:cs="Times New Roman"/>
          <w:sz w:val="24"/>
          <w:szCs w:val="24"/>
        </w:rPr>
        <w:t>.7</w:t>
      </w:r>
      <w:r w:rsidR="00CA0C20" w:rsidRPr="006C45BF">
        <w:rPr>
          <w:rFonts w:ascii="Times New Roman" w:hAnsi="Times New Roman" w:cs="Times New Roman"/>
          <w:sz w:val="24"/>
          <w:szCs w:val="24"/>
        </w:rPr>
        <w:t xml:space="preserve"> years old,</w:t>
      </w:r>
      <w:r w:rsidR="004B7867" w:rsidRPr="006C45BF">
        <w:rPr>
          <w:rFonts w:ascii="Times New Roman" w:hAnsi="Times New Roman" w:cs="Times New Roman"/>
          <w:sz w:val="24"/>
          <w:szCs w:val="24"/>
        </w:rPr>
        <w:t xml:space="preserve"> had 2.</w:t>
      </w:r>
      <w:r w:rsidR="00940E74">
        <w:rPr>
          <w:rFonts w:ascii="Times New Roman" w:hAnsi="Times New Roman" w:cs="Times New Roman"/>
          <w:sz w:val="24"/>
          <w:szCs w:val="24"/>
        </w:rPr>
        <w:t>4</w:t>
      </w:r>
      <w:r w:rsidR="00435AA3">
        <w:rPr>
          <w:rFonts w:ascii="Times New Roman" w:hAnsi="Times New Roman" w:cs="Times New Roman"/>
          <w:sz w:val="24"/>
          <w:szCs w:val="24"/>
        </w:rPr>
        <w:t>,</w:t>
      </w:r>
      <w:r w:rsidR="004B7867" w:rsidRPr="006C45BF">
        <w:rPr>
          <w:rFonts w:ascii="Times New Roman" w:hAnsi="Times New Roman" w:cs="Times New Roman"/>
          <w:sz w:val="24"/>
          <w:szCs w:val="24"/>
        </w:rPr>
        <w:t xml:space="preserve"> floors</w:t>
      </w:r>
      <w:r w:rsidR="00CA0C20" w:rsidRPr="006C45BF">
        <w:rPr>
          <w:rFonts w:ascii="Times New Roman" w:hAnsi="Times New Roman" w:cs="Times New Roman"/>
          <w:sz w:val="24"/>
          <w:szCs w:val="24"/>
        </w:rPr>
        <w:t xml:space="preserve"> and </w:t>
      </w:r>
      <w:r w:rsidR="004B7867" w:rsidRPr="006C45BF">
        <w:rPr>
          <w:rFonts w:ascii="Times New Roman" w:hAnsi="Times New Roman" w:cs="Times New Roman"/>
          <w:sz w:val="24"/>
          <w:szCs w:val="24"/>
        </w:rPr>
        <w:t>sold for</w:t>
      </w:r>
      <w:r w:rsidR="00CA0C20" w:rsidRPr="006C45BF">
        <w:rPr>
          <w:rFonts w:ascii="Times New Roman" w:hAnsi="Times New Roman" w:cs="Times New Roman"/>
          <w:sz w:val="24"/>
          <w:szCs w:val="24"/>
        </w:rPr>
        <w:t xml:space="preserve"> a price per square foot of</w:t>
      </w:r>
      <w:r w:rsidR="005B0659" w:rsidRPr="006C45BF">
        <w:rPr>
          <w:rFonts w:ascii="Times New Roman" w:hAnsi="Times New Roman" w:cs="Times New Roman"/>
          <w:sz w:val="24"/>
          <w:szCs w:val="24"/>
        </w:rPr>
        <w:t xml:space="preserve"> approximately</w:t>
      </w:r>
      <w:r w:rsidR="00CA0C20" w:rsidRPr="006C45BF">
        <w:rPr>
          <w:rFonts w:ascii="Times New Roman" w:hAnsi="Times New Roman" w:cs="Times New Roman"/>
          <w:sz w:val="24"/>
          <w:szCs w:val="24"/>
        </w:rPr>
        <w:t xml:space="preserve"> $</w:t>
      </w:r>
      <w:r w:rsidR="00D60C1E" w:rsidRPr="006C45BF">
        <w:rPr>
          <w:rFonts w:ascii="Times New Roman" w:hAnsi="Times New Roman" w:cs="Times New Roman"/>
          <w:sz w:val="24"/>
          <w:szCs w:val="24"/>
        </w:rPr>
        <w:t>26</w:t>
      </w:r>
      <w:r w:rsidR="00D60C1E">
        <w:rPr>
          <w:rFonts w:ascii="Times New Roman" w:hAnsi="Times New Roman" w:cs="Times New Roman"/>
          <w:sz w:val="24"/>
          <w:szCs w:val="24"/>
        </w:rPr>
        <w:t>6</w:t>
      </w:r>
      <w:r w:rsidR="00D60C1E" w:rsidRPr="006C45BF">
        <w:rPr>
          <w:rFonts w:ascii="Times New Roman" w:hAnsi="Times New Roman" w:cs="Times New Roman"/>
          <w:sz w:val="24"/>
          <w:szCs w:val="24"/>
        </w:rPr>
        <w:t xml:space="preserve"> </w:t>
      </w:r>
      <w:r w:rsidR="00435AA3">
        <w:rPr>
          <w:rFonts w:ascii="Times New Roman" w:hAnsi="Times New Roman" w:cs="Times New Roman"/>
          <w:sz w:val="24"/>
          <w:szCs w:val="24"/>
        </w:rPr>
        <w:t xml:space="preserve">(median of $243) </w:t>
      </w:r>
      <w:r w:rsidR="00FF775F" w:rsidRPr="006C45BF">
        <w:rPr>
          <w:rFonts w:ascii="Times New Roman" w:hAnsi="Times New Roman" w:cs="Times New Roman"/>
          <w:sz w:val="24"/>
          <w:szCs w:val="24"/>
        </w:rPr>
        <w:t xml:space="preserve">with slightly </w:t>
      </w:r>
      <w:r w:rsidR="00940E74">
        <w:rPr>
          <w:rFonts w:ascii="Times New Roman" w:hAnsi="Times New Roman" w:cs="Times New Roman"/>
          <w:sz w:val="24"/>
          <w:szCs w:val="24"/>
        </w:rPr>
        <w:t>more</w:t>
      </w:r>
      <w:r w:rsidR="006943B0" w:rsidRPr="006C45BF">
        <w:rPr>
          <w:rFonts w:ascii="Times New Roman" w:hAnsi="Times New Roman" w:cs="Times New Roman"/>
          <w:sz w:val="24"/>
          <w:szCs w:val="24"/>
        </w:rPr>
        <w:t xml:space="preserve"> </w:t>
      </w:r>
      <w:r w:rsidR="00FF775F" w:rsidRPr="006C45BF">
        <w:rPr>
          <w:rFonts w:ascii="Times New Roman" w:hAnsi="Times New Roman" w:cs="Times New Roman"/>
          <w:sz w:val="24"/>
          <w:szCs w:val="24"/>
        </w:rPr>
        <w:t>than 4,</w:t>
      </w:r>
      <w:r w:rsidR="00D60C1E">
        <w:rPr>
          <w:rFonts w:ascii="Times New Roman" w:hAnsi="Times New Roman" w:cs="Times New Roman"/>
          <w:sz w:val="24"/>
          <w:szCs w:val="24"/>
        </w:rPr>
        <w:t>200</w:t>
      </w:r>
      <w:r w:rsidR="00D60C1E" w:rsidRPr="006C45BF">
        <w:rPr>
          <w:rFonts w:ascii="Times New Roman" w:hAnsi="Times New Roman" w:cs="Times New Roman"/>
          <w:sz w:val="24"/>
          <w:szCs w:val="24"/>
        </w:rPr>
        <w:t xml:space="preserve"> </w:t>
      </w:r>
      <w:r w:rsidR="00FF775F" w:rsidRPr="006C45BF">
        <w:rPr>
          <w:rFonts w:ascii="Times New Roman" w:hAnsi="Times New Roman" w:cs="Times New Roman"/>
          <w:sz w:val="24"/>
          <w:szCs w:val="24"/>
        </w:rPr>
        <w:t>square feet</w:t>
      </w:r>
      <w:r w:rsidR="00435AA3">
        <w:rPr>
          <w:rFonts w:ascii="Times New Roman" w:hAnsi="Times New Roman" w:cs="Times New Roman"/>
          <w:sz w:val="24"/>
          <w:szCs w:val="24"/>
        </w:rPr>
        <w:t xml:space="preserve"> (median of 1,890 square feet)</w:t>
      </w:r>
      <w:r w:rsidR="00CA0C20" w:rsidRPr="006C45BF">
        <w:rPr>
          <w:rFonts w:ascii="Times New Roman" w:hAnsi="Times New Roman" w:cs="Times New Roman"/>
          <w:sz w:val="24"/>
          <w:szCs w:val="24"/>
        </w:rPr>
        <w:t>.</w:t>
      </w:r>
    </w:p>
    <w:p w14:paraId="1516DC89" w14:textId="1C42917C" w:rsidR="00C21F56" w:rsidRPr="006C45BF" w:rsidRDefault="006029C9" w:rsidP="006C45BF">
      <w:pPr>
        <w:pStyle w:val="NoSpacing"/>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We</w:t>
      </w:r>
      <w:r w:rsidR="00CC6713" w:rsidRPr="006C45BF">
        <w:rPr>
          <w:rFonts w:ascii="Times New Roman" w:hAnsi="Times New Roman" w:cs="Times New Roman"/>
          <w:sz w:val="24"/>
          <w:szCs w:val="24"/>
        </w:rPr>
        <w:t xml:space="preserve"> </w:t>
      </w:r>
      <w:r w:rsidR="00F609AB" w:rsidRPr="006C45BF">
        <w:rPr>
          <w:rFonts w:ascii="Times New Roman" w:hAnsi="Times New Roman" w:cs="Times New Roman"/>
          <w:sz w:val="24"/>
          <w:szCs w:val="24"/>
        </w:rPr>
        <w:t>utilize</w:t>
      </w:r>
      <w:r w:rsidR="00C21F56" w:rsidRPr="006C45BF">
        <w:rPr>
          <w:rFonts w:ascii="Times New Roman" w:hAnsi="Times New Roman" w:cs="Times New Roman"/>
          <w:sz w:val="24"/>
          <w:szCs w:val="24"/>
        </w:rPr>
        <w:t>d</w:t>
      </w:r>
      <w:r w:rsidR="00CC6713" w:rsidRPr="006C45BF">
        <w:rPr>
          <w:rFonts w:ascii="Times New Roman" w:hAnsi="Times New Roman" w:cs="Times New Roman"/>
          <w:sz w:val="24"/>
          <w:szCs w:val="24"/>
        </w:rPr>
        <w:t xml:space="preserve"> GIS </w:t>
      </w:r>
      <w:r w:rsidR="00A954E5" w:rsidRPr="006C45BF">
        <w:rPr>
          <w:rFonts w:ascii="Times New Roman" w:hAnsi="Times New Roman" w:cs="Times New Roman"/>
          <w:sz w:val="24"/>
          <w:szCs w:val="24"/>
        </w:rPr>
        <w:t>shapefiles</w:t>
      </w:r>
      <w:r w:rsidR="00CC6713" w:rsidRPr="006C45BF">
        <w:rPr>
          <w:rFonts w:ascii="Times New Roman" w:hAnsi="Times New Roman" w:cs="Times New Roman"/>
          <w:sz w:val="24"/>
          <w:szCs w:val="24"/>
        </w:rPr>
        <w:t xml:space="preserve"> related to the storm surge of Hurricane Sandy</w:t>
      </w:r>
      <w:r w:rsidR="006B5B59" w:rsidRPr="006C45BF">
        <w:rPr>
          <w:rFonts w:ascii="Times New Roman" w:hAnsi="Times New Roman" w:cs="Times New Roman"/>
          <w:sz w:val="24"/>
          <w:szCs w:val="24"/>
        </w:rPr>
        <w:t xml:space="preserve">. </w:t>
      </w:r>
      <w:r w:rsidR="00CC6713" w:rsidRPr="006C45BF">
        <w:rPr>
          <w:rFonts w:ascii="Times New Roman" w:hAnsi="Times New Roman" w:cs="Times New Roman"/>
          <w:sz w:val="24"/>
          <w:szCs w:val="24"/>
        </w:rPr>
        <w:t xml:space="preserve">These files </w:t>
      </w:r>
      <w:r w:rsidR="00F609AB" w:rsidRPr="006C45BF">
        <w:rPr>
          <w:rFonts w:ascii="Times New Roman" w:hAnsi="Times New Roman" w:cs="Times New Roman"/>
          <w:sz w:val="24"/>
          <w:szCs w:val="24"/>
        </w:rPr>
        <w:t>have been</w:t>
      </w:r>
      <w:r w:rsidR="00CC6713" w:rsidRPr="006C45BF">
        <w:rPr>
          <w:rFonts w:ascii="Times New Roman" w:hAnsi="Times New Roman" w:cs="Times New Roman"/>
          <w:sz w:val="24"/>
          <w:szCs w:val="24"/>
        </w:rPr>
        <w:t xml:space="preserve"> </w:t>
      </w:r>
      <w:r w:rsidR="00A954E5" w:rsidRPr="006C45BF">
        <w:rPr>
          <w:rFonts w:ascii="Times New Roman" w:hAnsi="Times New Roman" w:cs="Times New Roman"/>
          <w:sz w:val="24"/>
          <w:szCs w:val="24"/>
        </w:rPr>
        <w:t>generously</w:t>
      </w:r>
      <w:r w:rsidR="00CC6713" w:rsidRPr="006C45BF">
        <w:rPr>
          <w:rFonts w:ascii="Times New Roman" w:hAnsi="Times New Roman" w:cs="Times New Roman"/>
          <w:sz w:val="24"/>
          <w:szCs w:val="24"/>
        </w:rPr>
        <w:t xml:space="preserve"> provided by the Natural Resources Defense Council</w:t>
      </w:r>
      <w:r w:rsidR="006B5B59" w:rsidRPr="006C45BF">
        <w:rPr>
          <w:rFonts w:ascii="Times New Roman" w:hAnsi="Times New Roman" w:cs="Times New Roman"/>
          <w:sz w:val="24"/>
          <w:szCs w:val="24"/>
        </w:rPr>
        <w:t xml:space="preserve"> (NRDC)</w:t>
      </w:r>
      <w:r w:rsidR="00CC6713" w:rsidRPr="006C45BF">
        <w:rPr>
          <w:rFonts w:ascii="Times New Roman" w:hAnsi="Times New Roman" w:cs="Times New Roman"/>
          <w:sz w:val="24"/>
          <w:szCs w:val="24"/>
        </w:rPr>
        <w:t xml:space="preserve">. The </w:t>
      </w:r>
      <w:r w:rsidR="00A954E5" w:rsidRPr="006C45BF">
        <w:rPr>
          <w:rFonts w:ascii="Times New Roman" w:hAnsi="Times New Roman" w:cs="Times New Roman"/>
          <w:sz w:val="24"/>
          <w:szCs w:val="24"/>
        </w:rPr>
        <w:t>map</w:t>
      </w:r>
      <w:r w:rsidR="0086229F" w:rsidRPr="006C45BF">
        <w:rPr>
          <w:rFonts w:ascii="Times New Roman" w:hAnsi="Times New Roman" w:cs="Times New Roman"/>
          <w:sz w:val="24"/>
          <w:szCs w:val="24"/>
        </w:rPr>
        <w:t>s</w:t>
      </w:r>
      <w:r w:rsidR="00A954E5" w:rsidRPr="006C45BF">
        <w:rPr>
          <w:rFonts w:ascii="Times New Roman" w:hAnsi="Times New Roman" w:cs="Times New Roman"/>
          <w:sz w:val="24"/>
          <w:szCs w:val="24"/>
        </w:rPr>
        <w:t xml:space="preserve"> indicate the location of the storm surge and the location of the FEMA</w:t>
      </w:r>
      <w:r w:rsidR="0086229F" w:rsidRPr="006C45BF">
        <w:rPr>
          <w:rFonts w:ascii="Times New Roman" w:hAnsi="Times New Roman" w:cs="Times New Roman"/>
          <w:sz w:val="24"/>
          <w:szCs w:val="24"/>
        </w:rPr>
        <w:t xml:space="preserve"> floodplain</w:t>
      </w:r>
      <w:r w:rsidR="00A954E5" w:rsidRPr="006C45BF">
        <w:rPr>
          <w:rFonts w:ascii="Times New Roman" w:hAnsi="Times New Roman" w:cs="Times New Roman"/>
          <w:sz w:val="24"/>
          <w:szCs w:val="24"/>
        </w:rPr>
        <w:t xml:space="preserve">. The maps </w:t>
      </w:r>
      <w:r w:rsidR="006E730E" w:rsidRPr="006C45BF">
        <w:rPr>
          <w:rFonts w:ascii="Times New Roman" w:hAnsi="Times New Roman" w:cs="Times New Roman"/>
          <w:sz w:val="24"/>
          <w:szCs w:val="24"/>
        </w:rPr>
        <w:t>show</w:t>
      </w:r>
      <w:r w:rsidR="00A954E5" w:rsidRPr="006C45BF">
        <w:rPr>
          <w:rFonts w:ascii="Times New Roman" w:hAnsi="Times New Roman" w:cs="Times New Roman"/>
          <w:sz w:val="24"/>
          <w:szCs w:val="24"/>
        </w:rPr>
        <w:t xml:space="preserve"> </w:t>
      </w:r>
      <w:r w:rsidR="00E41272" w:rsidRPr="006C45BF">
        <w:rPr>
          <w:rFonts w:ascii="Times New Roman" w:hAnsi="Times New Roman" w:cs="Times New Roman"/>
          <w:sz w:val="24"/>
          <w:szCs w:val="24"/>
        </w:rPr>
        <w:t>four</w:t>
      </w:r>
      <w:r w:rsidR="00093088" w:rsidRPr="006C45BF">
        <w:rPr>
          <w:rFonts w:ascii="Times New Roman" w:hAnsi="Times New Roman" w:cs="Times New Roman"/>
          <w:sz w:val="24"/>
          <w:szCs w:val="24"/>
        </w:rPr>
        <w:t xml:space="preserve"> areas: the area of</w:t>
      </w:r>
      <w:r w:rsidR="00A954E5" w:rsidRPr="006C45BF">
        <w:rPr>
          <w:rFonts w:ascii="Times New Roman" w:hAnsi="Times New Roman" w:cs="Times New Roman"/>
          <w:sz w:val="24"/>
          <w:szCs w:val="24"/>
        </w:rPr>
        <w:t xml:space="preserve"> FEMA </w:t>
      </w:r>
      <w:r w:rsidR="006E730E" w:rsidRPr="006C45BF">
        <w:rPr>
          <w:rFonts w:ascii="Times New Roman" w:hAnsi="Times New Roman" w:cs="Times New Roman"/>
          <w:sz w:val="24"/>
          <w:szCs w:val="24"/>
        </w:rPr>
        <w:t>floodplain</w:t>
      </w:r>
      <w:r w:rsidR="00A954E5" w:rsidRPr="006C45BF">
        <w:rPr>
          <w:rFonts w:ascii="Times New Roman" w:hAnsi="Times New Roman" w:cs="Times New Roman"/>
          <w:sz w:val="24"/>
          <w:szCs w:val="24"/>
        </w:rPr>
        <w:t xml:space="preserve"> that </w:t>
      </w:r>
      <w:r w:rsidR="00093088" w:rsidRPr="006C45BF">
        <w:rPr>
          <w:rFonts w:ascii="Times New Roman" w:hAnsi="Times New Roman" w:cs="Times New Roman"/>
          <w:sz w:val="24"/>
          <w:szCs w:val="24"/>
        </w:rPr>
        <w:t>remained</w:t>
      </w:r>
      <w:r w:rsidR="00A954E5" w:rsidRPr="006C45BF">
        <w:rPr>
          <w:rFonts w:ascii="Times New Roman" w:hAnsi="Times New Roman" w:cs="Times New Roman"/>
          <w:sz w:val="24"/>
          <w:szCs w:val="24"/>
        </w:rPr>
        <w:t xml:space="preserve"> dry, the area in the FEMA floodplain that was hit by the storm surge, the area of the surge that was outside of the FEMA floodplain</w:t>
      </w:r>
      <w:r w:rsidR="00E41272" w:rsidRPr="006C45BF">
        <w:rPr>
          <w:rFonts w:ascii="Times New Roman" w:hAnsi="Times New Roman" w:cs="Times New Roman"/>
          <w:sz w:val="24"/>
          <w:szCs w:val="24"/>
        </w:rPr>
        <w:t xml:space="preserve">, and the area that was neither in the floodplain </w:t>
      </w:r>
      <w:r w:rsidR="00093088" w:rsidRPr="006C45BF">
        <w:rPr>
          <w:rFonts w:ascii="Times New Roman" w:hAnsi="Times New Roman" w:cs="Times New Roman"/>
          <w:sz w:val="24"/>
          <w:szCs w:val="24"/>
        </w:rPr>
        <w:t>n</w:t>
      </w:r>
      <w:r w:rsidR="00E41272" w:rsidRPr="006C45BF">
        <w:rPr>
          <w:rFonts w:ascii="Times New Roman" w:hAnsi="Times New Roman" w:cs="Times New Roman"/>
          <w:sz w:val="24"/>
          <w:szCs w:val="24"/>
        </w:rPr>
        <w:t>or the storm surge</w:t>
      </w:r>
      <w:r w:rsidR="006E730E" w:rsidRPr="006C45BF">
        <w:rPr>
          <w:rFonts w:ascii="Times New Roman" w:hAnsi="Times New Roman" w:cs="Times New Roman"/>
          <w:sz w:val="24"/>
          <w:szCs w:val="24"/>
        </w:rPr>
        <w:t xml:space="preserve">. </w:t>
      </w:r>
      <w:r w:rsidR="00093088" w:rsidRPr="006C45BF">
        <w:rPr>
          <w:rFonts w:ascii="Times New Roman" w:hAnsi="Times New Roman" w:cs="Times New Roman"/>
          <w:sz w:val="24"/>
          <w:szCs w:val="24"/>
        </w:rPr>
        <w:t>Thus,</w:t>
      </w:r>
      <w:r w:rsidR="006E730E" w:rsidRPr="006C45BF">
        <w:rPr>
          <w:rFonts w:ascii="Times New Roman" w:hAnsi="Times New Roman" w:cs="Times New Roman"/>
          <w:sz w:val="24"/>
          <w:szCs w:val="24"/>
        </w:rPr>
        <w:t xml:space="preserve"> we categorize each property based on it being </w:t>
      </w:r>
      <w:r w:rsidR="00C21F56" w:rsidRPr="006C45BF">
        <w:rPr>
          <w:rFonts w:ascii="Times New Roman" w:hAnsi="Times New Roman" w:cs="Times New Roman"/>
          <w:sz w:val="24"/>
          <w:szCs w:val="24"/>
        </w:rPr>
        <w:t xml:space="preserve">in </w:t>
      </w:r>
      <w:r w:rsidR="006E730E" w:rsidRPr="006C45BF">
        <w:rPr>
          <w:rFonts w:ascii="Times New Roman" w:hAnsi="Times New Roman" w:cs="Times New Roman"/>
          <w:sz w:val="24"/>
          <w:szCs w:val="24"/>
        </w:rPr>
        <w:t>one of</w:t>
      </w:r>
      <w:r w:rsidR="00C21F56" w:rsidRPr="006C45BF">
        <w:rPr>
          <w:rFonts w:ascii="Times New Roman" w:hAnsi="Times New Roman" w:cs="Times New Roman"/>
          <w:sz w:val="24"/>
          <w:szCs w:val="24"/>
        </w:rPr>
        <w:t xml:space="preserve"> those</w:t>
      </w:r>
      <w:r w:rsidR="006E730E" w:rsidRPr="006C45BF">
        <w:rPr>
          <w:rFonts w:ascii="Times New Roman" w:hAnsi="Times New Roman" w:cs="Times New Roman"/>
          <w:sz w:val="24"/>
          <w:szCs w:val="24"/>
        </w:rPr>
        <w:t xml:space="preserve"> </w:t>
      </w:r>
      <w:r w:rsidR="009A4049" w:rsidRPr="006C45BF">
        <w:rPr>
          <w:rFonts w:ascii="Times New Roman" w:hAnsi="Times New Roman" w:cs="Times New Roman"/>
          <w:sz w:val="24"/>
          <w:szCs w:val="24"/>
        </w:rPr>
        <w:t>four</w:t>
      </w:r>
      <w:r w:rsidR="006E730E" w:rsidRPr="006C45BF">
        <w:rPr>
          <w:rFonts w:ascii="Times New Roman" w:hAnsi="Times New Roman" w:cs="Times New Roman"/>
          <w:sz w:val="24"/>
          <w:szCs w:val="24"/>
        </w:rPr>
        <w:t xml:space="preserve"> areas</w:t>
      </w:r>
      <w:r w:rsidR="00C21F56" w:rsidRPr="006C45BF">
        <w:rPr>
          <w:rFonts w:ascii="Times New Roman" w:hAnsi="Times New Roman" w:cs="Times New Roman"/>
          <w:sz w:val="24"/>
          <w:szCs w:val="24"/>
        </w:rPr>
        <w:t>.</w:t>
      </w:r>
      <w:r w:rsidR="00107C3A" w:rsidRPr="006C45BF">
        <w:rPr>
          <w:rFonts w:ascii="Times New Roman" w:hAnsi="Times New Roman" w:cs="Times New Roman"/>
          <w:sz w:val="24"/>
          <w:szCs w:val="24"/>
        </w:rPr>
        <w:t xml:space="preserve"> We restrict our analysis to the </w:t>
      </w:r>
      <w:r w:rsidR="005720BD" w:rsidRPr="006C45BF">
        <w:rPr>
          <w:rFonts w:ascii="Times New Roman" w:hAnsi="Times New Roman" w:cs="Times New Roman"/>
          <w:sz w:val="24"/>
          <w:szCs w:val="24"/>
        </w:rPr>
        <w:t>unaffected (“dry”)</w:t>
      </w:r>
      <w:r w:rsidR="00107C3A" w:rsidRPr="006C45BF">
        <w:rPr>
          <w:rFonts w:ascii="Times New Roman" w:hAnsi="Times New Roman" w:cs="Times New Roman"/>
          <w:sz w:val="24"/>
          <w:szCs w:val="24"/>
        </w:rPr>
        <w:t xml:space="preserve"> </w:t>
      </w:r>
      <w:r w:rsidR="00E71FD3" w:rsidRPr="006C45BF">
        <w:rPr>
          <w:rFonts w:ascii="Times New Roman" w:hAnsi="Times New Roman" w:cs="Times New Roman"/>
          <w:sz w:val="24"/>
          <w:szCs w:val="24"/>
        </w:rPr>
        <w:t>properties since</w:t>
      </w:r>
      <w:r w:rsidR="00107C3A" w:rsidRPr="006C45BF">
        <w:rPr>
          <w:rFonts w:ascii="Times New Roman" w:hAnsi="Times New Roman" w:cs="Times New Roman"/>
          <w:sz w:val="24"/>
          <w:szCs w:val="24"/>
        </w:rPr>
        <w:t xml:space="preserve"> we are interested in the </w:t>
      </w:r>
      <w:r w:rsidR="00AD62BC" w:rsidRPr="006C45BF">
        <w:rPr>
          <w:rFonts w:ascii="Times New Roman" w:hAnsi="Times New Roman" w:cs="Times New Roman"/>
          <w:sz w:val="24"/>
          <w:szCs w:val="24"/>
        </w:rPr>
        <w:t>impacts of an information</w:t>
      </w:r>
      <w:r w:rsidR="004A4D97" w:rsidRPr="006C45BF">
        <w:rPr>
          <w:rFonts w:ascii="Times New Roman" w:hAnsi="Times New Roman" w:cs="Times New Roman"/>
          <w:sz w:val="24"/>
          <w:szCs w:val="24"/>
        </w:rPr>
        <w:t>al</w:t>
      </w:r>
      <w:r w:rsidR="00AD62BC" w:rsidRPr="006C45BF">
        <w:rPr>
          <w:rFonts w:ascii="Times New Roman" w:hAnsi="Times New Roman" w:cs="Times New Roman"/>
          <w:sz w:val="24"/>
          <w:szCs w:val="24"/>
        </w:rPr>
        <w:t xml:space="preserve"> shock. Also, many flooded properties could not be easily sold after the storm, so it is not sensible to include the flooded properties </w:t>
      </w:r>
      <w:r w:rsidR="0089752B" w:rsidRPr="006C45BF">
        <w:rPr>
          <w:rFonts w:ascii="Times New Roman" w:hAnsi="Times New Roman" w:cs="Times New Roman"/>
          <w:sz w:val="24"/>
          <w:szCs w:val="24"/>
        </w:rPr>
        <w:t>in our analysis.</w:t>
      </w:r>
      <w:r w:rsidR="002D6460" w:rsidRPr="006C45BF">
        <w:rPr>
          <w:rFonts w:ascii="Times New Roman" w:hAnsi="Times New Roman" w:cs="Times New Roman"/>
          <w:sz w:val="24"/>
          <w:szCs w:val="24"/>
        </w:rPr>
        <w:t xml:space="preserve"> As described </w:t>
      </w:r>
      <w:r w:rsidR="00405A39" w:rsidRPr="006C45BF">
        <w:rPr>
          <w:rFonts w:ascii="Times New Roman" w:hAnsi="Times New Roman" w:cs="Times New Roman"/>
          <w:sz w:val="24"/>
          <w:szCs w:val="24"/>
        </w:rPr>
        <w:t xml:space="preserve">in Section 3 </w:t>
      </w:r>
      <w:r w:rsidR="002D6460" w:rsidRPr="006C45BF">
        <w:rPr>
          <w:rFonts w:ascii="Times New Roman" w:hAnsi="Times New Roman" w:cs="Times New Roman"/>
          <w:sz w:val="24"/>
          <w:szCs w:val="24"/>
        </w:rPr>
        <w:t>above, we focus on properties that were at least 0.0</w:t>
      </w:r>
      <w:r w:rsidR="0086229F" w:rsidRPr="006C45BF">
        <w:rPr>
          <w:rFonts w:ascii="Times New Roman" w:hAnsi="Times New Roman" w:cs="Times New Roman"/>
          <w:sz w:val="24"/>
          <w:szCs w:val="24"/>
        </w:rPr>
        <w:t>3</w:t>
      </w:r>
      <w:r w:rsidR="002D6460" w:rsidRPr="006C45BF">
        <w:rPr>
          <w:rFonts w:ascii="Times New Roman" w:hAnsi="Times New Roman" w:cs="Times New Roman"/>
          <w:sz w:val="24"/>
          <w:szCs w:val="24"/>
        </w:rPr>
        <w:t xml:space="preserve"> miles from the storm surge and </w:t>
      </w:r>
      <w:r w:rsidR="007F4B8D" w:rsidRPr="006C45BF">
        <w:rPr>
          <w:rFonts w:ascii="Times New Roman" w:hAnsi="Times New Roman" w:cs="Times New Roman"/>
          <w:sz w:val="24"/>
          <w:szCs w:val="24"/>
        </w:rPr>
        <w:t xml:space="preserve">no more than </w:t>
      </w:r>
      <w:r w:rsidR="006943B0" w:rsidRPr="006C45BF">
        <w:rPr>
          <w:rFonts w:ascii="Times New Roman" w:hAnsi="Times New Roman" w:cs="Times New Roman"/>
          <w:sz w:val="24"/>
          <w:szCs w:val="24"/>
        </w:rPr>
        <w:t xml:space="preserve">one </w:t>
      </w:r>
      <w:r w:rsidR="007F4B8D" w:rsidRPr="006C45BF">
        <w:rPr>
          <w:rFonts w:ascii="Times New Roman" w:hAnsi="Times New Roman" w:cs="Times New Roman"/>
          <w:sz w:val="24"/>
          <w:szCs w:val="24"/>
        </w:rPr>
        <w:t>mile from the dry side of the storm surge, which sold between the date of the storm (October 29, 2012) and the end of 2013.</w:t>
      </w:r>
    </w:p>
    <w:p w14:paraId="4FB81A23" w14:textId="77777777" w:rsidR="0027265C" w:rsidRPr="006C45BF" w:rsidRDefault="0027265C" w:rsidP="006C45BF">
      <w:pPr>
        <w:pStyle w:val="NoSpacing"/>
        <w:spacing w:line="480" w:lineRule="auto"/>
        <w:ind w:firstLine="720"/>
        <w:jc w:val="both"/>
        <w:rPr>
          <w:rFonts w:ascii="Times New Roman" w:hAnsi="Times New Roman" w:cs="Times New Roman"/>
          <w:sz w:val="24"/>
          <w:szCs w:val="24"/>
        </w:rPr>
      </w:pPr>
    </w:p>
    <w:p w14:paraId="7812D003" w14:textId="77777777" w:rsidR="00A04C19" w:rsidRPr="006C45BF" w:rsidRDefault="006029C9" w:rsidP="006C45BF">
      <w:pPr>
        <w:pStyle w:val="NoSpacing"/>
        <w:numPr>
          <w:ilvl w:val="1"/>
          <w:numId w:val="12"/>
        </w:numPr>
        <w:spacing w:line="480" w:lineRule="auto"/>
        <w:jc w:val="both"/>
        <w:rPr>
          <w:rFonts w:ascii="Times New Roman" w:hAnsi="Times New Roman" w:cs="Times New Roman"/>
          <w:b/>
          <w:sz w:val="24"/>
          <w:szCs w:val="24"/>
        </w:rPr>
      </w:pPr>
      <w:r w:rsidRPr="006C45BF">
        <w:rPr>
          <w:rFonts w:ascii="Times New Roman" w:hAnsi="Times New Roman" w:cs="Times New Roman"/>
          <w:b/>
          <w:sz w:val="24"/>
          <w:szCs w:val="24"/>
        </w:rPr>
        <w:t>Hedonic Regression Results</w:t>
      </w:r>
    </w:p>
    <w:p w14:paraId="48C15180" w14:textId="09814D69" w:rsidR="00A50F18" w:rsidRPr="006C45BF" w:rsidRDefault="00874138" w:rsidP="00557F06">
      <w:pPr>
        <w:spacing w:line="480" w:lineRule="auto"/>
        <w:jc w:val="both"/>
        <w:rPr>
          <w:rFonts w:ascii="Times New Roman" w:eastAsia="Times New Roman" w:hAnsi="Times New Roman" w:cs="Times New Roman"/>
          <w:sz w:val="24"/>
          <w:szCs w:val="24"/>
        </w:rPr>
      </w:pPr>
      <w:r w:rsidRPr="006C45BF">
        <w:rPr>
          <w:rFonts w:ascii="Times New Roman" w:hAnsi="Times New Roman" w:cs="Times New Roman"/>
          <w:sz w:val="24"/>
          <w:szCs w:val="24"/>
        </w:rPr>
        <w:t>We hypothesize that the coefficient for the</w:t>
      </w:r>
      <w:r w:rsidR="00557F06">
        <w:rPr>
          <w:rFonts w:ascii="Times New Roman" w:hAnsi="Times New Roman" w:cs="Times New Roman"/>
          <w:sz w:val="24"/>
          <w:szCs w:val="24"/>
        </w:rPr>
        <w:t xml:space="preserve"> </w:t>
      </w:r>
      <w:r w:rsidR="00E22378">
        <w:rPr>
          <w:rFonts w:ascii="Times New Roman" w:hAnsi="Times New Roman" w:cs="Times New Roman"/>
          <w:sz w:val="24"/>
          <w:szCs w:val="24"/>
        </w:rPr>
        <w:t>treatment effect</w:t>
      </w:r>
      <w:r w:rsidR="00356B51" w:rsidRPr="006C45BF">
        <w:rPr>
          <w:rFonts w:ascii="Times New Roman" w:hAnsi="Times New Roman" w:cs="Times New Roman"/>
          <w:sz w:val="24"/>
          <w:szCs w:val="24"/>
        </w:rPr>
        <w:t xml:space="preserve"> </w:t>
      </w:r>
      <w:r w:rsidRPr="006C45BF">
        <w:rPr>
          <w:rFonts w:ascii="Times New Roman" w:hAnsi="Times New Roman" w:cs="Times New Roman"/>
          <w:sz w:val="24"/>
          <w:szCs w:val="24"/>
        </w:rPr>
        <w:t>would be positive—the greater the</w:t>
      </w:r>
      <w:r w:rsidR="00F66EE6">
        <w:rPr>
          <w:rFonts w:ascii="Times New Roman" w:hAnsi="Times New Roman" w:cs="Times New Roman"/>
          <w:sz w:val="24"/>
          <w:szCs w:val="24"/>
        </w:rPr>
        <w:t xml:space="preserve"> distance from Sandy</w:t>
      </w:r>
      <w:r w:rsidR="00E16C37" w:rsidRPr="006C45BF">
        <w:rPr>
          <w:rFonts w:ascii="Times New Roman" w:hAnsi="Times New Roman" w:cs="Times New Roman"/>
          <w:sz w:val="24"/>
          <w:szCs w:val="24"/>
        </w:rPr>
        <w:t>,</w:t>
      </w:r>
      <w:r w:rsidRPr="006C45BF">
        <w:rPr>
          <w:rFonts w:ascii="Times New Roman" w:hAnsi="Times New Roman" w:cs="Times New Roman"/>
          <w:sz w:val="24"/>
          <w:szCs w:val="24"/>
        </w:rPr>
        <w:t xml:space="preserve"> the greater the housing price.</w:t>
      </w:r>
      <w:r w:rsidR="00A50F18" w:rsidRPr="006C45BF">
        <w:rPr>
          <w:rFonts w:ascii="Times New Roman" w:hAnsi="Times New Roman" w:cs="Times New Roman"/>
          <w:sz w:val="24"/>
          <w:szCs w:val="24"/>
        </w:rPr>
        <w:t xml:space="preserve"> </w:t>
      </w:r>
      <w:r w:rsidR="009B1AD4" w:rsidRPr="00F646A2">
        <w:rPr>
          <w:rFonts w:ascii="Times New Roman" w:eastAsia="Times New Roman" w:hAnsi="Times New Roman" w:cs="Times New Roman"/>
          <w:b/>
          <w:bCs/>
          <w:sz w:val="24"/>
          <w:szCs w:val="24"/>
        </w:rPr>
        <w:t>Table 2</w:t>
      </w:r>
      <w:r w:rsidR="009B1AD4" w:rsidRPr="006C45BF">
        <w:rPr>
          <w:rFonts w:ascii="Times New Roman" w:eastAsia="Times New Roman" w:hAnsi="Times New Roman" w:cs="Times New Roman"/>
          <w:sz w:val="24"/>
          <w:szCs w:val="24"/>
        </w:rPr>
        <w:t xml:space="preserve">, </w:t>
      </w:r>
      <w:r w:rsidR="00E71FD3" w:rsidRPr="006C45BF">
        <w:rPr>
          <w:rFonts w:ascii="Times New Roman" w:eastAsia="Times New Roman" w:hAnsi="Times New Roman" w:cs="Times New Roman"/>
          <w:sz w:val="24"/>
          <w:szCs w:val="24"/>
        </w:rPr>
        <w:t>C</w:t>
      </w:r>
      <w:r w:rsidR="009B1AD4" w:rsidRPr="006C45BF">
        <w:rPr>
          <w:rFonts w:ascii="Times New Roman" w:eastAsia="Times New Roman" w:hAnsi="Times New Roman" w:cs="Times New Roman"/>
          <w:sz w:val="24"/>
          <w:szCs w:val="24"/>
        </w:rPr>
        <w:t xml:space="preserve">olumn (1) presents results for </w:t>
      </w:r>
      <w:r w:rsidR="0091529A" w:rsidRPr="006C45BF">
        <w:rPr>
          <w:rFonts w:ascii="Times New Roman" w:eastAsia="Times New Roman" w:hAnsi="Times New Roman" w:cs="Times New Roman"/>
          <w:sz w:val="24"/>
          <w:szCs w:val="24"/>
        </w:rPr>
        <w:t>a regression of the log of sale price per square foot against</w:t>
      </w:r>
      <w:r w:rsidR="00362AB7" w:rsidRPr="006C45BF">
        <w:rPr>
          <w:rFonts w:ascii="Times New Roman" w:eastAsia="Times New Roman" w:hAnsi="Times New Roman" w:cs="Times New Roman"/>
          <w:sz w:val="24"/>
          <w:szCs w:val="24"/>
        </w:rPr>
        <w:t xml:space="preserve"> a constant</w:t>
      </w:r>
      <w:r w:rsidR="00530C7B">
        <w:rPr>
          <w:rFonts w:ascii="Times New Roman" w:eastAsia="Times New Roman" w:hAnsi="Times New Roman" w:cs="Times New Roman"/>
          <w:sz w:val="24"/>
          <w:szCs w:val="24"/>
        </w:rPr>
        <w:t>, the treatment effect,</w:t>
      </w:r>
      <w:r w:rsidR="00362AB7" w:rsidRPr="006C45BF">
        <w:rPr>
          <w:rFonts w:ascii="Times New Roman" w:eastAsia="Times New Roman" w:hAnsi="Times New Roman" w:cs="Times New Roman"/>
          <w:sz w:val="24"/>
          <w:szCs w:val="24"/>
        </w:rPr>
        <w:t xml:space="preserve"> and</w:t>
      </w:r>
      <w:r w:rsidR="0091529A" w:rsidRPr="006C45BF">
        <w:rPr>
          <w:rFonts w:ascii="Times New Roman" w:eastAsia="Times New Roman" w:hAnsi="Times New Roman" w:cs="Times New Roman"/>
          <w:sz w:val="24"/>
          <w:szCs w:val="24"/>
        </w:rPr>
        <w:t xml:space="preserve"> </w:t>
      </w:r>
      <w:r w:rsidR="00530C7B">
        <w:rPr>
          <w:rFonts w:ascii="Times New Roman" w:eastAsia="Times New Roman" w:hAnsi="Times New Roman" w:cs="Times New Roman"/>
          <w:i/>
          <w:iCs/>
          <w:sz w:val="24"/>
          <w:szCs w:val="24"/>
        </w:rPr>
        <w:t xml:space="preserve">distance to </w:t>
      </w:r>
      <w:r w:rsidR="004308CC" w:rsidRPr="006C45BF">
        <w:rPr>
          <w:rFonts w:ascii="Times New Roman" w:eastAsia="Times New Roman" w:hAnsi="Times New Roman" w:cs="Times New Roman"/>
          <w:i/>
          <w:iCs/>
          <w:sz w:val="24"/>
          <w:szCs w:val="24"/>
        </w:rPr>
        <w:t>FEMA</w:t>
      </w:r>
      <w:r w:rsidR="004308CC" w:rsidRPr="006C45BF">
        <w:rPr>
          <w:rFonts w:ascii="Times New Roman" w:eastAsia="Times New Roman" w:hAnsi="Times New Roman" w:cs="Times New Roman"/>
          <w:sz w:val="24"/>
          <w:szCs w:val="24"/>
        </w:rPr>
        <w:t>, including year</w:t>
      </w:r>
      <w:r w:rsidR="00A102C5" w:rsidRPr="006C45BF">
        <w:rPr>
          <w:rFonts w:ascii="Times New Roman" w:eastAsia="Times New Roman" w:hAnsi="Times New Roman" w:cs="Times New Roman"/>
          <w:sz w:val="24"/>
          <w:szCs w:val="24"/>
        </w:rPr>
        <w:t>-</w:t>
      </w:r>
      <w:r w:rsidR="004308CC" w:rsidRPr="006C45BF">
        <w:rPr>
          <w:rFonts w:ascii="Times New Roman" w:eastAsia="Times New Roman" w:hAnsi="Times New Roman" w:cs="Times New Roman"/>
          <w:sz w:val="24"/>
          <w:szCs w:val="24"/>
        </w:rPr>
        <w:t xml:space="preserve">quarter </w:t>
      </w:r>
      <w:r w:rsidR="005720BD" w:rsidRPr="006C45BF">
        <w:rPr>
          <w:rFonts w:ascii="Times New Roman" w:eastAsia="Times New Roman" w:hAnsi="Times New Roman" w:cs="Times New Roman"/>
          <w:sz w:val="24"/>
          <w:szCs w:val="24"/>
        </w:rPr>
        <w:t>dummies</w:t>
      </w:r>
      <w:r w:rsidR="00A50F18" w:rsidRPr="006C45BF">
        <w:rPr>
          <w:rFonts w:ascii="Times New Roman" w:eastAsia="Times New Roman" w:hAnsi="Times New Roman" w:cs="Times New Roman"/>
          <w:sz w:val="24"/>
          <w:szCs w:val="24"/>
        </w:rPr>
        <w:t xml:space="preserve">, and census tract fixed-effects. </w:t>
      </w:r>
      <w:r w:rsidR="00F97DA1" w:rsidRPr="006C45BF">
        <w:rPr>
          <w:rFonts w:ascii="Times New Roman" w:eastAsia="Times New Roman" w:hAnsi="Times New Roman" w:cs="Times New Roman"/>
          <w:sz w:val="24"/>
          <w:szCs w:val="24"/>
        </w:rPr>
        <w:t>This sample includes residential properties that sold between the date</w:t>
      </w:r>
      <w:r w:rsidR="00023B73">
        <w:rPr>
          <w:rFonts w:ascii="Times New Roman" w:eastAsia="Times New Roman" w:hAnsi="Times New Roman" w:cs="Times New Roman"/>
          <w:sz w:val="24"/>
          <w:szCs w:val="24"/>
        </w:rPr>
        <w:t>s</w:t>
      </w:r>
      <w:r w:rsidR="00F97DA1" w:rsidRPr="006C45BF">
        <w:rPr>
          <w:rFonts w:ascii="Times New Roman" w:eastAsia="Times New Roman" w:hAnsi="Times New Roman" w:cs="Times New Roman"/>
          <w:sz w:val="24"/>
          <w:szCs w:val="24"/>
        </w:rPr>
        <w:t xml:space="preserve"> of </w:t>
      </w:r>
      <w:r w:rsidR="00023B73">
        <w:rPr>
          <w:rFonts w:ascii="Times New Roman" w:eastAsia="Times New Roman" w:hAnsi="Times New Roman" w:cs="Times New Roman"/>
          <w:sz w:val="24"/>
          <w:szCs w:val="24"/>
        </w:rPr>
        <w:t xml:space="preserve">January 1, 2011 </w:t>
      </w:r>
      <w:r w:rsidR="00F97DA1" w:rsidRPr="006C45BF">
        <w:rPr>
          <w:rFonts w:ascii="Times New Roman" w:eastAsia="Times New Roman" w:hAnsi="Times New Roman" w:cs="Times New Roman"/>
          <w:sz w:val="24"/>
          <w:szCs w:val="24"/>
        </w:rPr>
        <w:t>and the end of 2013.</w:t>
      </w:r>
      <w:r w:rsidR="004308CC" w:rsidRPr="006C45BF">
        <w:rPr>
          <w:rFonts w:ascii="Times New Roman" w:eastAsia="Times New Roman" w:hAnsi="Times New Roman" w:cs="Times New Roman"/>
          <w:sz w:val="24"/>
          <w:szCs w:val="24"/>
        </w:rPr>
        <w:t xml:space="preserve"> </w:t>
      </w:r>
      <w:r w:rsidR="00F11888" w:rsidRPr="006C45BF">
        <w:rPr>
          <w:rFonts w:ascii="Times New Roman" w:eastAsia="Times New Roman" w:hAnsi="Times New Roman" w:cs="Times New Roman"/>
          <w:sz w:val="24"/>
          <w:szCs w:val="24"/>
        </w:rPr>
        <w:t>The</w:t>
      </w:r>
      <w:r w:rsidR="00CF7A0D" w:rsidRPr="006C45BF">
        <w:rPr>
          <w:rFonts w:ascii="Times New Roman" w:eastAsia="Times New Roman" w:hAnsi="Times New Roman" w:cs="Times New Roman"/>
          <w:sz w:val="24"/>
          <w:szCs w:val="24"/>
        </w:rPr>
        <w:t xml:space="preserve"> parameter estimate on </w:t>
      </w:r>
      <w:r w:rsidR="002171E8" w:rsidRPr="006C45BF">
        <w:rPr>
          <w:rFonts w:ascii="Times New Roman" w:eastAsia="Times New Roman" w:hAnsi="Times New Roman" w:cs="Times New Roman"/>
          <w:sz w:val="24"/>
          <w:szCs w:val="24"/>
        </w:rPr>
        <w:t xml:space="preserve">the </w:t>
      </w:r>
      <w:r w:rsidR="00AD692A">
        <w:rPr>
          <w:rFonts w:ascii="Times New Roman" w:eastAsia="Times New Roman" w:hAnsi="Times New Roman" w:cs="Times New Roman"/>
          <w:sz w:val="24"/>
          <w:szCs w:val="24"/>
        </w:rPr>
        <w:t xml:space="preserve">treatment effect </w:t>
      </w:r>
      <w:r w:rsidR="00CF7A0D" w:rsidRPr="006C45BF">
        <w:rPr>
          <w:rFonts w:ascii="Times New Roman" w:eastAsia="Times New Roman" w:hAnsi="Times New Roman" w:cs="Times New Roman"/>
          <w:sz w:val="24"/>
          <w:szCs w:val="24"/>
        </w:rPr>
        <w:t>is 0.</w:t>
      </w:r>
      <w:r w:rsidR="009315D1" w:rsidRPr="006C45BF">
        <w:rPr>
          <w:rFonts w:ascii="Times New Roman" w:eastAsia="Times New Roman" w:hAnsi="Times New Roman" w:cs="Times New Roman"/>
          <w:sz w:val="24"/>
          <w:szCs w:val="24"/>
        </w:rPr>
        <w:t>0</w:t>
      </w:r>
      <w:r w:rsidR="00CD73D6">
        <w:rPr>
          <w:rFonts w:ascii="Times New Roman" w:eastAsia="Times New Roman" w:hAnsi="Times New Roman" w:cs="Times New Roman"/>
          <w:sz w:val="24"/>
          <w:szCs w:val="24"/>
        </w:rPr>
        <w:t>4</w:t>
      </w:r>
      <w:r w:rsidR="009315D1" w:rsidRPr="006C45BF">
        <w:rPr>
          <w:rFonts w:ascii="Times New Roman" w:eastAsia="Times New Roman" w:hAnsi="Times New Roman" w:cs="Times New Roman"/>
          <w:sz w:val="24"/>
          <w:szCs w:val="24"/>
        </w:rPr>
        <w:t>0</w:t>
      </w:r>
      <w:r w:rsidR="002E6ABF">
        <w:rPr>
          <w:rFonts w:ascii="Times New Roman" w:eastAsia="Times New Roman" w:hAnsi="Times New Roman" w:cs="Times New Roman"/>
          <w:sz w:val="24"/>
          <w:szCs w:val="24"/>
        </w:rPr>
        <w:t>5</w:t>
      </w:r>
      <w:r w:rsidR="009315D1" w:rsidRPr="006C45BF">
        <w:rPr>
          <w:rFonts w:ascii="Times New Roman" w:eastAsia="Times New Roman" w:hAnsi="Times New Roman" w:cs="Times New Roman"/>
          <w:sz w:val="24"/>
          <w:szCs w:val="24"/>
        </w:rPr>
        <w:t xml:space="preserve"> </w:t>
      </w:r>
      <w:r w:rsidR="00CF7A0D" w:rsidRPr="006C45BF">
        <w:rPr>
          <w:rFonts w:ascii="Times New Roman" w:eastAsia="Times New Roman" w:hAnsi="Times New Roman" w:cs="Times New Roman"/>
          <w:sz w:val="24"/>
          <w:szCs w:val="24"/>
        </w:rPr>
        <w:t>(</w:t>
      </w:r>
      <w:r w:rsidR="002D0454" w:rsidRPr="006C45BF">
        <w:rPr>
          <w:rFonts w:ascii="Times New Roman" w:eastAsia="Times New Roman" w:hAnsi="Times New Roman" w:cs="Times New Roman"/>
          <w:sz w:val="24"/>
          <w:szCs w:val="24"/>
        </w:rPr>
        <w:t xml:space="preserve">with </w:t>
      </w:r>
      <w:r w:rsidR="00CF7A0D" w:rsidRPr="006C45BF">
        <w:rPr>
          <w:rFonts w:ascii="Times New Roman" w:eastAsia="Times New Roman" w:hAnsi="Times New Roman" w:cs="Times New Roman"/>
          <w:sz w:val="24"/>
          <w:szCs w:val="24"/>
        </w:rPr>
        <w:t xml:space="preserve">t-stat = </w:t>
      </w:r>
      <w:r w:rsidR="002D0454" w:rsidRPr="006C45BF">
        <w:rPr>
          <w:rFonts w:ascii="Times New Roman" w:eastAsia="Times New Roman" w:hAnsi="Times New Roman" w:cs="Times New Roman"/>
          <w:sz w:val="24"/>
          <w:szCs w:val="24"/>
        </w:rPr>
        <w:t>2.</w:t>
      </w:r>
      <w:r w:rsidR="00CD73D6">
        <w:rPr>
          <w:rFonts w:ascii="Times New Roman" w:eastAsia="Times New Roman" w:hAnsi="Times New Roman" w:cs="Times New Roman"/>
          <w:sz w:val="24"/>
          <w:szCs w:val="24"/>
        </w:rPr>
        <w:t>92</w:t>
      </w:r>
      <w:r w:rsidR="002D0454" w:rsidRPr="006C45BF">
        <w:rPr>
          <w:rFonts w:ascii="Times New Roman" w:eastAsia="Times New Roman" w:hAnsi="Times New Roman" w:cs="Times New Roman"/>
          <w:sz w:val="24"/>
          <w:szCs w:val="24"/>
        </w:rPr>
        <w:t>)</w:t>
      </w:r>
      <w:r w:rsidR="00A50F18" w:rsidRPr="006C45BF">
        <w:rPr>
          <w:rFonts w:ascii="Times New Roman" w:eastAsia="Times New Roman" w:hAnsi="Times New Roman" w:cs="Times New Roman"/>
          <w:sz w:val="24"/>
          <w:szCs w:val="24"/>
        </w:rPr>
        <w:t xml:space="preserve">, which suggests that with each mile </w:t>
      </w:r>
      <w:r w:rsidR="00CD73D6">
        <w:rPr>
          <w:rFonts w:ascii="Times New Roman" w:eastAsia="Times New Roman" w:hAnsi="Times New Roman" w:cs="Times New Roman"/>
          <w:sz w:val="24"/>
          <w:szCs w:val="24"/>
        </w:rPr>
        <w:t>away from the storm surge,</w:t>
      </w:r>
      <w:r w:rsidR="00A50F18" w:rsidRPr="006C45BF">
        <w:rPr>
          <w:rFonts w:ascii="Times New Roman" w:eastAsia="Times New Roman" w:hAnsi="Times New Roman" w:cs="Times New Roman"/>
          <w:sz w:val="24"/>
          <w:szCs w:val="24"/>
        </w:rPr>
        <w:t xml:space="preserve"> </w:t>
      </w:r>
      <w:r w:rsidR="002052BD" w:rsidRPr="006C45BF">
        <w:rPr>
          <w:rFonts w:ascii="Times New Roman" w:eastAsia="Times New Roman" w:hAnsi="Times New Roman" w:cs="Times New Roman"/>
          <w:sz w:val="24"/>
          <w:szCs w:val="24"/>
        </w:rPr>
        <w:t xml:space="preserve">prices </w:t>
      </w:r>
      <w:r w:rsidR="00CD73D6">
        <w:rPr>
          <w:rFonts w:ascii="Times New Roman" w:eastAsia="Times New Roman" w:hAnsi="Times New Roman" w:cs="Times New Roman"/>
          <w:sz w:val="24"/>
          <w:szCs w:val="24"/>
        </w:rPr>
        <w:t>rose</w:t>
      </w:r>
      <w:r w:rsidR="002052BD" w:rsidRPr="006C45BF">
        <w:rPr>
          <w:rFonts w:ascii="Times New Roman" w:eastAsia="Times New Roman" w:hAnsi="Times New Roman" w:cs="Times New Roman"/>
          <w:sz w:val="24"/>
          <w:szCs w:val="24"/>
        </w:rPr>
        <w:t xml:space="preserve"> by </w:t>
      </w:r>
      <w:r w:rsidR="00CD73D6">
        <w:rPr>
          <w:rFonts w:ascii="Times New Roman" w:eastAsia="Times New Roman" w:hAnsi="Times New Roman" w:cs="Times New Roman"/>
          <w:sz w:val="24"/>
          <w:szCs w:val="24"/>
        </w:rPr>
        <w:t>4</w:t>
      </w:r>
      <w:r w:rsidR="002052BD" w:rsidRPr="006C45BF">
        <w:rPr>
          <w:rFonts w:ascii="Times New Roman" w:eastAsia="Times New Roman" w:hAnsi="Times New Roman" w:cs="Times New Roman"/>
          <w:sz w:val="24"/>
          <w:szCs w:val="24"/>
        </w:rPr>
        <w:t>.</w:t>
      </w:r>
      <w:r w:rsidR="009315D1" w:rsidRPr="006C45BF">
        <w:rPr>
          <w:rFonts w:ascii="Times New Roman" w:eastAsia="Times New Roman" w:hAnsi="Times New Roman" w:cs="Times New Roman"/>
          <w:sz w:val="24"/>
          <w:szCs w:val="24"/>
        </w:rPr>
        <w:t>0</w:t>
      </w:r>
      <w:r w:rsidR="00557F06">
        <w:rPr>
          <w:rFonts w:ascii="Times New Roman" w:eastAsia="Times New Roman" w:hAnsi="Times New Roman" w:cs="Times New Roman"/>
          <w:sz w:val="24"/>
          <w:szCs w:val="24"/>
        </w:rPr>
        <w:t>5</w:t>
      </w:r>
      <w:r w:rsidR="002052BD" w:rsidRPr="006C45BF">
        <w:rPr>
          <w:rFonts w:ascii="Times New Roman" w:eastAsia="Times New Roman" w:hAnsi="Times New Roman" w:cs="Times New Roman"/>
          <w:sz w:val="24"/>
          <w:szCs w:val="24"/>
        </w:rPr>
        <w:t>%</w:t>
      </w:r>
      <w:r w:rsidR="00E71FD3" w:rsidRPr="006C45BF">
        <w:rPr>
          <w:rFonts w:ascii="Times New Roman" w:eastAsia="Times New Roman" w:hAnsi="Times New Roman" w:cs="Times New Roman"/>
          <w:sz w:val="24"/>
          <w:szCs w:val="24"/>
        </w:rPr>
        <w:t>,</w:t>
      </w:r>
      <w:r w:rsidR="002052BD" w:rsidRPr="006C45BF">
        <w:rPr>
          <w:rFonts w:ascii="Times New Roman" w:eastAsia="Times New Roman" w:hAnsi="Times New Roman" w:cs="Times New Roman"/>
          <w:sz w:val="24"/>
          <w:szCs w:val="24"/>
        </w:rPr>
        <w:t xml:space="preserve"> which appears to be a reasonable estimate. </w:t>
      </w:r>
    </w:p>
    <w:p w14:paraId="2B58E580" w14:textId="0EF0A014" w:rsidR="002A58C8" w:rsidRDefault="00612778" w:rsidP="006C45BF">
      <w:pPr>
        <w:spacing w:after="0" w:line="480" w:lineRule="auto"/>
        <w:ind w:firstLine="720"/>
        <w:jc w:val="both"/>
        <w:rPr>
          <w:rFonts w:ascii="Times New Roman" w:eastAsia="Times New Roman" w:hAnsi="Times New Roman" w:cs="Times New Roman"/>
          <w:sz w:val="24"/>
          <w:szCs w:val="24"/>
        </w:rPr>
      </w:pPr>
      <w:r w:rsidRPr="006C45BF">
        <w:rPr>
          <w:rFonts w:ascii="Times New Roman" w:eastAsia="Times New Roman" w:hAnsi="Times New Roman" w:cs="Times New Roman"/>
          <w:sz w:val="24"/>
          <w:szCs w:val="24"/>
        </w:rPr>
        <w:t xml:space="preserve">Next, in </w:t>
      </w:r>
      <w:r w:rsidR="00E71FD3" w:rsidRPr="006C45BF">
        <w:rPr>
          <w:rFonts w:ascii="Times New Roman" w:eastAsia="Times New Roman" w:hAnsi="Times New Roman" w:cs="Times New Roman"/>
          <w:sz w:val="24"/>
          <w:szCs w:val="24"/>
        </w:rPr>
        <w:t>C</w:t>
      </w:r>
      <w:r w:rsidRPr="006C45BF">
        <w:rPr>
          <w:rFonts w:ascii="Times New Roman" w:eastAsia="Times New Roman" w:hAnsi="Times New Roman" w:cs="Times New Roman"/>
          <w:sz w:val="24"/>
          <w:szCs w:val="24"/>
        </w:rPr>
        <w:t>olumn (2), we add</w:t>
      </w:r>
      <w:r w:rsidR="005720BD" w:rsidRPr="006C45BF">
        <w:rPr>
          <w:rFonts w:ascii="Times New Roman" w:eastAsia="Times New Roman" w:hAnsi="Times New Roman" w:cs="Times New Roman"/>
          <w:sz w:val="24"/>
          <w:szCs w:val="24"/>
        </w:rPr>
        <w:t xml:space="preserve"> additional</w:t>
      </w:r>
      <w:r w:rsidR="008A573C" w:rsidRPr="006C45BF">
        <w:rPr>
          <w:rFonts w:ascii="Times New Roman" w:eastAsia="Times New Roman" w:hAnsi="Times New Roman" w:cs="Times New Roman"/>
          <w:sz w:val="24"/>
          <w:szCs w:val="24"/>
        </w:rPr>
        <w:t xml:space="preserve"> hedonic</w:t>
      </w:r>
      <w:r w:rsidR="005720BD" w:rsidRPr="006C45BF">
        <w:rPr>
          <w:rFonts w:ascii="Times New Roman" w:eastAsia="Times New Roman" w:hAnsi="Times New Roman" w:cs="Times New Roman"/>
          <w:sz w:val="24"/>
          <w:szCs w:val="24"/>
        </w:rPr>
        <w:t xml:space="preserve"> </w:t>
      </w:r>
      <w:r w:rsidRPr="006C45BF">
        <w:rPr>
          <w:rFonts w:ascii="Times New Roman" w:eastAsia="Times New Roman" w:hAnsi="Times New Roman" w:cs="Times New Roman"/>
          <w:sz w:val="24"/>
          <w:szCs w:val="24"/>
        </w:rPr>
        <w:t xml:space="preserve">controls, including the log of number of units in the property, the log of land area, </w:t>
      </w:r>
      <w:r w:rsidR="005720BD" w:rsidRPr="006C45BF">
        <w:rPr>
          <w:rFonts w:ascii="Times New Roman" w:eastAsia="Times New Roman" w:hAnsi="Times New Roman" w:cs="Times New Roman"/>
          <w:sz w:val="24"/>
          <w:szCs w:val="24"/>
        </w:rPr>
        <w:t xml:space="preserve">the </w:t>
      </w:r>
      <w:r w:rsidR="00FE772B" w:rsidRPr="006C45BF">
        <w:rPr>
          <w:rFonts w:ascii="Times New Roman" w:eastAsia="Times New Roman" w:hAnsi="Times New Roman" w:cs="Times New Roman"/>
          <w:sz w:val="24"/>
          <w:szCs w:val="24"/>
        </w:rPr>
        <w:t xml:space="preserve">log of </w:t>
      </w:r>
      <w:r w:rsidR="005720BD" w:rsidRPr="006C45BF">
        <w:rPr>
          <w:rFonts w:ascii="Times New Roman" w:eastAsia="Times New Roman" w:hAnsi="Times New Roman" w:cs="Times New Roman"/>
          <w:sz w:val="24"/>
          <w:szCs w:val="24"/>
        </w:rPr>
        <w:t xml:space="preserve">building’s </w:t>
      </w:r>
      <w:r w:rsidR="00FE772B" w:rsidRPr="006C45BF">
        <w:rPr>
          <w:rFonts w:ascii="Times New Roman" w:eastAsia="Times New Roman" w:hAnsi="Times New Roman" w:cs="Times New Roman"/>
          <w:sz w:val="24"/>
          <w:szCs w:val="24"/>
        </w:rPr>
        <w:t xml:space="preserve">age, </w:t>
      </w:r>
      <w:r w:rsidR="005720BD" w:rsidRPr="006C45BF">
        <w:rPr>
          <w:rFonts w:ascii="Times New Roman" w:eastAsia="Times New Roman" w:hAnsi="Times New Roman" w:cs="Times New Roman"/>
          <w:sz w:val="24"/>
          <w:szCs w:val="24"/>
        </w:rPr>
        <w:t xml:space="preserve">the </w:t>
      </w:r>
      <w:r w:rsidR="00FE772B" w:rsidRPr="006C45BF">
        <w:rPr>
          <w:rFonts w:ascii="Times New Roman" w:eastAsia="Times New Roman" w:hAnsi="Times New Roman" w:cs="Times New Roman"/>
          <w:sz w:val="24"/>
          <w:szCs w:val="24"/>
        </w:rPr>
        <w:t xml:space="preserve">log of building area, and </w:t>
      </w:r>
      <w:r w:rsidR="005720BD" w:rsidRPr="006C45BF">
        <w:rPr>
          <w:rFonts w:ascii="Times New Roman" w:eastAsia="Times New Roman" w:hAnsi="Times New Roman" w:cs="Times New Roman"/>
          <w:sz w:val="24"/>
          <w:szCs w:val="24"/>
        </w:rPr>
        <w:t xml:space="preserve">the </w:t>
      </w:r>
      <w:r w:rsidR="00FE772B" w:rsidRPr="006C45BF">
        <w:rPr>
          <w:rFonts w:ascii="Times New Roman" w:eastAsia="Times New Roman" w:hAnsi="Times New Roman" w:cs="Times New Roman"/>
          <w:sz w:val="24"/>
          <w:szCs w:val="24"/>
        </w:rPr>
        <w:t xml:space="preserve">log of the number of floors in the </w:t>
      </w:r>
      <w:r w:rsidR="00E71FD3" w:rsidRPr="006C45BF">
        <w:rPr>
          <w:rFonts w:ascii="Times New Roman" w:eastAsia="Times New Roman" w:hAnsi="Times New Roman" w:cs="Times New Roman"/>
          <w:sz w:val="24"/>
          <w:szCs w:val="24"/>
        </w:rPr>
        <w:t>building</w:t>
      </w:r>
      <w:r w:rsidR="00FE772B" w:rsidRPr="006C45BF">
        <w:rPr>
          <w:rFonts w:ascii="Times New Roman" w:eastAsia="Times New Roman" w:hAnsi="Times New Roman" w:cs="Times New Roman"/>
          <w:sz w:val="24"/>
          <w:szCs w:val="24"/>
        </w:rPr>
        <w:t xml:space="preserve">. </w:t>
      </w:r>
      <w:r w:rsidR="00F770EE" w:rsidRPr="006C45BF">
        <w:rPr>
          <w:rFonts w:ascii="Times New Roman" w:eastAsia="Times New Roman" w:hAnsi="Times New Roman" w:cs="Times New Roman"/>
          <w:sz w:val="24"/>
          <w:szCs w:val="24"/>
        </w:rPr>
        <w:t xml:space="preserve">The parameter estimate </w:t>
      </w:r>
      <w:r w:rsidR="00E71FD3" w:rsidRPr="006C45BF">
        <w:rPr>
          <w:rFonts w:ascii="Times New Roman" w:eastAsia="Times New Roman" w:hAnsi="Times New Roman" w:cs="Times New Roman"/>
          <w:sz w:val="24"/>
          <w:szCs w:val="24"/>
        </w:rPr>
        <w:t>for</w:t>
      </w:r>
      <w:r w:rsidR="00297105" w:rsidRPr="006C45BF">
        <w:rPr>
          <w:rFonts w:ascii="Times New Roman" w:eastAsia="Times New Roman" w:hAnsi="Times New Roman" w:cs="Times New Roman"/>
          <w:sz w:val="24"/>
          <w:szCs w:val="24"/>
        </w:rPr>
        <w:t xml:space="preserve"> the</w:t>
      </w:r>
      <w:r w:rsidR="00F770EE" w:rsidRPr="006C45BF">
        <w:rPr>
          <w:rFonts w:ascii="Times New Roman" w:eastAsia="Times New Roman" w:hAnsi="Times New Roman" w:cs="Times New Roman"/>
          <w:sz w:val="24"/>
          <w:szCs w:val="24"/>
        </w:rPr>
        <w:t xml:space="preserve"> </w:t>
      </w:r>
      <w:r w:rsidR="00A83A75">
        <w:rPr>
          <w:rFonts w:ascii="Times New Roman" w:eastAsia="Times New Roman" w:hAnsi="Times New Roman" w:cs="Times New Roman"/>
          <w:sz w:val="24"/>
          <w:szCs w:val="24"/>
        </w:rPr>
        <w:t xml:space="preserve">treatment effect </w:t>
      </w:r>
      <w:r w:rsidR="00815C6C" w:rsidRPr="006C45BF">
        <w:rPr>
          <w:rFonts w:ascii="Times New Roman" w:eastAsia="Times New Roman" w:hAnsi="Times New Roman" w:cs="Times New Roman"/>
          <w:sz w:val="24"/>
          <w:szCs w:val="24"/>
        </w:rPr>
        <w:t xml:space="preserve">is slightly </w:t>
      </w:r>
      <w:r w:rsidR="009F1138">
        <w:rPr>
          <w:rFonts w:ascii="Times New Roman" w:eastAsia="Times New Roman" w:hAnsi="Times New Roman" w:cs="Times New Roman"/>
          <w:sz w:val="24"/>
          <w:szCs w:val="24"/>
        </w:rPr>
        <w:t>high</w:t>
      </w:r>
      <w:r w:rsidR="00815C6C" w:rsidRPr="006C45BF">
        <w:rPr>
          <w:rFonts w:ascii="Times New Roman" w:eastAsia="Times New Roman" w:hAnsi="Times New Roman" w:cs="Times New Roman"/>
          <w:sz w:val="24"/>
          <w:szCs w:val="24"/>
        </w:rPr>
        <w:t>er in this specification, equal to 0.</w:t>
      </w:r>
      <w:r w:rsidR="009315D1" w:rsidRPr="006C45BF">
        <w:rPr>
          <w:rFonts w:ascii="Times New Roman" w:eastAsia="Times New Roman" w:hAnsi="Times New Roman" w:cs="Times New Roman"/>
          <w:sz w:val="24"/>
          <w:szCs w:val="24"/>
        </w:rPr>
        <w:t>0</w:t>
      </w:r>
      <w:r w:rsidR="00C04114">
        <w:rPr>
          <w:rFonts w:ascii="Times New Roman" w:eastAsia="Times New Roman" w:hAnsi="Times New Roman" w:cs="Times New Roman"/>
          <w:sz w:val="24"/>
          <w:szCs w:val="24"/>
        </w:rPr>
        <w:t xml:space="preserve">54 </w:t>
      </w:r>
      <w:r w:rsidR="00815C6C" w:rsidRPr="006C45BF">
        <w:rPr>
          <w:rFonts w:ascii="Times New Roman" w:eastAsia="Times New Roman" w:hAnsi="Times New Roman" w:cs="Times New Roman"/>
          <w:sz w:val="24"/>
          <w:szCs w:val="24"/>
        </w:rPr>
        <w:t xml:space="preserve">(with t-stat = </w:t>
      </w:r>
      <w:r w:rsidR="00C04114">
        <w:rPr>
          <w:rFonts w:ascii="Times New Roman" w:eastAsia="Times New Roman" w:hAnsi="Times New Roman" w:cs="Times New Roman"/>
          <w:sz w:val="24"/>
          <w:szCs w:val="24"/>
        </w:rPr>
        <w:t>4.72</w:t>
      </w:r>
      <w:r w:rsidR="00815C6C" w:rsidRPr="006C45BF">
        <w:rPr>
          <w:rFonts w:ascii="Times New Roman" w:eastAsia="Times New Roman" w:hAnsi="Times New Roman" w:cs="Times New Roman"/>
          <w:sz w:val="24"/>
          <w:szCs w:val="24"/>
        </w:rPr>
        <w:t>). All of the hedonic controls</w:t>
      </w:r>
      <w:r w:rsidR="00FE4158" w:rsidRPr="006C45BF">
        <w:rPr>
          <w:rFonts w:ascii="Times New Roman" w:eastAsia="Times New Roman" w:hAnsi="Times New Roman" w:cs="Times New Roman"/>
          <w:sz w:val="24"/>
          <w:szCs w:val="24"/>
        </w:rPr>
        <w:t xml:space="preserve"> (with the exception of the number of floors in the residence)</w:t>
      </w:r>
      <w:r w:rsidR="00815C6C" w:rsidRPr="006C45BF">
        <w:rPr>
          <w:rFonts w:ascii="Times New Roman" w:eastAsia="Times New Roman" w:hAnsi="Times New Roman" w:cs="Times New Roman"/>
          <w:sz w:val="24"/>
          <w:szCs w:val="24"/>
        </w:rPr>
        <w:t xml:space="preserve"> are </w:t>
      </w:r>
      <w:r w:rsidR="002052BD" w:rsidRPr="006C45BF">
        <w:rPr>
          <w:rFonts w:ascii="Times New Roman" w:eastAsia="Times New Roman" w:hAnsi="Times New Roman" w:cs="Times New Roman"/>
          <w:sz w:val="24"/>
          <w:szCs w:val="24"/>
        </w:rPr>
        <w:t xml:space="preserve">highly </w:t>
      </w:r>
      <w:r w:rsidR="00815C6C" w:rsidRPr="006C45BF">
        <w:rPr>
          <w:rFonts w:ascii="Times New Roman" w:eastAsia="Times New Roman" w:hAnsi="Times New Roman" w:cs="Times New Roman"/>
          <w:sz w:val="24"/>
          <w:szCs w:val="24"/>
        </w:rPr>
        <w:t>significant</w:t>
      </w:r>
      <w:r w:rsidR="002052BD" w:rsidRPr="006C45BF">
        <w:rPr>
          <w:rFonts w:ascii="Times New Roman" w:eastAsia="Times New Roman" w:hAnsi="Times New Roman" w:cs="Times New Roman"/>
          <w:sz w:val="24"/>
          <w:szCs w:val="24"/>
        </w:rPr>
        <w:t xml:space="preserve"> and have the expected signs.</w:t>
      </w:r>
      <w:r w:rsidR="00815C6C" w:rsidRPr="006C45BF">
        <w:rPr>
          <w:rFonts w:ascii="Times New Roman" w:eastAsia="Times New Roman" w:hAnsi="Times New Roman" w:cs="Times New Roman"/>
          <w:sz w:val="24"/>
          <w:szCs w:val="24"/>
        </w:rPr>
        <w:t xml:space="preserve"> </w:t>
      </w:r>
    </w:p>
    <w:p w14:paraId="7EA9FF04" w14:textId="52DC09C8" w:rsidR="004A4D97" w:rsidRPr="006C45BF" w:rsidRDefault="004A4D97" w:rsidP="006C45BF">
      <w:pPr>
        <w:spacing w:after="0" w:line="480" w:lineRule="auto"/>
        <w:jc w:val="center"/>
        <w:rPr>
          <w:rFonts w:ascii="Times New Roman" w:eastAsia="Times New Roman" w:hAnsi="Times New Roman" w:cs="Times New Roman"/>
          <w:b/>
          <w:bCs/>
          <w:sz w:val="24"/>
          <w:szCs w:val="24"/>
        </w:rPr>
      </w:pPr>
      <w:r w:rsidRPr="006C45BF">
        <w:rPr>
          <w:rFonts w:ascii="Times New Roman" w:eastAsia="Times New Roman" w:hAnsi="Times New Roman" w:cs="Times New Roman"/>
          <w:b/>
          <w:bCs/>
          <w:sz w:val="24"/>
          <w:szCs w:val="24"/>
        </w:rPr>
        <w:t xml:space="preserve">{Table 2 </w:t>
      </w:r>
      <w:r w:rsidR="006C45BF" w:rsidRPr="006C45BF">
        <w:rPr>
          <w:rFonts w:ascii="Times New Roman" w:eastAsia="Times New Roman" w:hAnsi="Times New Roman" w:cs="Times New Roman"/>
          <w:b/>
          <w:bCs/>
          <w:sz w:val="24"/>
          <w:szCs w:val="24"/>
        </w:rPr>
        <w:t>about here</w:t>
      </w:r>
      <w:r w:rsidR="006C45BF">
        <w:rPr>
          <w:rFonts w:ascii="Times New Roman" w:eastAsia="Times New Roman" w:hAnsi="Times New Roman" w:cs="Times New Roman"/>
          <w:b/>
          <w:bCs/>
          <w:sz w:val="24"/>
          <w:szCs w:val="24"/>
        </w:rPr>
        <w:t>:</w:t>
      </w:r>
      <w:r w:rsidR="006C45BF" w:rsidRPr="006C45BF">
        <w:rPr>
          <w:rFonts w:ascii="Times New Roman" w:eastAsia="Times New Roman" w:hAnsi="Times New Roman" w:cs="Times New Roman"/>
          <w:b/>
          <w:bCs/>
          <w:sz w:val="24"/>
          <w:szCs w:val="24"/>
        </w:rPr>
        <w:t xml:space="preserve"> </w:t>
      </w:r>
      <w:r w:rsidR="0094291A">
        <w:rPr>
          <w:rFonts w:ascii="Times New Roman" w:eastAsia="Times New Roman" w:hAnsi="Times New Roman" w:cs="Times New Roman"/>
          <w:b/>
          <w:bCs/>
          <w:sz w:val="24"/>
          <w:szCs w:val="24"/>
        </w:rPr>
        <w:t>Diff-in-diff</w:t>
      </w:r>
      <w:r w:rsidRPr="006C45BF">
        <w:rPr>
          <w:rFonts w:ascii="Times New Roman" w:eastAsia="Times New Roman" w:hAnsi="Times New Roman" w:cs="Times New Roman"/>
          <w:b/>
          <w:bCs/>
          <w:sz w:val="24"/>
          <w:szCs w:val="24"/>
        </w:rPr>
        <w:t xml:space="preserve"> Regs 1-mile </w:t>
      </w:r>
      <w:r w:rsidR="0094291A">
        <w:rPr>
          <w:rFonts w:ascii="Times New Roman" w:eastAsia="Times New Roman" w:hAnsi="Times New Roman" w:cs="Times New Roman"/>
          <w:b/>
          <w:bCs/>
          <w:sz w:val="24"/>
          <w:szCs w:val="24"/>
        </w:rPr>
        <w:t>2011</w:t>
      </w:r>
      <w:r w:rsidRPr="006C45BF">
        <w:rPr>
          <w:rFonts w:ascii="Times New Roman" w:eastAsia="Times New Roman" w:hAnsi="Times New Roman" w:cs="Times New Roman"/>
          <w:b/>
          <w:bCs/>
          <w:sz w:val="24"/>
          <w:szCs w:val="24"/>
        </w:rPr>
        <w:t xml:space="preserve"> to 2013}</w:t>
      </w:r>
    </w:p>
    <w:p w14:paraId="2450C900" w14:textId="209877F0" w:rsidR="00E17F11" w:rsidRPr="006C45BF" w:rsidRDefault="002A58C8" w:rsidP="006C45BF">
      <w:pPr>
        <w:spacing w:after="0" w:line="480" w:lineRule="auto"/>
        <w:ind w:firstLine="720"/>
        <w:jc w:val="both"/>
        <w:rPr>
          <w:rFonts w:ascii="Times New Roman" w:eastAsia="Times New Roman" w:hAnsi="Times New Roman" w:cs="Times New Roman"/>
          <w:sz w:val="24"/>
          <w:szCs w:val="24"/>
        </w:rPr>
      </w:pPr>
      <w:r w:rsidRPr="006C45BF">
        <w:rPr>
          <w:rFonts w:ascii="Times New Roman" w:eastAsia="Times New Roman" w:hAnsi="Times New Roman" w:cs="Times New Roman"/>
          <w:sz w:val="24"/>
          <w:szCs w:val="24"/>
        </w:rPr>
        <w:t xml:space="preserve">New York City has such a diverse range of residential dwellings, that </w:t>
      </w:r>
      <w:r w:rsidR="0036217E" w:rsidRPr="006C45BF">
        <w:rPr>
          <w:rFonts w:ascii="Times New Roman" w:eastAsia="Times New Roman" w:hAnsi="Times New Roman" w:cs="Times New Roman"/>
          <w:sz w:val="24"/>
          <w:szCs w:val="24"/>
        </w:rPr>
        <w:t xml:space="preserve">it is reasonable to also include a more detailed set of control variables that distinguishes </w:t>
      </w:r>
      <w:r w:rsidR="00FE7CE3" w:rsidRPr="006C45BF">
        <w:rPr>
          <w:rFonts w:ascii="Times New Roman" w:eastAsia="Times New Roman" w:hAnsi="Times New Roman" w:cs="Times New Roman"/>
          <w:sz w:val="24"/>
          <w:szCs w:val="24"/>
        </w:rPr>
        <w:t xml:space="preserve">these characteristics. Therefore, </w:t>
      </w:r>
      <w:r w:rsidR="00B540FE" w:rsidRPr="006C45BF">
        <w:rPr>
          <w:rFonts w:ascii="Times New Roman" w:eastAsia="Times New Roman" w:hAnsi="Times New Roman" w:cs="Times New Roman"/>
          <w:sz w:val="24"/>
          <w:szCs w:val="24"/>
        </w:rPr>
        <w:t xml:space="preserve">in </w:t>
      </w:r>
      <w:r w:rsidR="00E71FD3" w:rsidRPr="006C45BF">
        <w:rPr>
          <w:rFonts w:ascii="Times New Roman" w:eastAsia="Times New Roman" w:hAnsi="Times New Roman" w:cs="Times New Roman"/>
          <w:sz w:val="24"/>
          <w:szCs w:val="24"/>
        </w:rPr>
        <w:t>C</w:t>
      </w:r>
      <w:r w:rsidR="00B540FE" w:rsidRPr="006C45BF">
        <w:rPr>
          <w:rFonts w:ascii="Times New Roman" w:eastAsia="Times New Roman" w:hAnsi="Times New Roman" w:cs="Times New Roman"/>
          <w:sz w:val="24"/>
          <w:szCs w:val="24"/>
        </w:rPr>
        <w:t>olumn (3)</w:t>
      </w:r>
      <w:r w:rsidR="00FE7CE3" w:rsidRPr="006C45BF">
        <w:rPr>
          <w:rFonts w:ascii="Times New Roman" w:eastAsia="Times New Roman" w:hAnsi="Times New Roman" w:cs="Times New Roman"/>
          <w:sz w:val="24"/>
          <w:szCs w:val="24"/>
        </w:rPr>
        <w:t xml:space="preserve"> of </w:t>
      </w:r>
      <w:r w:rsidR="00FE7CE3" w:rsidRPr="00F646A2">
        <w:rPr>
          <w:rFonts w:ascii="Times New Roman" w:eastAsia="Times New Roman" w:hAnsi="Times New Roman" w:cs="Times New Roman"/>
          <w:b/>
          <w:bCs/>
          <w:sz w:val="24"/>
          <w:szCs w:val="24"/>
        </w:rPr>
        <w:t>Table 2</w:t>
      </w:r>
      <w:r w:rsidR="00FE7CE3" w:rsidRPr="006C45BF">
        <w:rPr>
          <w:rFonts w:ascii="Times New Roman" w:eastAsia="Times New Roman" w:hAnsi="Times New Roman" w:cs="Times New Roman"/>
          <w:sz w:val="24"/>
          <w:szCs w:val="24"/>
        </w:rPr>
        <w:t xml:space="preserve"> </w:t>
      </w:r>
      <w:r w:rsidR="00B540FE" w:rsidRPr="006C45BF">
        <w:rPr>
          <w:rFonts w:ascii="Times New Roman" w:eastAsia="Times New Roman" w:hAnsi="Times New Roman" w:cs="Times New Roman"/>
          <w:sz w:val="24"/>
          <w:szCs w:val="24"/>
        </w:rPr>
        <w:t xml:space="preserve">we add in </w:t>
      </w:r>
      <w:r w:rsidR="00E71FD3" w:rsidRPr="006C45BF">
        <w:rPr>
          <w:rFonts w:ascii="Times New Roman" w:eastAsia="Times New Roman" w:hAnsi="Times New Roman" w:cs="Times New Roman"/>
          <w:sz w:val="24"/>
          <w:szCs w:val="24"/>
        </w:rPr>
        <w:t>a</w:t>
      </w:r>
      <w:r w:rsidR="00B540FE" w:rsidRPr="006C45BF">
        <w:rPr>
          <w:rFonts w:ascii="Times New Roman" w:eastAsia="Times New Roman" w:hAnsi="Times New Roman" w:cs="Times New Roman"/>
          <w:sz w:val="24"/>
          <w:szCs w:val="24"/>
        </w:rPr>
        <w:t xml:space="preserve"> more comprehensive set of building characteristics, which are described in detail in the </w:t>
      </w:r>
      <w:r w:rsidR="002052BD" w:rsidRPr="006C45BF">
        <w:rPr>
          <w:rFonts w:ascii="Times New Roman" w:eastAsia="Times New Roman" w:hAnsi="Times New Roman" w:cs="Times New Roman"/>
          <w:sz w:val="24"/>
          <w:szCs w:val="24"/>
        </w:rPr>
        <w:t>A</w:t>
      </w:r>
      <w:r w:rsidR="00B540FE" w:rsidRPr="006C45BF">
        <w:rPr>
          <w:rFonts w:ascii="Times New Roman" w:eastAsia="Times New Roman" w:hAnsi="Times New Roman" w:cs="Times New Roman"/>
          <w:sz w:val="24"/>
          <w:szCs w:val="24"/>
        </w:rPr>
        <w:t>ppendix</w:t>
      </w:r>
      <w:r w:rsidR="00E71FD3" w:rsidRPr="006C45BF">
        <w:rPr>
          <w:rFonts w:ascii="Times New Roman" w:eastAsia="Times New Roman" w:hAnsi="Times New Roman" w:cs="Times New Roman"/>
          <w:sz w:val="24"/>
          <w:szCs w:val="24"/>
        </w:rPr>
        <w:t xml:space="preserve">, but account for additional features of the property, such as lot shape and location within the block, building type dummies, and if it has a basement or not. </w:t>
      </w:r>
      <w:r w:rsidR="00E50FD0" w:rsidRPr="006C45BF">
        <w:rPr>
          <w:rFonts w:ascii="Times New Roman" w:eastAsia="Times New Roman" w:hAnsi="Times New Roman" w:cs="Times New Roman"/>
          <w:sz w:val="24"/>
          <w:szCs w:val="24"/>
        </w:rPr>
        <w:t xml:space="preserve">For ease of presentation, the parameter estimates from these </w:t>
      </w:r>
      <w:r w:rsidR="0024179F" w:rsidRPr="006C45BF">
        <w:rPr>
          <w:rFonts w:ascii="Times New Roman" w:eastAsia="Times New Roman" w:hAnsi="Times New Roman" w:cs="Times New Roman"/>
          <w:sz w:val="24"/>
          <w:szCs w:val="24"/>
        </w:rPr>
        <w:t xml:space="preserve">additional variables are suppressed in </w:t>
      </w:r>
      <w:r w:rsidR="0024179F" w:rsidRPr="00F646A2">
        <w:rPr>
          <w:rFonts w:ascii="Times New Roman" w:eastAsia="Times New Roman" w:hAnsi="Times New Roman" w:cs="Times New Roman"/>
          <w:b/>
          <w:bCs/>
          <w:sz w:val="24"/>
          <w:szCs w:val="24"/>
        </w:rPr>
        <w:t>Table 2</w:t>
      </w:r>
      <w:r w:rsidR="0024179F" w:rsidRPr="006C45BF">
        <w:rPr>
          <w:rFonts w:ascii="Times New Roman" w:eastAsia="Times New Roman" w:hAnsi="Times New Roman" w:cs="Times New Roman"/>
          <w:sz w:val="24"/>
          <w:szCs w:val="24"/>
        </w:rPr>
        <w:t xml:space="preserve">, but </w:t>
      </w:r>
      <w:r w:rsidR="007D4378" w:rsidRPr="006C45BF">
        <w:rPr>
          <w:rFonts w:ascii="Times New Roman" w:eastAsia="Times New Roman" w:hAnsi="Times New Roman" w:cs="Times New Roman"/>
          <w:sz w:val="24"/>
          <w:szCs w:val="24"/>
        </w:rPr>
        <w:t xml:space="preserve">they </w:t>
      </w:r>
      <w:r w:rsidR="0024179F" w:rsidRPr="006C45BF">
        <w:rPr>
          <w:rFonts w:ascii="Times New Roman" w:eastAsia="Times New Roman" w:hAnsi="Times New Roman" w:cs="Times New Roman"/>
          <w:sz w:val="24"/>
          <w:szCs w:val="24"/>
        </w:rPr>
        <w:t>are available upon request.</w:t>
      </w:r>
      <w:r w:rsidR="000C6564">
        <w:rPr>
          <w:rFonts w:ascii="Times New Roman" w:eastAsia="Times New Roman" w:hAnsi="Times New Roman" w:cs="Times New Roman"/>
          <w:sz w:val="24"/>
          <w:szCs w:val="24"/>
        </w:rPr>
        <w:t xml:space="preserve"> We also include an additional regressor for distance to the shore, which has a positive and significant coefficient. </w:t>
      </w:r>
      <w:r w:rsidR="0024179F" w:rsidRPr="006C45BF">
        <w:rPr>
          <w:rFonts w:ascii="Times New Roman" w:eastAsia="Times New Roman" w:hAnsi="Times New Roman" w:cs="Times New Roman"/>
          <w:sz w:val="24"/>
          <w:szCs w:val="24"/>
        </w:rPr>
        <w:t xml:space="preserve"> The inclusion of this full set of hedonic controls </w:t>
      </w:r>
      <w:r w:rsidR="00A141AF" w:rsidRPr="006C45BF">
        <w:rPr>
          <w:rFonts w:ascii="Times New Roman" w:eastAsia="Times New Roman" w:hAnsi="Times New Roman" w:cs="Times New Roman"/>
          <w:sz w:val="24"/>
          <w:szCs w:val="24"/>
        </w:rPr>
        <w:t xml:space="preserve">has no impact on the signs and significance of the hedonic controls that are presented in </w:t>
      </w:r>
      <w:r w:rsidR="0086229F" w:rsidRPr="006C45BF">
        <w:rPr>
          <w:rFonts w:ascii="Times New Roman" w:eastAsia="Times New Roman" w:hAnsi="Times New Roman" w:cs="Times New Roman"/>
          <w:sz w:val="24"/>
          <w:szCs w:val="24"/>
        </w:rPr>
        <w:t xml:space="preserve">Column (2) of </w:t>
      </w:r>
      <w:r w:rsidR="00EB40EE" w:rsidRPr="00F646A2">
        <w:rPr>
          <w:rFonts w:ascii="Times New Roman" w:eastAsia="Times New Roman" w:hAnsi="Times New Roman" w:cs="Times New Roman"/>
          <w:b/>
          <w:bCs/>
          <w:sz w:val="24"/>
          <w:szCs w:val="24"/>
        </w:rPr>
        <w:t>Table 2</w:t>
      </w:r>
      <w:r w:rsidR="00EB40EE" w:rsidRPr="006C45BF">
        <w:rPr>
          <w:rFonts w:ascii="Times New Roman" w:eastAsia="Times New Roman" w:hAnsi="Times New Roman" w:cs="Times New Roman"/>
          <w:sz w:val="24"/>
          <w:szCs w:val="24"/>
        </w:rPr>
        <w:t xml:space="preserve">, but </w:t>
      </w:r>
      <w:r w:rsidR="001B630B" w:rsidRPr="006C45BF">
        <w:rPr>
          <w:rFonts w:ascii="Times New Roman" w:eastAsia="Times New Roman" w:hAnsi="Times New Roman" w:cs="Times New Roman"/>
          <w:sz w:val="24"/>
          <w:szCs w:val="24"/>
        </w:rPr>
        <w:t>the coefficient on the</w:t>
      </w:r>
      <w:r w:rsidR="006132C4">
        <w:rPr>
          <w:rFonts w:ascii="Times New Roman" w:eastAsia="Times New Roman" w:hAnsi="Times New Roman" w:cs="Times New Roman"/>
          <w:i/>
          <w:iCs/>
          <w:sz w:val="24"/>
          <w:szCs w:val="24"/>
        </w:rPr>
        <w:t xml:space="preserve"> </w:t>
      </w:r>
      <w:r w:rsidR="001A26A5">
        <w:rPr>
          <w:rFonts w:ascii="Times New Roman" w:eastAsia="Times New Roman" w:hAnsi="Times New Roman" w:cs="Times New Roman"/>
          <w:sz w:val="24"/>
          <w:szCs w:val="24"/>
        </w:rPr>
        <w:t xml:space="preserve">treatment effect variable </w:t>
      </w:r>
      <w:r w:rsidR="006132C4">
        <w:rPr>
          <w:rFonts w:ascii="Times New Roman" w:eastAsia="Times New Roman" w:hAnsi="Times New Roman" w:cs="Times New Roman"/>
          <w:sz w:val="24"/>
          <w:szCs w:val="24"/>
        </w:rPr>
        <w:t>is also positive and significant, equal to approximately 0.04</w:t>
      </w:r>
      <w:r w:rsidR="00F46EA4">
        <w:rPr>
          <w:rFonts w:ascii="Times New Roman" w:eastAsia="Times New Roman" w:hAnsi="Times New Roman" w:cs="Times New Roman"/>
          <w:sz w:val="24"/>
          <w:szCs w:val="24"/>
        </w:rPr>
        <w:t>2</w:t>
      </w:r>
      <w:r w:rsidR="006132C4">
        <w:rPr>
          <w:rFonts w:ascii="Times New Roman" w:eastAsia="Times New Roman" w:hAnsi="Times New Roman" w:cs="Times New Roman"/>
          <w:sz w:val="24"/>
          <w:szCs w:val="24"/>
        </w:rPr>
        <w:t>.</w:t>
      </w:r>
      <w:r w:rsidR="001A26A5">
        <w:rPr>
          <w:rFonts w:ascii="Times New Roman" w:eastAsia="Times New Roman" w:hAnsi="Times New Roman" w:cs="Times New Roman"/>
          <w:sz w:val="24"/>
          <w:szCs w:val="24"/>
        </w:rPr>
        <w:t xml:space="preserve"> </w:t>
      </w:r>
      <w:r w:rsidR="00BA6D23" w:rsidRPr="006C45BF">
        <w:rPr>
          <w:rFonts w:ascii="Times New Roman" w:eastAsia="Times New Roman" w:hAnsi="Times New Roman" w:cs="Times New Roman"/>
          <w:sz w:val="24"/>
          <w:szCs w:val="24"/>
        </w:rPr>
        <w:t xml:space="preserve">This implies that for every mile </w:t>
      </w:r>
      <w:r w:rsidR="001A26A5">
        <w:rPr>
          <w:rFonts w:ascii="Times New Roman" w:eastAsia="Times New Roman" w:hAnsi="Times New Roman" w:cs="Times New Roman"/>
          <w:sz w:val="24"/>
          <w:szCs w:val="24"/>
        </w:rPr>
        <w:t>further away from</w:t>
      </w:r>
      <w:r w:rsidR="001A26A5" w:rsidRPr="006C45BF">
        <w:rPr>
          <w:rFonts w:ascii="Times New Roman" w:eastAsia="Times New Roman" w:hAnsi="Times New Roman" w:cs="Times New Roman"/>
          <w:sz w:val="24"/>
          <w:szCs w:val="24"/>
        </w:rPr>
        <w:t xml:space="preserve"> </w:t>
      </w:r>
      <w:r w:rsidR="00BA6D23" w:rsidRPr="006C45BF">
        <w:rPr>
          <w:rFonts w:ascii="Times New Roman" w:eastAsia="Times New Roman" w:hAnsi="Times New Roman" w:cs="Times New Roman"/>
          <w:sz w:val="24"/>
          <w:szCs w:val="24"/>
        </w:rPr>
        <w:t xml:space="preserve">the storm surge, </w:t>
      </w:r>
      <w:r w:rsidR="001D0C4C" w:rsidRPr="006C45BF">
        <w:rPr>
          <w:rFonts w:ascii="Times New Roman" w:eastAsia="Times New Roman" w:hAnsi="Times New Roman" w:cs="Times New Roman"/>
          <w:sz w:val="24"/>
          <w:szCs w:val="24"/>
        </w:rPr>
        <w:t xml:space="preserve">residential sale prices per square foot were approximately </w:t>
      </w:r>
      <w:r w:rsidR="001A26A5">
        <w:rPr>
          <w:rFonts w:ascii="Times New Roman" w:eastAsia="Times New Roman" w:hAnsi="Times New Roman" w:cs="Times New Roman"/>
          <w:sz w:val="24"/>
          <w:szCs w:val="24"/>
        </w:rPr>
        <w:t>4</w:t>
      </w:r>
      <w:r w:rsidR="001D0C4C" w:rsidRPr="006C45BF">
        <w:rPr>
          <w:rFonts w:ascii="Times New Roman" w:eastAsia="Times New Roman" w:hAnsi="Times New Roman" w:cs="Times New Roman"/>
          <w:sz w:val="24"/>
          <w:szCs w:val="24"/>
        </w:rPr>
        <w:t xml:space="preserve">% </w:t>
      </w:r>
      <w:r w:rsidR="00557F06">
        <w:rPr>
          <w:rFonts w:ascii="Times New Roman" w:eastAsia="Times New Roman" w:hAnsi="Times New Roman" w:cs="Times New Roman"/>
          <w:sz w:val="24"/>
          <w:szCs w:val="24"/>
        </w:rPr>
        <w:t>higher</w:t>
      </w:r>
      <w:r w:rsidR="001D0C4C" w:rsidRPr="006C45BF">
        <w:rPr>
          <w:rFonts w:ascii="Times New Roman" w:eastAsia="Times New Roman" w:hAnsi="Times New Roman" w:cs="Times New Roman"/>
          <w:sz w:val="24"/>
          <w:szCs w:val="24"/>
        </w:rPr>
        <w:t>.</w:t>
      </w:r>
    </w:p>
    <w:p w14:paraId="06A42F52" w14:textId="0E125343" w:rsidR="0085015D" w:rsidRPr="006C45BF" w:rsidRDefault="005A0AC5" w:rsidP="006C45BF">
      <w:pPr>
        <w:spacing w:after="0" w:line="480" w:lineRule="auto"/>
        <w:ind w:firstLine="720"/>
        <w:jc w:val="both"/>
        <w:rPr>
          <w:rFonts w:ascii="Times New Roman" w:eastAsia="Times New Roman" w:hAnsi="Times New Roman" w:cs="Times New Roman"/>
          <w:sz w:val="24"/>
          <w:szCs w:val="24"/>
        </w:rPr>
      </w:pPr>
      <w:r w:rsidRPr="006C45BF">
        <w:rPr>
          <w:rFonts w:ascii="Times New Roman" w:eastAsia="Times New Roman" w:hAnsi="Times New Roman" w:cs="Times New Roman"/>
          <w:sz w:val="24"/>
          <w:szCs w:val="24"/>
        </w:rPr>
        <w:t xml:space="preserve">In </w:t>
      </w:r>
      <w:r w:rsidRPr="00F646A2">
        <w:rPr>
          <w:rFonts w:ascii="Times New Roman" w:eastAsia="Times New Roman" w:hAnsi="Times New Roman" w:cs="Times New Roman"/>
          <w:b/>
          <w:bCs/>
          <w:sz w:val="24"/>
          <w:szCs w:val="24"/>
        </w:rPr>
        <w:t>Table 3</w:t>
      </w:r>
      <w:r w:rsidRPr="006C45BF">
        <w:rPr>
          <w:rFonts w:ascii="Times New Roman" w:eastAsia="Times New Roman" w:hAnsi="Times New Roman" w:cs="Times New Roman"/>
          <w:sz w:val="24"/>
          <w:szCs w:val="24"/>
        </w:rPr>
        <w:t>, we</w:t>
      </w:r>
      <w:r w:rsidR="0085015D" w:rsidRPr="006C45BF">
        <w:rPr>
          <w:rFonts w:ascii="Times New Roman" w:eastAsia="Times New Roman" w:hAnsi="Times New Roman" w:cs="Times New Roman"/>
          <w:sz w:val="24"/>
          <w:szCs w:val="24"/>
        </w:rPr>
        <w:t xml:space="preserve"> re-estimate the </w:t>
      </w:r>
      <w:r w:rsidRPr="006C45BF">
        <w:rPr>
          <w:rFonts w:ascii="Times New Roman" w:eastAsia="Times New Roman" w:hAnsi="Times New Roman" w:cs="Times New Roman"/>
          <w:sz w:val="24"/>
          <w:szCs w:val="24"/>
        </w:rPr>
        <w:t>three</w:t>
      </w:r>
      <w:r w:rsidR="0085015D" w:rsidRPr="006C45BF">
        <w:rPr>
          <w:rFonts w:ascii="Times New Roman" w:eastAsia="Times New Roman" w:hAnsi="Times New Roman" w:cs="Times New Roman"/>
          <w:sz w:val="24"/>
          <w:szCs w:val="24"/>
        </w:rPr>
        <w:t xml:space="preserve"> models shown in </w:t>
      </w:r>
      <w:r w:rsidR="0085015D" w:rsidRPr="00F646A2">
        <w:rPr>
          <w:rFonts w:ascii="Times New Roman" w:eastAsia="Times New Roman" w:hAnsi="Times New Roman" w:cs="Times New Roman"/>
          <w:b/>
          <w:bCs/>
          <w:sz w:val="24"/>
          <w:szCs w:val="24"/>
        </w:rPr>
        <w:t>Table 2</w:t>
      </w:r>
      <w:r w:rsidR="0085015D" w:rsidRPr="006C45BF">
        <w:rPr>
          <w:rFonts w:ascii="Times New Roman" w:eastAsia="Times New Roman" w:hAnsi="Times New Roman" w:cs="Times New Roman"/>
          <w:sz w:val="24"/>
          <w:szCs w:val="24"/>
        </w:rPr>
        <w:t xml:space="preserve"> but by extending the end-date of the sample through the end of 2014. </w:t>
      </w:r>
      <w:r w:rsidR="00B114BC" w:rsidRPr="006C45BF">
        <w:rPr>
          <w:rFonts w:ascii="Times New Roman" w:eastAsia="Times New Roman" w:hAnsi="Times New Roman" w:cs="Times New Roman"/>
          <w:sz w:val="24"/>
          <w:szCs w:val="24"/>
        </w:rPr>
        <w:t xml:space="preserve"> </w:t>
      </w:r>
      <w:r w:rsidRPr="006C45BF">
        <w:rPr>
          <w:rFonts w:ascii="Times New Roman" w:eastAsia="Times New Roman" w:hAnsi="Times New Roman" w:cs="Times New Roman"/>
          <w:sz w:val="24"/>
          <w:szCs w:val="24"/>
        </w:rPr>
        <w:t>While the coefficient estimates are all positive as would be expected for</w:t>
      </w:r>
      <w:r w:rsidR="004D4FAF">
        <w:rPr>
          <w:rFonts w:ascii="Times New Roman" w:eastAsia="Times New Roman" w:hAnsi="Times New Roman" w:cs="Times New Roman"/>
          <w:sz w:val="24"/>
          <w:szCs w:val="24"/>
        </w:rPr>
        <w:t xml:space="preserve"> the</w:t>
      </w:r>
      <w:r w:rsidR="004D4FAF">
        <w:rPr>
          <w:rFonts w:ascii="Times New Roman" w:eastAsia="Times New Roman" w:hAnsi="Times New Roman" w:cs="Times New Roman"/>
          <w:i/>
          <w:iCs/>
          <w:sz w:val="24"/>
          <w:szCs w:val="24"/>
        </w:rPr>
        <w:t xml:space="preserve"> </w:t>
      </w:r>
      <w:r w:rsidR="004D4FAF">
        <w:rPr>
          <w:rFonts w:ascii="Times New Roman" w:eastAsia="Times New Roman" w:hAnsi="Times New Roman" w:cs="Times New Roman"/>
          <w:sz w:val="24"/>
          <w:szCs w:val="24"/>
        </w:rPr>
        <w:t xml:space="preserve">treatment effect </w:t>
      </w:r>
      <w:r w:rsidR="00E71FD3" w:rsidRPr="006C45BF">
        <w:rPr>
          <w:rFonts w:ascii="Times New Roman" w:eastAsia="Times New Roman" w:hAnsi="Times New Roman" w:cs="Times New Roman"/>
          <w:sz w:val="24"/>
          <w:szCs w:val="24"/>
        </w:rPr>
        <w:t>variable</w:t>
      </w:r>
      <w:r w:rsidRPr="006C45BF">
        <w:rPr>
          <w:rFonts w:ascii="Times New Roman" w:eastAsia="Times New Roman" w:hAnsi="Times New Roman" w:cs="Times New Roman"/>
          <w:sz w:val="24"/>
          <w:szCs w:val="24"/>
        </w:rPr>
        <w:t xml:space="preserve">, they </w:t>
      </w:r>
      <w:r w:rsidR="009315D1" w:rsidRPr="006C45BF">
        <w:rPr>
          <w:rFonts w:ascii="Times New Roman" w:eastAsia="Times New Roman" w:hAnsi="Times New Roman" w:cs="Times New Roman"/>
          <w:sz w:val="24"/>
          <w:szCs w:val="24"/>
        </w:rPr>
        <w:t>are much</w:t>
      </w:r>
      <w:r w:rsidR="004D4FAF">
        <w:rPr>
          <w:rFonts w:ascii="Times New Roman" w:eastAsia="Times New Roman" w:hAnsi="Times New Roman" w:cs="Times New Roman"/>
          <w:sz w:val="24"/>
          <w:szCs w:val="24"/>
        </w:rPr>
        <w:t xml:space="preserve"> larg</w:t>
      </w:r>
      <w:r w:rsidR="009315D1" w:rsidRPr="006C45BF">
        <w:rPr>
          <w:rFonts w:ascii="Times New Roman" w:eastAsia="Times New Roman" w:hAnsi="Times New Roman" w:cs="Times New Roman"/>
          <w:sz w:val="24"/>
          <w:szCs w:val="24"/>
        </w:rPr>
        <w:t xml:space="preserve">er by </w:t>
      </w:r>
      <w:r w:rsidR="004D4FAF">
        <w:rPr>
          <w:rFonts w:ascii="Times New Roman" w:eastAsia="Times New Roman" w:hAnsi="Times New Roman" w:cs="Times New Roman"/>
          <w:sz w:val="24"/>
          <w:szCs w:val="24"/>
        </w:rPr>
        <w:t>close to</w:t>
      </w:r>
      <w:r w:rsidR="009315D1" w:rsidRPr="006C45BF">
        <w:rPr>
          <w:rFonts w:ascii="Times New Roman" w:eastAsia="Times New Roman" w:hAnsi="Times New Roman" w:cs="Times New Roman"/>
          <w:sz w:val="24"/>
          <w:szCs w:val="24"/>
        </w:rPr>
        <w:t xml:space="preserve"> 50%, </w:t>
      </w:r>
      <w:r w:rsidR="0064555F">
        <w:rPr>
          <w:rFonts w:ascii="Times New Roman" w:eastAsia="Times New Roman" w:hAnsi="Times New Roman" w:cs="Times New Roman"/>
          <w:sz w:val="24"/>
          <w:szCs w:val="24"/>
        </w:rPr>
        <w:t xml:space="preserve">in the range of 0.05 to 0.07, </w:t>
      </w:r>
      <w:r w:rsidR="009315D1" w:rsidRPr="006C45BF">
        <w:rPr>
          <w:rFonts w:ascii="Times New Roman" w:eastAsia="Times New Roman" w:hAnsi="Times New Roman" w:cs="Times New Roman"/>
          <w:sz w:val="24"/>
          <w:szCs w:val="24"/>
        </w:rPr>
        <w:t>and significant</w:t>
      </w:r>
      <w:r w:rsidR="00B114BC" w:rsidRPr="006C45BF">
        <w:rPr>
          <w:rFonts w:ascii="Times New Roman" w:eastAsia="Times New Roman" w:hAnsi="Times New Roman" w:cs="Times New Roman"/>
          <w:sz w:val="24"/>
          <w:szCs w:val="24"/>
        </w:rPr>
        <w:t xml:space="preserve">. This </w:t>
      </w:r>
      <w:r w:rsidRPr="006C45BF">
        <w:rPr>
          <w:rFonts w:ascii="Times New Roman" w:eastAsia="Times New Roman" w:hAnsi="Times New Roman" w:cs="Times New Roman"/>
          <w:sz w:val="24"/>
          <w:szCs w:val="24"/>
        </w:rPr>
        <w:t>suggests</w:t>
      </w:r>
      <w:r w:rsidR="00B114BC" w:rsidRPr="006C45BF">
        <w:rPr>
          <w:rFonts w:ascii="Times New Roman" w:eastAsia="Times New Roman" w:hAnsi="Times New Roman" w:cs="Times New Roman"/>
          <w:sz w:val="24"/>
          <w:szCs w:val="24"/>
        </w:rPr>
        <w:t xml:space="preserve"> that </w:t>
      </w:r>
      <w:r w:rsidR="00D94833">
        <w:rPr>
          <w:rFonts w:ascii="Times New Roman" w:eastAsia="Times New Roman" w:hAnsi="Times New Roman" w:cs="Times New Roman"/>
          <w:sz w:val="24"/>
          <w:szCs w:val="24"/>
        </w:rPr>
        <w:t>it took some time</w:t>
      </w:r>
      <w:r w:rsidR="00EC0A0D">
        <w:rPr>
          <w:rFonts w:ascii="Times New Roman" w:eastAsia="Times New Roman" w:hAnsi="Times New Roman" w:cs="Times New Roman"/>
          <w:sz w:val="24"/>
          <w:szCs w:val="24"/>
        </w:rPr>
        <w:t xml:space="preserve"> for the full effects of the storm to be manifested in the housing market</w:t>
      </w:r>
      <w:r w:rsidR="0082289F" w:rsidRPr="006C45BF">
        <w:rPr>
          <w:rFonts w:ascii="Times New Roman" w:eastAsia="Times New Roman" w:hAnsi="Times New Roman" w:cs="Times New Roman"/>
          <w:sz w:val="24"/>
          <w:szCs w:val="24"/>
        </w:rPr>
        <w:t>.</w:t>
      </w:r>
      <w:r w:rsidR="00557F06">
        <w:rPr>
          <w:rFonts w:ascii="Times New Roman" w:eastAsia="Times New Roman" w:hAnsi="Times New Roman" w:cs="Times New Roman"/>
          <w:sz w:val="24"/>
          <w:szCs w:val="24"/>
        </w:rPr>
        <w:t xml:space="preserve"> For the remainder of the paper,</w:t>
      </w:r>
      <w:r w:rsidR="00A46F5D">
        <w:rPr>
          <w:rFonts w:ascii="Times New Roman" w:eastAsia="Times New Roman" w:hAnsi="Times New Roman" w:cs="Times New Roman"/>
          <w:sz w:val="24"/>
          <w:szCs w:val="24"/>
        </w:rPr>
        <w:t xml:space="preserve"> we proceed with </w:t>
      </w:r>
      <w:r w:rsidR="00582D31">
        <w:rPr>
          <w:rFonts w:ascii="Times New Roman" w:eastAsia="Times New Roman" w:hAnsi="Times New Roman" w:cs="Times New Roman"/>
          <w:sz w:val="24"/>
          <w:szCs w:val="24"/>
        </w:rPr>
        <w:t>retaining the end date of 2014 in the analysis.</w:t>
      </w:r>
      <w:r w:rsidR="0082289F" w:rsidRPr="006C45BF">
        <w:rPr>
          <w:rFonts w:ascii="Times New Roman" w:eastAsia="Times New Roman" w:hAnsi="Times New Roman" w:cs="Times New Roman"/>
          <w:sz w:val="24"/>
          <w:szCs w:val="24"/>
        </w:rPr>
        <w:t xml:space="preserve"> </w:t>
      </w:r>
    </w:p>
    <w:p w14:paraId="3B322B5A" w14:textId="51C2C874" w:rsidR="002052BD" w:rsidRPr="006C45BF" w:rsidRDefault="002052BD" w:rsidP="006C45BF">
      <w:pPr>
        <w:spacing w:after="0" w:line="480" w:lineRule="auto"/>
        <w:jc w:val="center"/>
        <w:rPr>
          <w:rFonts w:ascii="Times New Roman" w:eastAsia="Times New Roman" w:hAnsi="Times New Roman" w:cs="Times New Roman"/>
          <w:b/>
          <w:bCs/>
          <w:sz w:val="24"/>
          <w:szCs w:val="24"/>
        </w:rPr>
      </w:pPr>
      <w:r w:rsidRPr="006C45BF">
        <w:rPr>
          <w:rFonts w:ascii="Times New Roman" w:eastAsia="Times New Roman" w:hAnsi="Times New Roman" w:cs="Times New Roman"/>
          <w:b/>
          <w:bCs/>
          <w:sz w:val="24"/>
          <w:szCs w:val="24"/>
        </w:rPr>
        <w:t xml:space="preserve">{Table 3 </w:t>
      </w:r>
      <w:r w:rsidR="006C45BF" w:rsidRPr="006C45BF">
        <w:rPr>
          <w:rFonts w:ascii="Times New Roman" w:eastAsia="Times New Roman" w:hAnsi="Times New Roman" w:cs="Times New Roman"/>
          <w:b/>
          <w:bCs/>
          <w:sz w:val="24"/>
          <w:szCs w:val="24"/>
        </w:rPr>
        <w:t>about here</w:t>
      </w:r>
      <w:r w:rsidR="006C45BF">
        <w:rPr>
          <w:rFonts w:ascii="Times New Roman" w:eastAsia="Times New Roman" w:hAnsi="Times New Roman" w:cs="Times New Roman"/>
          <w:b/>
          <w:bCs/>
          <w:sz w:val="24"/>
          <w:szCs w:val="24"/>
        </w:rPr>
        <w:t xml:space="preserve">: </w:t>
      </w:r>
      <w:r w:rsidRPr="006C45BF">
        <w:rPr>
          <w:rFonts w:ascii="Times New Roman" w:hAnsi="Times New Roman" w:cs="Times New Roman"/>
          <w:b/>
          <w:bCs/>
          <w:sz w:val="24"/>
          <w:szCs w:val="24"/>
        </w:rPr>
        <w:t>After Sandy within 1 mile but up to 2014</w:t>
      </w:r>
      <w:r w:rsidRPr="006C45BF">
        <w:rPr>
          <w:rFonts w:ascii="Times New Roman" w:eastAsia="Times New Roman" w:hAnsi="Times New Roman" w:cs="Times New Roman"/>
          <w:b/>
          <w:bCs/>
          <w:sz w:val="24"/>
          <w:szCs w:val="24"/>
        </w:rPr>
        <w:t>}</w:t>
      </w:r>
    </w:p>
    <w:p w14:paraId="5EDED504" w14:textId="2B5207AD" w:rsidR="00FE5D93" w:rsidRPr="00FC6147" w:rsidRDefault="00285BFB" w:rsidP="00FC6147">
      <w:pPr>
        <w:pStyle w:val="NoSpacing"/>
        <w:spacing w:line="480" w:lineRule="auto"/>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Now we consider the issue of positive versus negative shocks. </w:t>
      </w:r>
      <w:r w:rsidR="0078570B" w:rsidRPr="00F646A2">
        <w:rPr>
          <w:rFonts w:ascii="Times New Roman" w:eastAsia="Times New Roman" w:hAnsi="Times New Roman" w:cs="Times New Roman"/>
          <w:b/>
          <w:bCs/>
          <w:sz w:val="24"/>
          <w:szCs w:val="24"/>
        </w:rPr>
        <w:t>Table 4</w:t>
      </w:r>
      <w:r w:rsidR="0078570B" w:rsidRPr="006C45BF">
        <w:rPr>
          <w:rFonts w:ascii="Times New Roman" w:eastAsia="Times New Roman" w:hAnsi="Times New Roman" w:cs="Times New Roman"/>
          <w:sz w:val="24"/>
          <w:szCs w:val="24"/>
        </w:rPr>
        <w:t xml:space="preserve"> shows the coefficient estimates from when we divide the sample into </w:t>
      </w:r>
      <w:r w:rsidR="0078570B">
        <w:rPr>
          <w:rFonts w:ascii="Times New Roman" w:eastAsia="Times New Roman" w:hAnsi="Times New Roman" w:cs="Times New Roman"/>
          <w:sz w:val="24"/>
          <w:szCs w:val="24"/>
        </w:rPr>
        <w:t>two</w:t>
      </w:r>
      <w:r w:rsidR="0078570B" w:rsidRPr="006C45BF">
        <w:rPr>
          <w:rFonts w:ascii="Times New Roman" w:eastAsia="Times New Roman" w:hAnsi="Times New Roman" w:cs="Times New Roman"/>
          <w:sz w:val="24"/>
          <w:szCs w:val="24"/>
        </w:rPr>
        <w:t xml:space="preserve"> subsamples—those with positive shocks</w:t>
      </w:r>
      <w:r w:rsidR="0078570B" w:rsidRPr="006C45BF">
        <w:rPr>
          <w:rFonts w:ascii="Times New Roman" w:hAnsi="Times New Roman" w:cs="Times New Roman"/>
          <w:sz w:val="24"/>
          <w:szCs w:val="24"/>
        </w:rPr>
        <w:t xml:space="preserve">, </w:t>
      </w:r>
      <w:r w:rsidR="0078570B" w:rsidRPr="006C45BF">
        <w:rPr>
          <w:rFonts w:ascii="Times New Roman" w:hAnsi="Times New Roman" w:cs="Times New Roman"/>
          <w:i/>
          <w:iCs/>
          <w:sz w:val="24"/>
          <w:szCs w:val="24"/>
        </w:rPr>
        <w:t>Sandy-FEMA</w:t>
      </w:r>
      <w:r w:rsidR="0078570B">
        <w:rPr>
          <w:rFonts w:ascii="Times New Roman" w:hAnsi="Times New Roman" w:cs="Times New Roman"/>
          <w:i/>
          <w:iCs/>
          <w:sz w:val="24"/>
          <w:szCs w:val="24"/>
        </w:rPr>
        <w:t>≥0</w:t>
      </w:r>
      <w:r w:rsidR="0078570B">
        <w:rPr>
          <w:rFonts w:ascii="Times New Roman" w:eastAsia="Times New Roman" w:hAnsi="Times New Roman" w:cs="Times New Roman"/>
          <w:sz w:val="24"/>
          <w:szCs w:val="24"/>
        </w:rPr>
        <w:t xml:space="preserve"> </w:t>
      </w:r>
      <w:r w:rsidR="0078570B" w:rsidRPr="006C45BF">
        <w:rPr>
          <w:rFonts w:ascii="Times New Roman" w:eastAsia="Times New Roman" w:hAnsi="Times New Roman" w:cs="Times New Roman"/>
          <w:sz w:val="24"/>
          <w:szCs w:val="24"/>
        </w:rPr>
        <w:t xml:space="preserve"> (Column (1)), </w:t>
      </w:r>
      <w:r w:rsidR="0078570B">
        <w:rPr>
          <w:rFonts w:ascii="Times New Roman" w:eastAsia="Times New Roman" w:hAnsi="Times New Roman" w:cs="Times New Roman"/>
          <w:sz w:val="24"/>
          <w:szCs w:val="24"/>
        </w:rPr>
        <w:t xml:space="preserve">and </w:t>
      </w:r>
      <w:r w:rsidR="0078570B" w:rsidRPr="006C45BF">
        <w:rPr>
          <w:rFonts w:ascii="Times New Roman" w:eastAsia="Times New Roman" w:hAnsi="Times New Roman" w:cs="Times New Roman"/>
          <w:sz w:val="24"/>
          <w:szCs w:val="24"/>
        </w:rPr>
        <w:t>those with negative shocks</w:t>
      </w:r>
      <w:r w:rsidR="0078570B">
        <w:rPr>
          <w:rFonts w:ascii="Times New Roman" w:eastAsia="Times New Roman" w:hAnsi="Times New Roman" w:cs="Times New Roman"/>
          <w:sz w:val="24"/>
          <w:szCs w:val="24"/>
        </w:rPr>
        <w:t>,</w:t>
      </w:r>
      <w:r w:rsidR="0078570B" w:rsidRPr="006C45BF">
        <w:rPr>
          <w:rFonts w:ascii="Times New Roman" w:hAnsi="Times New Roman" w:cs="Times New Roman"/>
          <w:sz w:val="24"/>
          <w:szCs w:val="24"/>
        </w:rPr>
        <w:t xml:space="preserve"> </w:t>
      </w:r>
      <w:r w:rsidR="0078570B" w:rsidRPr="006C45BF">
        <w:rPr>
          <w:rFonts w:ascii="Times New Roman" w:hAnsi="Times New Roman" w:cs="Times New Roman"/>
          <w:i/>
          <w:iCs/>
          <w:sz w:val="24"/>
          <w:szCs w:val="24"/>
        </w:rPr>
        <w:t>Sandy-FEMA</w:t>
      </w:r>
      <w:r w:rsidR="0078570B">
        <w:rPr>
          <w:rFonts w:ascii="Times New Roman" w:hAnsi="Times New Roman" w:cs="Times New Roman"/>
          <w:i/>
          <w:iCs/>
          <w:sz w:val="24"/>
          <w:szCs w:val="24"/>
        </w:rPr>
        <w:t>&lt;0</w:t>
      </w:r>
      <w:r w:rsidR="0078570B" w:rsidRPr="006C45BF">
        <w:rPr>
          <w:rFonts w:ascii="Times New Roman" w:eastAsia="Times New Roman" w:hAnsi="Times New Roman" w:cs="Times New Roman"/>
          <w:sz w:val="24"/>
          <w:szCs w:val="24"/>
        </w:rPr>
        <w:t xml:space="preserve"> (Column (2)).</w:t>
      </w:r>
      <w:r>
        <w:rPr>
          <w:rFonts w:ascii="Times New Roman" w:eastAsia="Times New Roman" w:hAnsi="Times New Roman" w:cs="Times New Roman"/>
          <w:sz w:val="24"/>
          <w:szCs w:val="24"/>
        </w:rPr>
        <w:t xml:space="preserve"> </w:t>
      </w:r>
      <w:r w:rsidR="007778B3" w:rsidRPr="00F646A2">
        <w:rPr>
          <w:rFonts w:ascii="Times New Roman" w:eastAsia="Times New Roman" w:hAnsi="Times New Roman" w:cs="Times New Roman"/>
          <w:b/>
          <w:bCs/>
          <w:sz w:val="24"/>
          <w:szCs w:val="24"/>
        </w:rPr>
        <w:t xml:space="preserve">Figure </w:t>
      </w:r>
      <w:r w:rsidR="00DC60B5" w:rsidRPr="00F646A2">
        <w:rPr>
          <w:rFonts w:ascii="Times New Roman" w:eastAsia="Times New Roman" w:hAnsi="Times New Roman" w:cs="Times New Roman"/>
          <w:b/>
          <w:bCs/>
          <w:sz w:val="24"/>
          <w:szCs w:val="24"/>
        </w:rPr>
        <w:t>1</w:t>
      </w:r>
      <w:r w:rsidR="00DC60B5" w:rsidRPr="006C45BF">
        <w:rPr>
          <w:rFonts w:ascii="Times New Roman" w:eastAsia="Times New Roman" w:hAnsi="Times New Roman" w:cs="Times New Roman"/>
          <w:sz w:val="24"/>
          <w:szCs w:val="24"/>
        </w:rPr>
        <w:t xml:space="preserve"> </w:t>
      </w:r>
      <w:r w:rsidR="007778B3" w:rsidRPr="006C45BF">
        <w:rPr>
          <w:rFonts w:ascii="Times New Roman" w:eastAsia="Times New Roman" w:hAnsi="Times New Roman" w:cs="Times New Roman"/>
          <w:sz w:val="24"/>
          <w:szCs w:val="24"/>
        </w:rPr>
        <w:t>maps all</w:t>
      </w:r>
      <w:r w:rsidR="002E6ABF">
        <w:rPr>
          <w:rFonts w:ascii="Times New Roman" w:eastAsia="Times New Roman" w:hAnsi="Times New Roman" w:cs="Times New Roman"/>
          <w:sz w:val="24"/>
          <w:szCs w:val="24"/>
        </w:rPr>
        <w:t xml:space="preserve"> </w:t>
      </w:r>
      <w:r w:rsidR="007778B3" w:rsidRPr="006C45BF">
        <w:rPr>
          <w:rFonts w:ascii="Times New Roman" w:eastAsia="Times New Roman" w:hAnsi="Times New Roman" w:cs="Times New Roman"/>
          <w:sz w:val="24"/>
          <w:szCs w:val="24"/>
        </w:rPr>
        <w:t xml:space="preserve">the </w:t>
      </w:r>
      <w:r w:rsidR="00066B93" w:rsidRPr="006C45BF">
        <w:rPr>
          <w:rFonts w:ascii="Times New Roman" w:eastAsia="Times New Roman" w:hAnsi="Times New Roman" w:cs="Times New Roman"/>
          <w:sz w:val="24"/>
          <w:szCs w:val="24"/>
        </w:rPr>
        <w:t xml:space="preserve">residential </w:t>
      </w:r>
      <w:r w:rsidR="007778B3" w:rsidRPr="006C45BF">
        <w:rPr>
          <w:rFonts w:ascii="Times New Roman" w:eastAsia="Times New Roman" w:hAnsi="Times New Roman" w:cs="Times New Roman"/>
          <w:sz w:val="24"/>
          <w:szCs w:val="24"/>
        </w:rPr>
        <w:t>propert</w:t>
      </w:r>
      <w:r w:rsidR="00066B93" w:rsidRPr="006C45BF">
        <w:rPr>
          <w:rFonts w:ascii="Times New Roman" w:eastAsia="Times New Roman" w:hAnsi="Times New Roman" w:cs="Times New Roman"/>
          <w:sz w:val="24"/>
          <w:szCs w:val="24"/>
        </w:rPr>
        <w:t>y sales</w:t>
      </w:r>
      <w:r w:rsidR="00B420A3" w:rsidRPr="006C45BF">
        <w:rPr>
          <w:rFonts w:ascii="Times New Roman" w:eastAsia="Times New Roman" w:hAnsi="Times New Roman" w:cs="Times New Roman"/>
          <w:sz w:val="24"/>
          <w:szCs w:val="24"/>
        </w:rPr>
        <w:t xml:space="preserve"> between the date of Sandy and the end of </w:t>
      </w:r>
      <w:r w:rsidR="000030DC" w:rsidRPr="006C45BF">
        <w:rPr>
          <w:rFonts w:ascii="Times New Roman" w:eastAsia="Times New Roman" w:hAnsi="Times New Roman" w:cs="Times New Roman"/>
          <w:sz w:val="24"/>
          <w:szCs w:val="24"/>
        </w:rPr>
        <w:t>201</w:t>
      </w:r>
      <w:r w:rsidR="000030DC">
        <w:rPr>
          <w:rFonts w:ascii="Times New Roman" w:eastAsia="Times New Roman" w:hAnsi="Times New Roman" w:cs="Times New Roman"/>
          <w:sz w:val="24"/>
          <w:szCs w:val="24"/>
        </w:rPr>
        <w:t>4</w:t>
      </w:r>
      <w:r w:rsidR="007778B3" w:rsidRPr="006C45BF">
        <w:rPr>
          <w:rFonts w:ascii="Times New Roman" w:eastAsia="Times New Roman" w:hAnsi="Times New Roman" w:cs="Times New Roman"/>
          <w:sz w:val="24"/>
          <w:szCs w:val="24"/>
        </w:rPr>
        <w:t>, where</w:t>
      </w:r>
      <w:r w:rsidR="00E915EC" w:rsidRPr="006C45BF">
        <w:rPr>
          <w:rFonts w:ascii="Times New Roman" w:eastAsia="Times New Roman" w:hAnsi="Times New Roman" w:cs="Times New Roman"/>
          <w:sz w:val="24"/>
          <w:szCs w:val="24"/>
        </w:rPr>
        <w:t xml:space="preserve"> a blue dot is a </w:t>
      </w:r>
      <w:r w:rsidR="000D7CD0">
        <w:rPr>
          <w:rFonts w:ascii="Times New Roman" w:eastAsia="Times New Roman" w:hAnsi="Times New Roman" w:cs="Times New Roman"/>
          <w:sz w:val="24"/>
          <w:szCs w:val="24"/>
        </w:rPr>
        <w:t>negative</w:t>
      </w:r>
      <w:r w:rsidR="000D7CD0" w:rsidRPr="006C45BF">
        <w:rPr>
          <w:rFonts w:ascii="Times New Roman" w:eastAsia="Times New Roman" w:hAnsi="Times New Roman" w:cs="Times New Roman"/>
          <w:sz w:val="24"/>
          <w:szCs w:val="24"/>
        </w:rPr>
        <w:t xml:space="preserve"> </w:t>
      </w:r>
      <w:r w:rsidR="00E915EC" w:rsidRPr="006C45BF">
        <w:rPr>
          <w:rFonts w:ascii="Times New Roman" w:eastAsia="Times New Roman" w:hAnsi="Times New Roman" w:cs="Times New Roman"/>
          <w:sz w:val="24"/>
          <w:szCs w:val="24"/>
        </w:rPr>
        <w:t xml:space="preserve">shock, a red dot is a </w:t>
      </w:r>
      <w:r w:rsidR="00640664">
        <w:rPr>
          <w:rFonts w:ascii="Times New Roman" w:eastAsia="Times New Roman" w:hAnsi="Times New Roman" w:cs="Times New Roman"/>
          <w:sz w:val="24"/>
          <w:szCs w:val="24"/>
        </w:rPr>
        <w:t>positive</w:t>
      </w:r>
      <w:r w:rsidR="000D7CD0" w:rsidRPr="006C45BF">
        <w:rPr>
          <w:rFonts w:ascii="Times New Roman" w:eastAsia="Times New Roman" w:hAnsi="Times New Roman" w:cs="Times New Roman"/>
          <w:sz w:val="24"/>
          <w:szCs w:val="24"/>
        </w:rPr>
        <w:t xml:space="preserve"> </w:t>
      </w:r>
      <w:r w:rsidR="00E915EC" w:rsidRPr="006C45BF">
        <w:rPr>
          <w:rFonts w:ascii="Times New Roman" w:eastAsia="Times New Roman" w:hAnsi="Times New Roman" w:cs="Times New Roman"/>
          <w:sz w:val="24"/>
          <w:szCs w:val="24"/>
        </w:rPr>
        <w:t>shock</w:t>
      </w:r>
      <w:r w:rsidR="000030DC">
        <w:rPr>
          <w:rFonts w:ascii="Times New Roman" w:eastAsia="Times New Roman" w:hAnsi="Times New Roman" w:cs="Times New Roman"/>
          <w:sz w:val="24"/>
          <w:szCs w:val="24"/>
        </w:rPr>
        <w:t>.</w:t>
      </w:r>
    </w:p>
    <w:p w14:paraId="259ED618" w14:textId="54B9C203" w:rsidR="00FE5D93" w:rsidRPr="006C45BF" w:rsidRDefault="00A330A2" w:rsidP="006C45BF">
      <w:pPr>
        <w:spacing w:after="0" w:line="480" w:lineRule="auto"/>
        <w:jc w:val="both"/>
        <w:rPr>
          <w:rFonts w:ascii="Times New Roman" w:eastAsia="Times New Roman" w:hAnsi="Times New Roman" w:cs="Times New Roman"/>
          <w:b/>
          <w:bCs/>
          <w:sz w:val="24"/>
          <w:szCs w:val="24"/>
        </w:rPr>
      </w:pPr>
      <w:r w:rsidRPr="006C45BF">
        <w:rPr>
          <w:rFonts w:ascii="Times New Roman" w:eastAsia="Times New Roman" w:hAnsi="Times New Roman" w:cs="Times New Roman"/>
          <w:b/>
          <w:bCs/>
          <w:sz w:val="24"/>
          <w:szCs w:val="24"/>
        </w:rPr>
        <w:tab/>
      </w:r>
      <w:r w:rsidRPr="006C45BF">
        <w:rPr>
          <w:rFonts w:ascii="Times New Roman" w:eastAsia="Times New Roman" w:hAnsi="Times New Roman" w:cs="Times New Roman"/>
          <w:b/>
          <w:bCs/>
          <w:sz w:val="24"/>
          <w:szCs w:val="24"/>
        </w:rPr>
        <w:tab/>
      </w:r>
      <w:r w:rsidRPr="006C45BF">
        <w:rPr>
          <w:rFonts w:ascii="Times New Roman" w:eastAsia="Times New Roman" w:hAnsi="Times New Roman" w:cs="Times New Roman"/>
          <w:b/>
          <w:bCs/>
          <w:sz w:val="24"/>
          <w:szCs w:val="24"/>
        </w:rPr>
        <w:tab/>
      </w:r>
      <w:r w:rsidRPr="006C45BF">
        <w:rPr>
          <w:rFonts w:ascii="Times New Roman" w:eastAsia="Times New Roman" w:hAnsi="Times New Roman" w:cs="Times New Roman"/>
          <w:b/>
          <w:bCs/>
          <w:sz w:val="24"/>
          <w:szCs w:val="24"/>
        </w:rPr>
        <w:tab/>
        <w:t>{Figure 1</w:t>
      </w:r>
      <w:r w:rsidR="009A5F0C" w:rsidRPr="006C45BF">
        <w:rPr>
          <w:rFonts w:ascii="Times New Roman" w:eastAsia="Times New Roman" w:hAnsi="Times New Roman" w:cs="Times New Roman"/>
          <w:b/>
          <w:bCs/>
          <w:sz w:val="24"/>
          <w:szCs w:val="24"/>
        </w:rPr>
        <w:t xml:space="preserve"> </w:t>
      </w:r>
      <w:r w:rsidR="00A77485" w:rsidRPr="006C45BF">
        <w:rPr>
          <w:rFonts w:ascii="Times New Roman" w:eastAsia="Times New Roman" w:hAnsi="Times New Roman" w:cs="Times New Roman"/>
          <w:b/>
          <w:bCs/>
          <w:sz w:val="24"/>
          <w:szCs w:val="24"/>
        </w:rPr>
        <w:t>about here</w:t>
      </w:r>
      <w:r w:rsidR="00A77485">
        <w:rPr>
          <w:rFonts w:ascii="Times New Roman" w:eastAsia="Times New Roman" w:hAnsi="Times New Roman" w:cs="Times New Roman"/>
          <w:b/>
          <w:bCs/>
          <w:sz w:val="24"/>
          <w:szCs w:val="24"/>
        </w:rPr>
        <w:t>: Map</w:t>
      </w:r>
      <w:r w:rsidRPr="006C45BF">
        <w:rPr>
          <w:rFonts w:ascii="Times New Roman" w:eastAsia="Times New Roman" w:hAnsi="Times New Roman" w:cs="Times New Roman"/>
          <w:b/>
          <w:bCs/>
          <w:sz w:val="24"/>
          <w:szCs w:val="24"/>
        </w:rPr>
        <w:t>}</w:t>
      </w:r>
    </w:p>
    <w:p w14:paraId="3C0D0CAA" w14:textId="7A236B93" w:rsidR="00DC60B5" w:rsidRDefault="00FE5D93" w:rsidP="006C45BF">
      <w:pPr>
        <w:spacing w:after="0" w:line="480" w:lineRule="auto"/>
        <w:jc w:val="both"/>
        <w:rPr>
          <w:rFonts w:ascii="Times New Roman" w:eastAsia="Times New Roman" w:hAnsi="Times New Roman" w:cs="Times New Roman"/>
          <w:sz w:val="24"/>
          <w:szCs w:val="24"/>
        </w:rPr>
      </w:pPr>
      <w:r w:rsidRPr="006C45BF">
        <w:rPr>
          <w:rFonts w:ascii="Times New Roman" w:eastAsia="Times New Roman" w:hAnsi="Times New Roman" w:cs="Times New Roman"/>
          <w:sz w:val="24"/>
          <w:szCs w:val="24"/>
        </w:rPr>
        <w:t xml:space="preserve">The results </w:t>
      </w:r>
      <w:r w:rsidR="00DC60B5" w:rsidRPr="006C45BF">
        <w:rPr>
          <w:rFonts w:ascii="Times New Roman" w:eastAsia="Times New Roman" w:hAnsi="Times New Roman" w:cs="Times New Roman"/>
          <w:sz w:val="24"/>
          <w:szCs w:val="24"/>
        </w:rPr>
        <w:t>f</w:t>
      </w:r>
      <w:r w:rsidR="00DC60B5">
        <w:rPr>
          <w:rFonts w:ascii="Times New Roman" w:eastAsia="Times New Roman" w:hAnsi="Times New Roman" w:cs="Times New Roman"/>
          <w:sz w:val="24"/>
          <w:szCs w:val="24"/>
        </w:rPr>
        <w:t>ro</w:t>
      </w:r>
      <w:r w:rsidR="00DC60B5" w:rsidRPr="006C45BF">
        <w:rPr>
          <w:rFonts w:ascii="Times New Roman" w:eastAsia="Times New Roman" w:hAnsi="Times New Roman" w:cs="Times New Roman"/>
          <w:sz w:val="24"/>
          <w:szCs w:val="24"/>
        </w:rPr>
        <w:t xml:space="preserve">m </w:t>
      </w:r>
      <w:r w:rsidR="00501A94" w:rsidRPr="00F646A2">
        <w:rPr>
          <w:rFonts w:ascii="Times New Roman" w:eastAsia="Times New Roman" w:hAnsi="Times New Roman" w:cs="Times New Roman"/>
          <w:b/>
          <w:bCs/>
          <w:sz w:val="24"/>
          <w:szCs w:val="24"/>
        </w:rPr>
        <w:t>T</w:t>
      </w:r>
      <w:r w:rsidRPr="00F646A2">
        <w:rPr>
          <w:rFonts w:ascii="Times New Roman" w:eastAsia="Times New Roman" w:hAnsi="Times New Roman" w:cs="Times New Roman"/>
          <w:b/>
          <w:bCs/>
          <w:sz w:val="24"/>
          <w:szCs w:val="24"/>
        </w:rPr>
        <w:t xml:space="preserve">able </w:t>
      </w:r>
      <w:r w:rsidR="00501A94" w:rsidRPr="00F646A2">
        <w:rPr>
          <w:rFonts w:ascii="Times New Roman" w:eastAsia="Times New Roman" w:hAnsi="Times New Roman" w:cs="Times New Roman"/>
          <w:b/>
          <w:bCs/>
          <w:sz w:val="24"/>
          <w:szCs w:val="24"/>
        </w:rPr>
        <w:t>4</w:t>
      </w:r>
      <w:r w:rsidR="00501A94" w:rsidRPr="006C45BF">
        <w:rPr>
          <w:rFonts w:ascii="Times New Roman" w:eastAsia="Times New Roman" w:hAnsi="Times New Roman" w:cs="Times New Roman"/>
          <w:sz w:val="24"/>
          <w:szCs w:val="24"/>
        </w:rPr>
        <w:t xml:space="preserve"> </w:t>
      </w:r>
      <w:r w:rsidR="00AF089F">
        <w:rPr>
          <w:rFonts w:ascii="Times New Roman" w:eastAsia="Times New Roman" w:hAnsi="Times New Roman" w:cs="Times New Roman"/>
          <w:sz w:val="24"/>
          <w:szCs w:val="24"/>
        </w:rPr>
        <w:t xml:space="preserve">column (1) </w:t>
      </w:r>
      <w:r w:rsidRPr="006C45BF">
        <w:rPr>
          <w:rFonts w:ascii="Times New Roman" w:eastAsia="Times New Roman" w:hAnsi="Times New Roman" w:cs="Times New Roman"/>
          <w:sz w:val="24"/>
          <w:szCs w:val="24"/>
        </w:rPr>
        <w:t xml:space="preserve">suggest that, on average, there was no </w:t>
      </w:r>
      <w:r w:rsidR="008227CD">
        <w:rPr>
          <w:rFonts w:ascii="Times New Roman" w:eastAsia="Times New Roman" w:hAnsi="Times New Roman" w:cs="Times New Roman"/>
          <w:sz w:val="24"/>
          <w:szCs w:val="24"/>
        </w:rPr>
        <w:t xml:space="preserve">significant </w:t>
      </w:r>
      <w:r w:rsidRPr="006C45BF">
        <w:rPr>
          <w:rFonts w:ascii="Times New Roman" w:eastAsia="Times New Roman" w:hAnsi="Times New Roman" w:cs="Times New Roman"/>
          <w:sz w:val="24"/>
          <w:szCs w:val="24"/>
        </w:rPr>
        <w:t xml:space="preserve">relationship between the </w:t>
      </w:r>
      <w:r w:rsidR="00F66EE6">
        <w:rPr>
          <w:rFonts w:ascii="Times New Roman" w:eastAsia="Times New Roman" w:hAnsi="Times New Roman" w:cs="Times New Roman"/>
          <w:sz w:val="24"/>
          <w:szCs w:val="24"/>
        </w:rPr>
        <w:t>treatment effect</w:t>
      </w:r>
      <w:r w:rsidRPr="006C45BF">
        <w:rPr>
          <w:rFonts w:ascii="Times New Roman" w:eastAsia="Times New Roman" w:hAnsi="Times New Roman" w:cs="Times New Roman"/>
          <w:sz w:val="24"/>
          <w:szCs w:val="24"/>
        </w:rPr>
        <w:t xml:space="preserve"> and housing prices for</w:t>
      </w:r>
      <w:r w:rsidR="00A82EED">
        <w:rPr>
          <w:rFonts w:ascii="Times New Roman" w:eastAsia="Times New Roman" w:hAnsi="Times New Roman" w:cs="Times New Roman"/>
          <w:sz w:val="24"/>
          <w:szCs w:val="24"/>
        </w:rPr>
        <w:t xml:space="preserve"> positive shocks</w:t>
      </w:r>
      <w:r w:rsidRPr="006C45BF">
        <w:rPr>
          <w:rFonts w:ascii="Times New Roman" w:eastAsia="Times New Roman" w:hAnsi="Times New Roman" w:cs="Times New Roman"/>
          <w:sz w:val="24"/>
          <w:szCs w:val="24"/>
        </w:rPr>
        <w:t xml:space="preserve">. </w:t>
      </w:r>
      <w:r w:rsidR="00196657">
        <w:rPr>
          <w:rFonts w:ascii="Times New Roman" w:eastAsia="Times New Roman" w:hAnsi="Times New Roman" w:cs="Times New Roman"/>
          <w:sz w:val="24"/>
          <w:szCs w:val="24"/>
        </w:rPr>
        <w:t xml:space="preserve"> </w:t>
      </w:r>
      <w:r w:rsidR="00DF3E23" w:rsidRPr="006C45BF">
        <w:rPr>
          <w:rFonts w:ascii="Times New Roman" w:eastAsia="Times New Roman" w:hAnsi="Times New Roman" w:cs="Times New Roman"/>
          <w:sz w:val="24"/>
          <w:szCs w:val="24"/>
        </w:rPr>
        <w:t xml:space="preserve">The </w:t>
      </w:r>
      <w:r w:rsidR="001E4542">
        <w:rPr>
          <w:rFonts w:ascii="Times New Roman" w:eastAsia="Times New Roman" w:hAnsi="Times New Roman" w:cs="Times New Roman"/>
          <w:sz w:val="24"/>
          <w:szCs w:val="24"/>
        </w:rPr>
        <w:t xml:space="preserve">treatment effect </w:t>
      </w:r>
      <w:r w:rsidR="00DF3E23" w:rsidRPr="006C45BF">
        <w:rPr>
          <w:rFonts w:ascii="Times New Roman" w:eastAsia="Times New Roman" w:hAnsi="Times New Roman" w:cs="Times New Roman"/>
          <w:sz w:val="24"/>
          <w:szCs w:val="24"/>
        </w:rPr>
        <w:t xml:space="preserve">coefficients </w:t>
      </w:r>
      <w:r w:rsidR="00DC60B5">
        <w:rPr>
          <w:rFonts w:ascii="Times New Roman" w:eastAsia="Times New Roman" w:hAnsi="Times New Roman" w:cs="Times New Roman"/>
          <w:sz w:val="24"/>
          <w:szCs w:val="24"/>
        </w:rPr>
        <w:t>for</w:t>
      </w:r>
      <w:r w:rsidR="00DC60B5" w:rsidRPr="006C45BF">
        <w:rPr>
          <w:rFonts w:ascii="Times New Roman" w:eastAsia="Times New Roman" w:hAnsi="Times New Roman" w:cs="Times New Roman"/>
          <w:sz w:val="24"/>
          <w:szCs w:val="24"/>
        </w:rPr>
        <w:t xml:space="preserve"> </w:t>
      </w:r>
      <w:r w:rsidR="00DF3E23" w:rsidRPr="006C45BF">
        <w:rPr>
          <w:rFonts w:ascii="Times New Roman" w:eastAsia="Times New Roman" w:hAnsi="Times New Roman" w:cs="Times New Roman"/>
          <w:sz w:val="24"/>
          <w:szCs w:val="24"/>
        </w:rPr>
        <w:t xml:space="preserve">the </w:t>
      </w:r>
      <w:r w:rsidR="00756BC8">
        <w:rPr>
          <w:rFonts w:ascii="Times New Roman" w:eastAsia="Times New Roman" w:hAnsi="Times New Roman" w:cs="Times New Roman"/>
          <w:sz w:val="24"/>
          <w:szCs w:val="24"/>
        </w:rPr>
        <w:t>nega</w:t>
      </w:r>
      <w:r w:rsidR="00DF3E23" w:rsidRPr="006C45BF">
        <w:rPr>
          <w:rFonts w:ascii="Times New Roman" w:eastAsia="Times New Roman" w:hAnsi="Times New Roman" w:cs="Times New Roman"/>
          <w:sz w:val="24"/>
          <w:szCs w:val="24"/>
        </w:rPr>
        <w:t>tive shocks ar</w:t>
      </w:r>
      <w:r w:rsidR="00756BC8">
        <w:rPr>
          <w:rFonts w:ascii="Times New Roman" w:eastAsia="Times New Roman" w:hAnsi="Times New Roman" w:cs="Times New Roman"/>
          <w:sz w:val="24"/>
          <w:szCs w:val="24"/>
        </w:rPr>
        <w:t>e</w:t>
      </w:r>
      <w:r w:rsidR="00DF3E23" w:rsidRPr="006C45BF">
        <w:rPr>
          <w:rFonts w:ascii="Times New Roman" w:eastAsia="Times New Roman" w:hAnsi="Times New Roman" w:cs="Times New Roman"/>
          <w:sz w:val="24"/>
          <w:szCs w:val="24"/>
        </w:rPr>
        <w:t xml:space="preserve"> </w:t>
      </w:r>
      <w:r w:rsidR="00E92CE2">
        <w:rPr>
          <w:rFonts w:ascii="Times New Roman" w:eastAsia="Times New Roman" w:hAnsi="Times New Roman" w:cs="Times New Roman"/>
          <w:sz w:val="24"/>
          <w:szCs w:val="24"/>
        </w:rPr>
        <w:t xml:space="preserve">positive and </w:t>
      </w:r>
      <w:r w:rsidR="00DF3E23" w:rsidRPr="006C45BF">
        <w:rPr>
          <w:rFonts w:ascii="Times New Roman" w:eastAsia="Times New Roman" w:hAnsi="Times New Roman" w:cs="Times New Roman"/>
          <w:sz w:val="24"/>
          <w:szCs w:val="24"/>
        </w:rPr>
        <w:t>statistically significant</w:t>
      </w:r>
      <w:r w:rsidR="00E92CE2">
        <w:rPr>
          <w:rFonts w:ascii="Times New Roman" w:eastAsia="Times New Roman" w:hAnsi="Times New Roman" w:cs="Times New Roman"/>
          <w:sz w:val="24"/>
          <w:szCs w:val="24"/>
        </w:rPr>
        <w:t xml:space="preserve"> (with value</w:t>
      </w:r>
      <w:r w:rsidR="000030DC">
        <w:rPr>
          <w:rFonts w:ascii="Times New Roman" w:eastAsia="Times New Roman" w:hAnsi="Times New Roman" w:cs="Times New Roman"/>
          <w:sz w:val="24"/>
          <w:szCs w:val="24"/>
        </w:rPr>
        <w:t xml:space="preserve"> of</w:t>
      </w:r>
      <w:r w:rsidR="007953E3">
        <w:rPr>
          <w:rFonts w:ascii="Times New Roman" w:eastAsia="Times New Roman" w:hAnsi="Times New Roman" w:cs="Times New Roman"/>
          <w:sz w:val="24"/>
          <w:szCs w:val="24"/>
        </w:rPr>
        <w:t xml:space="preserve"> </w:t>
      </w:r>
      <w:r w:rsidR="00DC60B5">
        <w:rPr>
          <w:rFonts w:ascii="Times New Roman" w:eastAsia="Times New Roman" w:hAnsi="Times New Roman" w:cs="Times New Roman"/>
          <w:sz w:val="24"/>
          <w:szCs w:val="24"/>
        </w:rPr>
        <w:t>0.087</w:t>
      </w:r>
      <w:r w:rsidR="007953E3">
        <w:rPr>
          <w:rFonts w:ascii="Times New Roman" w:eastAsia="Times New Roman" w:hAnsi="Times New Roman" w:cs="Times New Roman"/>
          <w:sz w:val="24"/>
          <w:szCs w:val="24"/>
        </w:rPr>
        <w:t>)</w:t>
      </w:r>
      <w:r w:rsidR="00DF3E23" w:rsidRPr="006C45BF">
        <w:rPr>
          <w:rFonts w:ascii="Times New Roman" w:eastAsia="Times New Roman" w:hAnsi="Times New Roman" w:cs="Times New Roman"/>
          <w:sz w:val="24"/>
          <w:szCs w:val="24"/>
        </w:rPr>
        <w:t>.</w:t>
      </w:r>
      <w:r w:rsidR="001E4542">
        <w:rPr>
          <w:rFonts w:ascii="Times New Roman" w:eastAsia="Times New Roman" w:hAnsi="Times New Roman" w:cs="Times New Roman"/>
          <w:sz w:val="24"/>
          <w:szCs w:val="24"/>
        </w:rPr>
        <w:t xml:space="preserve"> These estimates are on the high end of the treatment effect estimates of </w:t>
      </w:r>
      <w:r w:rsidR="001E4542" w:rsidRPr="00F646A2">
        <w:rPr>
          <w:rFonts w:ascii="Times New Roman" w:eastAsia="Times New Roman" w:hAnsi="Times New Roman" w:cs="Times New Roman"/>
          <w:b/>
          <w:bCs/>
          <w:sz w:val="24"/>
          <w:szCs w:val="24"/>
        </w:rPr>
        <w:t>Table</w:t>
      </w:r>
      <w:r w:rsidR="00F646A2" w:rsidRPr="00F646A2">
        <w:rPr>
          <w:rFonts w:ascii="Times New Roman" w:eastAsia="Times New Roman" w:hAnsi="Times New Roman" w:cs="Times New Roman"/>
          <w:b/>
          <w:bCs/>
          <w:sz w:val="24"/>
          <w:szCs w:val="24"/>
        </w:rPr>
        <w:t>s</w:t>
      </w:r>
      <w:r w:rsidR="001E4542" w:rsidRPr="00F646A2">
        <w:rPr>
          <w:rFonts w:ascii="Times New Roman" w:eastAsia="Times New Roman" w:hAnsi="Times New Roman" w:cs="Times New Roman"/>
          <w:b/>
          <w:bCs/>
          <w:sz w:val="24"/>
          <w:szCs w:val="24"/>
        </w:rPr>
        <w:t xml:space="preserve"> 2 and 3</w:t>
      </w:r>
      <w:r w:rsidR="001E4542">
        <w:rPr>
          <w:rFonts w:ascii="Times New Roman" w:eastAsia="Times New Roman" w:hAnsi="Times New Roman" w:cs="Times New Roman"/>
          <w:sz w:val="24"/>
          <w:szCs w:val="24"/>
        </w:rPr>
        <w:t xml:space="preserve"> which do not distinguish between positive, and </w:t>
      </w:r>
      <w:r w:rsidR="00DC60B5">
        <w:rPr>
          <w:rFonts w:ascii="Times New Roman" w:eastAsia="Times New Roman" w:hAnsi="Times New Roman" w:cs="Times New Roman"/>
          <w:sz w:val="24"/>
          <w:szCs w:val="24"/>
        </w:rPr>
        <w:t xml:space="preserve">negative </w:t>
      </w:r>
      <w:r w:rsidR="001E4542">
        <w:rPr>
          <w:rFonts w:ascii="Times New Roman" w:eastAsia="Times New Roman" w:hAnsi="Times New Roman" w:cs="Times New Roman"/>
          <w:sz w:val="24"/>
          <w:szCs w:val="24"/>
        </w:rPr>
        <w:t xml:space="preserve">shocks. </w:t>
      </w:r>
    </w:p>
    <w:p w14:paraId="3642E5B7" w14:textId="04FD4614" w:rsidR="00DC60B5" w:rsidRPr="006C45BF" w:rsidRDefault="00DC60B5" w:rsidP="00DC60B5">
      <w:pPr>
        <w:spacing w:after="0" w:line="480" w:lineRule="auto"/>
        <w:jc w:val="center"/>
        <w:rPr>
          <w:rFonts w:ascii="Times New Roman" w:eastAsia="Times New Roman" w:hAnsi="Times New Roman" w:cs="Times New Roman"/>
          <w:b/>
          <w:bCs/>
          <w:sz w:val="24"/>
          <w:szCs w:val="24"/>
        </w:rPr>
      </w:pPr>
      <w:r w:rsidRPr="006C45BF">
        <w:rPr>
          <w:rFonts w:ascii="Times New Roman" w:eastAsia="Times New Roman" w:hAnsi="Times New Roman" w:cs="Times New Roman"/>
          <w:b/>
          <w:bCs/>
          <w:sz w:val="24"/>
          <w:szCs w:val="24"/>
        </w:rPr>
        <w:t xml:space="preserve">{Table 4 about here </w:t>
      </w:r>
      <w:r>
        <w:rPr>
          <w:rFonts w:ascii="Times New Roman" w:eastAsia="Times New Roman" w:hAnsi="Times New Roman" w:cs="Times New Roman"/>
          <w:b/>
          <w:bCs/>
          <w:sz w:val="24"/>
          <w:szCs w:val="24"/>
        </w:rPr>
        <w:t xml:space="preserve">: </w:t>
      </w:r>
      <w:r w:rsidRPr="006C45B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6C45BF">
        <w:rPr>
          <w:rFonts w:ascii="Times New Roman" w:eastAsia="Times New Roman" w:hAnsi="Times New Roman" w:cs="Times New Roman"/>
          <w:b/>
          <w:bCs/>
          <w:sz w:val="24"/>
          <w:szCs w:val="24"/>
        </w:rPr>
        <w:t xml:space="preserve"> shocks}</w:t>
      </w:r>
    </w:p>
    <w:p w14:paraId="04B63227" w14:textId="6D026EB5" w:rsidR="00F46EA4" w:rsidRDefault="00D3610D" w:rsidP="00DC60B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implies that if a property is further away from </w:t>
      </w:r>
      <w:r w:rsidR="00F66EE6">
        <w:rPr>
          <w:rFonts w:ascii="Times New Roman" w:eastAsia="Times New Roman" w:hAnsi="Times New Roman" w:cs="Times New Roman"/>
          <w:sz w:val="24"/>
          <w:szCs w:val="24"/>
        </w:rPr>
        <w:t>Sandy</w:t>
      </w:r>
      <w:r>
        <w:rPr>
          <w:rFonts w:ascii="Times New Roman" w:eastAsia="Times New Roman" w:hAnsi="Times New Roman" w:cs="Times New Roman"/>
          <w:sz w:val="24"/>
          <w:szCs w:val="24"/>
        </w:rPr>
        <w:t xml:space="preserve"> than expected, there is no significant impact o</w:t>
      </w:r>
      <w:r w:rsidR="00EC5959">
        <w:rPr>
          <w:rFonts w:ascii="Times New Roman" w:eastAsia="Times New Roman" w:hAnsi="Times New Roman" w:cs="Times New Roman"/>
          <w:sz w:val="24"/>
          <w:szCs w:val="24"/>
        </w:rPr>
        <w:t xml:space="preserve">f being further from the storm surge. But for properties that are closer to </w:t>
      </w:r>
      <w:r w:rsidR="00F66EE6">
        <w:rPr>
          <w:rFonts w:ascii="Times New Roman" w:eastAsia="Times New Roman" w:hAnsi="Times New Roman" w:cs="Times New Roman"/>
          <w:sz w:val="24"/>
          <w:szCs w:val="24"/>
        </w:rPr>
        <w:t>Sandy</w:t>
      </w:r>
      <w:r w:rsidR="001065A6">
        <w:rPr>
          <w:rFonts w:ascii="Times New Roman" w:eastAsia="Times New Roman" w:hAnsi="Times New Roman" w:cs="Times New Roman"/>
          <w:sz w:val="24"/>
          <w:szCs w:val="24"/>
        </w:rPr>
        <w:t xml:space="preserve"> than expected, the treatment effect coefficient implies that moving further away from the storm surge would </w:t>
      </w:r>
      <w:r w:rsidR="00555DA6">
        <w:rPr>
          <w:rFonts w:ascii="Times New Roman" w:eastAsia="Times New Roman" w:hAnsi="Times New Roman" w:cs="Times New Roman"/>
          <w:sz w:val="24"/>
          <w:szCs w:val="24"/>
        </w:rPr>
        <w:t>raise property values.</w:t>
      </w:r>
      <w:r w:rsidR="00640664">
        <w:rPr>
          <w:rFonts w:ascii="Times New Roman" w:eastAsia="Times New Roman" w:hAnsi="Times New Roman" w:cs="Times New Roman"/>
          <w:sz w:val="24"/>
          <w:szCs w:val="24"/>
        </w:rPr>
        <w:t xml:space="preserve"> </w:t>
      </w:r>
      <w:r w:rsidR="000B12B1" w:rsidRPr="006C45BF">
        <w:rPr>
          <w:rFonts w:ascii="Times New Roman" w:eastAsia="Times New Roman" w:hAnsi="Times New Roman" w:cs="Times New Roman"/>
          <w:sz w:val="24"/>
          <w:szCs w:val="24"/>
        </w:rPr>
        <w:t>Properties where the storm surge came a mile closer than expected</w:t>
      </w:r>
      <w:r w:rsidR="005873F3">
        <w:rPr>
          <w:rFonts w:ascii="Times New Roman" w:eastAsia="Times New Roman" w:hAnsi="Times New Roman" w:cs="Times New Roman"/>
          <w:sz w:val="24"/>
          <w:szCs w:val="24"/>
        </w:rPr>
        <w:t xml:space="preserve"> (i.e., from the FEMA flood zones) would have experienced</w:t>
      </w:r>
      <w:r w:rsidR="000B12B1" w:rsidRPr="006C45BF">
        <w:rPr>
          <w:rFonts w:ascii="Times New Roman" w:eastAsia="Times New Roman" w:hAnsi="Times New Roman" w:cs="Times New Roman"/>
          <w:sz w:val="24"/>
          <w:szCs w:val="24"/>
        </w:rPr>
        <w:t xml:space="preserve"> a </w:t>
      </w:r>
      <w:r w:rsidR="00DC60B5">
        <w:rPr>
          <w:rFonts w:ascii="Times New Roman" w:eastAsia="Times New Roman" w:hAnsi="Times New Roman" w:cs="Times New Roman"/>
          <w:sz w:val="24"/>
          <w:szCs w:val="24"/>
        </w:rPr>
        <w:t>8.7</w:t>
      </w:r>
      <w:r w:rsidR="000B12B1" w:rsidRPr="006C45BF">
        <w:rPr>
          <w:rFonts w:ascii="Times New Roman" w:eastAsia="Times New Roman" w:hAnsi="Times New Roman" w:cs="Times New Roman"/>
          <w:sz w:val="24"/>
          <w:szCs w:val="24"/>
        </w:rPr>
        <w:t xml:space="preserve">% reduction in </w:t>
      </w:r>
      <w:r w:rsidR="00D410C1" w:rsidRPr="006C45BF">
        <w:rPr>
          <w:rFonts w:ascii="Times New Roman" w:eastAsia="Times New Roman" w:hAnsi="Times New Roman" w:cs="Times New Roman"/>
          <w:sz w:val="24"/>
          <w:szCs w:val="24"/>
        </w:rPr>
        <w:t>sale prices per square foot</w:t>
      </w:r>
      <w:r w:rsidR="0079373B">
        <w:rPr>
          <w:rFonts w:ascii="Times New Roman" w:eastAsia="Times New Roman" w:hAnsi="Times New Roman" w:cs="Times New Roman"/>
          <w:sz w:val="24"/>
          <w:szCs w:val="24"/>
        </w:rPr>
        <w:t xml:space="preserve"> by moving a mile away from the storm surge</w:t>
      </w:r>
      <w:r w:rsidR="00DF0DA9" w:rsidRPr="006C45BF">
        <w:rPr>
          <w:rFonts w:ascii="Times New Roman" w:eastAsia="Times New Roman" w:hAnsi="Times New Roman" w:cs="Times New Roman"/>
          <w:sz w:val="24"/>
          <w:szCs w:val="24"/>
        </w:rPr>
        <w:t>, ceteris paribus</w:t>
      </w:r>
      <w:r w:rsidR="00D410C1" w:rsidRPr="006C45BF">
        <w:rPr>
          <w:rFonts w:ascii="Times New Roman" w:eastAsia="Times New Roman" w:hAnsi="Times New Roman" w:cs="Times New Roman"/>
          <w:sz w:val="24"/>
          <w:szCs w:val="24"/>
        </w:rPr>
        <w:t xml:space="preserve">. </w:t>
      </w:r>
    </w:p>
    <w:p w14:paraId="33E335F9" w14:textId="11526655" w:rsidR="00F46EA4" w:rsidRPr="00FC6147" w:rsidRDefault="00F46EA4" w:rsidP="00DC60B5">
      <w:pPr>
        <w:spacing w:after="0" w:line="480" w:lineRule="auto"/>
        <w:jc w:val="both"/>
        <w:rPr>
          <w:rFonts w:ascii="Times New Roman" w:eastAsia="Times New Roman" w:hAnsi="Times New Roman" w:cs="Times New Roman"/>
          <w:b/>
          <w:bCs/>
          <w:sz w:val="24"/>
          <w:szCs w:val="24"/>
        </w:rPr>
      </w:pPr>
      <w:r w:rsidRPr="00FC6147">
        <w:rPr>
          <w:rFonts w:ascii="Times New Roman" w:eastAsia="Times New Roman" w:hAnsi="Times New Roman" w:cs="Times New Roman"/>
          <w:b/>
          <w:bCs/>
          <w:sz w:val="24"/>
          <w:szCs w:val="24"/>
        </w:rPr>
        <w:t>4.2.1 Additional Tests</w:t>
      </w:r>
    </w:p>
    <w:p w14:paraId="355C4192" w14:textId="31A521B5" w:rsidR="006B5C3E" w:rsidRDefault="00D92507" w:rsidP="00FC6147">
      <w:pPr>
        <w:spacing w:line="480" w:lineRule="auto"/>
        <w:ind w:left="60"/>
        <w:jc w:val="both"/>
        <w:rPr>
          <w:rFonts w:ascii="Times New Roman" w:hAnsi="Times New Roman" w:cs="Times New Roman"/>
          <w:sz w:val="24"/>
          <w:szCs w:val="24"/>
        </w:rPr>
      </w:pPr>
      <w:r w:rsidRPr="006C45BF">
        <w:rPr>
          <w:rFonts w:ascii="Times New Roman" w:hAnsi="Times New Roman" w:cs="Times New Roman"/>
          <w:sz w:val="24"/>
          <w:szCs w:val="24"/>
        </w:rPr>
        <w:t>To confirm that the results are, in fact, picking up a true shock</w:t>
      </w:r>
      <w:r w:rsidR="005102B6" w:rsidRPr="006C45BF">
        <w:rPr>
          <w:rFonts w:ascii="Times New Roman" w:hAnsi="Times New Roman" w:cs="Times New Roman"/>
          <w:sz w:val="24"/>
          <w:szCs w:val="24"/>
        </w:rPr>
        <w:t>, w</w:t>
      </w:r>
      <w:r w:rsidRPr="006C45BF">
        <w:rPr>
          <w:rFonts w:ascii="Times New Roman" w:hAnsi="Times New Roman" w:cs="Times New Roman"/>
          <w:sz w:val="24"/>
          <w:szCs w:val="24"/>
        </w:rPr>
        <w:t xml:space="preserve">e performed </w:t>
      </w:r>
      <w:r w:rsidR="003D4537">
        <w:rPr>
          <w:rFonts w:ascii="Times New Roman" w:hAnsi="Times New Roman" w:cs="Times New Roman"/>
          <w:sz w:val="24"/>
          <w:szCs w:val="24"/>
        </w:rPr>
        <w:t>several</w:t>
      </w:r>
      <w:r w:rsidR="00F46EA4" w:rsidRPr="006C45BF">
        <w:rPr>
          <w:rFonts w:ascii="Times New Roman" w:hAnsi="Times New Roman" w:cs="Times New Roman"/>
          <w:sz w:val="24"/>
          <w:szCs w:val="24"/>
        </w:rPr>
        <w:t xml:space="preserve"> </w:t>
      </w:r>
      <w:r w:rsidRPr="006C45BF">
        <w:rPr>
          <w:rFonts w:ascii="Times New Roman" w:hAnsi="Times New Roman" w:cs="Times New Roman"/>
          <w:sz w:val="24"/>
          <w:szCs w:val="24"/>
        </w:rPr>
        <w:t>additional test</w:t>
      </w:r>
      <w:r w:rsidR="00F46EA4">
        <w:rPr>
          <w:rFonts w:ascii="Times New Roman" w:hAnsi="Times New Roman" w:cs="Times New Roman"/>
          <w:sz w:val="24"/>
          <w:szCs w:val="24"/>
        </w:rPr>
        <w:t>s</w:t>
      </w:r>
      <w:r w:rsidRPr="006C45BF">
        <w:rPr>
          <w:rFonts w:ascii="Times New Roman" w:hAnsi="Times New Roman" w:cs="Times New Roman"/>
          <w:sz w:val="24"/>
          <w:szCs w:val="24"/>
        </w:rPr>
        <w:t xml:space="preserve">. </w:t>
      </w:r>
      <w:r w:rsidR="00E72B79" w:rsidRPr="00FC6147">
        <w:rPr>
          <w:rFonts w:ascii="Times New Roman" w:hAnsi="Times New Roman" w:cs="Times New Roman"/>
          <w:b/>
          <w:bCs/>
          <w:sz w:val="24"/>
          <w:szCs w:val="24"/>
        </w:rPr>
        <w:t>Table 5</w:t>
      </w:r>
      <w:r w:rsidR="00E72B79" w:rsidRPr="006C45BF">
        <w:rPr>
          <w:rFonts w:ascii="Times New Roman" w:hAnsi="Times New Roman" w:cs="Times New Roman"/>
          <w:sz w:val="24"/>
          <w:szCs w:val="24"/>
        </w:rPr>
        <w:t xml:space="preserve"> presents the results of a regression but only for 2011—a period before the </w:t>
      </w:r>
      <w:r w:rsidR="00721C78" w:rsidRPr="006C45BF">
        <w:rPr>
          <w:rFonts w:ascii="Times New Roman" w:hAnsi="Times New Roman" w:cs="Times New Roman"/>
          <w:sz w:val="24"/>
          <w:szCs w:val="24"/>
        </w:rPr>
        <w:t>storm</w:t>
      </w:r>
      <w:r w:rsidR="00E72B79" w:rsidRPr="006C45BF">
        <w:rPr>
          <w:rFonts w:ascii="Times New Roman" w:hAnsi="Times New Roman" w:cs="Times New Roman"/>
          <w:sz w:val="24"/>
          <w:szCs w:val="24"/>
        </w:rPr>
        <w:t>. If Sandy w</w:t>
      </w:r>
      <w:r w:rsidR="00A330A2" w:rsidRPr="006C45BF">
        <w:rPr>
          <w:rFonts w:ascii="Times New Roman" w:hAnsi="Times New Roman" w:cs="Times New Roman"/>
          <w:sz w:val="24"/>
          <w:szCs w:val="24"/>
        </w:rPr>
        <w:t>ere</w:t>
      </w:r>
      <w:r w:rsidR="00E72B79" w:rsidRPr="006C45BF">
        <w:rPr>
          <w:rFonts w:ascii="Times New Roman" w:hAnsi="Times New Roman" w:cs="Times New Roman"/>
          <w:sz w:val="24"/>
          <w:szCs w:val="24"/>
        </w:rPr>
        <w:t xml:space="preserve"> a true shock</w:t>
      </w:r>
      <w:r w:rsidR="00721C78" w:rsidRPr="006C45BF">
        <w:rPr>
          <w:rFonts w:ascii="Times New Roman" w:hAnsi="Times New Roman" w:cs="Times New Roman"/>
          <w:sz w:val="24"/>
          <w:szCs w:val="24"/>
        </w:rPr>
        <w:t>,</w:t>
      </w:r>
      <w:r w:rsidR="00E72B79" w:rsidRPr="006C45BF">
        <w:rPr>
          <w:rFonts w:ascii="Times New Roman" w:hAnsi="Times New Roman" w:cs="Times New Roman"/>
          <w:sz w:val="24"/>
          <w:szCs w:val="24"/>
        </w:rPr>
        <w:t xml:space="preserve"> we would expect that </w:t>
      </w:r>
      <w:r w:rsidR="002D6A33">
        <w:rPr>
          <w:rFonts w:ascii="Times New Roman" w:hAnsi="Times New Roman" w:cs="Times New Roman"/>
          <w:sz w:val="24"/>
          <w:szCs w:val="24"/>
        </w:rPr>
        <w:t>the distance to Sandy variable</w:t>
      </w:r>
      <w:r w:rsidR="00E72B79" w:rsidRPr="006C45BF">
        <w:rPr>
          <w:rFonts w:ascii="Times New Roman" w:hAnsi="Times New Roman" w:cs="Times New Roman"/>
          <w:sz w:val="24"/>
          <w:szCs w:val="24"/>
        </w:rPr>
        <w:t xml:space="preserve"> to be statistically insignificant prior to the storm. </w:t>
      </w:r>
      <w:r w:rsidR="00E72B79" w:rsidRPr="00F646A2">
        <w:rPr>
          <w:rFonts w:ascii="Times New Roman" w:hAnsi="Times New Roman" w:cs="Times New Roman"/>
          <w:b/>
          <w:bCs/>
          <w:sz w:val="24"/>
          <w:szCs w:val="24"/>
        </w:rPr>
        <w:t>Table 5</w:t>
      </w:r>
      <w:r w:rsidR="00E72B79" w:rsidRPr="006C45BF">
        <w:rPr>
          <w:rFonts w:ascii="Times New Roman" w:hAnsi="Times New Roman" w:cs="Times New Roman"/>
          <w:sz w:val="24"/>
          <w:szCs w:val="24"/>
        </w:rPr>
        <w:t xml:space="preserve"> recreates the regressions for </w:t>
      </w:r>
      <w:r w:rsidR="00E72B79" w:rsidRPr="00F646A2">
        <w:rPr>
          <w:rFonts w:ascii="Times New Roman" w:hAnsi="Times New Roman" w:cs="Times New Roman"/>
          <w:b/>
          <w:bCs/>
          <w:sz w:val="24"/>
          <w:szCs w:val="24"/>
        </w:rPr>
        <w:t xml:space="preserve">Table 2 </w:t>
      </w:r>
      <w:r w:rsidR="00E72B79" w:rsidRPr="006C45BF">
        <w:rPr>
          <w:rFonts w:ascii="Times New Roman" w:hAnsi="Times New Roman" w:cs="Times New Roman"/>
          <w:sz w:val="24"/>
          <w:szCs w:val="24"/>
        </w:rPr>
        <w:t>but only for the year 2011. In short, across specifications, the coefficient estimate for Sandy is statistically insignificant, thus providing evidence that storm was a true shock.</w:t>
      </w:r>
    </w:p>
    <w:p w14:paraId="0316F005" w14:textId="77777777" w:rsidR="00FC6147" w:rsidRPr="006C45BF" w:rsidRDefault="00FC6147" w:rsidP="00FC6147">
      <w:pPr>
        <w:spacing w:line="480" w:lineRule="auto"/>
        <w:ind w:left="60"/>
        <w:jc w:val="center"/>
        <w:rPr>
          <w:rFonts w:ascii="Times New Roman" w:hAnsi="Times New Roman" w:cs="Times New Roman"/>
          <w:b/>
          <w:bCs/>
          <w:sz w:val="24"/>
          <w:szCs w:val="24"/>
        </w:rPr>
      </w:pPr>
      <w:r w:rsidRPr="006C45BF">
        <w:rPr>
          <w:rFonts w:ascii="Times New Roman" w:hAnsi="Times New Roman" w:cs="Times New Roman"/>
          <w:b/>
          <w:bCs/>
          <w:sz w:val="24"/>
          <w:szCs w:val="24"/>
        </w:rPr>
        <w:t xml:space="preserve">{Table 5 </w:t>
      </w:r>
      <w:r>
        <w:rPr>
          <w:rFonts w:ascii="Times New Roman" w:hAnsi="Times New Roman" w:cs="Times New Roman"/>
          <w:b/>
          <w:bCs/>
          <w:sz w:val="24"/>
          <w:szCs w:val="24"/>
        </w:rPr>
        <w:t xml:space="preserve">about here: regression for </w:t>
      </w:r>
      <w:r w:rsidRPr="006C45BF">
        <w:rPr>
          <w:rFonts w:ascii="Times New Roman" w:hAnsi="Times New Roman" w:cs="Times New Roman"/>
          <w:b/>
          <w:bCs/>
          <w:sz w:val="24"/>
          <w:szCs w:val="24"/>
        </w:rPr>
        <w:t>2011 only}</w:t>
      </w:r>
    </w:p>
    <w:p w14:paraId="77B4A9AB" w14:textId="5E702116" w:rsidR="00E00793" w:rsidRPr="00B83416" w:rsidRDefault="00E00793" w:rsidP="00FC61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also conduct another test, this time by assuming a </w:t>
      </w:r>
      <w:r w:rsidR="00885F9A">
        <w:rPr>
          <w:rFonts w:ascii="Times New Roman" w:hAnsi="Times New Roman" w:cs="Times New Roman"/>
          <w:sz w:val="24"/>
          <w:szCs w:val="24"/>
        </w:rPr>
        <w:t>“fake” storm date that was before the actual storm. In this exercise, we create a</w:t>
      </w:r>
      <w:r w:rsidRPr="00B83416">
        <w:rPr>
          <w:rFonts w:ascii="Times New Roman" w:hAnsi="Times New Roman" w:cs="Times New Roman"/>
          <w:sz w:val="24"/>
          <w:szCs w:val="24"/>
        </w:rPr>
        <w:t xml:space="preserve"> fake “post storm” dummy</w:t>
      </w:r>
      <w:r w:rsidR="00885F9A">
        <w:rPr>
          <w:rFonts w:ascii="Times New Roman" w:hAnsi="Times New Roman" w:cs="Times New Roman"/>
          <w:sz w:val="24"/>
          <w:szCs w:val="24"/>
        </w:rPr>
        <w:t xml:space="preserve"> for</w:t>
      </w:r>
      <w:r w:rsidRPr="00B83416">
        <w:rPr>
          <w:rFonts w:ascii="Times New Roman" w:hAnsi="Times New Roman" w:cs="Times New Roman"/>
          <w:sz w:val="24"/>
          <w:szCs w:val="24"/>
        </w:rPr>
        <w:t xml:space="preserve"> Oct</w:t>
      </w:r>
      <w:r w:rsidR="00885F9A">
        <w:rPr>
          <w:rFonts w:ascii="Times New Roman" w:hAnsi="Times New Roman" w:cs="Times New Roman"/>
          <w:sz w:val="24"/>
          <w:szCs w:val="24"/>
        </w:rPr>
        <w:t>ober</w:t>
      </w:r>
      <w:r w:rsidRPr="00B83416">
        <w:rPr>
          <w:rFonts w:ascii="Times New Roman" w:hAnsi="Times New Roman" w:cs="Times New Roman"/>
          <w:sz w:val="24"/>
          <w:szCs w:val="24"/>
        </w:rPr>
        <w:t xml:space="preserve"> 29, 2011 </w:t>
      </w:r>
      <w:r w:rsidR="00885F9A">
        <w:rPr>
          <w:rFonts w:ascii="Times New Roman" w:hAnsi="Times New Roman" w:cs="Times New Roman"/>
          <w:sz w:val="24"/>
          <w:szCs w:val="24"/>
        </w:rPr>
        <w:t>(</w:t>
      </w:r>
      <w:r w:rsidRPr="00B83416">
        <w:rPr>
          <w:rFonts w:ascii="Times New Roman" w:hAnsi="Times New Roman" w:cs="Times New Roman"/>
          <w:sz w:val="24"/>
          <w:szCs w:val="24"/>
        </w:rPr>
        <w:t>one year before the actual storm</w:t>
      </w:r>
      <w:r w:rsidR="00885F9A">
        <w:rPr>
          <w:rFonts w:ascii="Times New Roman" w:hAnsi="Times New Roman" w:cs="Times New Roman"/>
          <w:sz w:val="24"/>
          <w:szCs w:val="24"/>
        </w:rPr>
        <w:t>)</w:t>
      </w:r>
      <w:r w:rsidRPr="00B83416">
        <w:rPr>
          <w:rFonts w:ascii="Times New Roman" w:hAnsi="Times New Roman" w:cs="Times New Roman"/>
          <w:sz w:val="24"/>
          <w:szCs w:val="24"/>
        </w:rPr>
        <w:t xml:space="preserve">. </w:t>
      </w:r>
      <w:r w:rsidR="00885F9A">
        <w:rPr>
          <w:rFonts w:ascii="Times New Roman" w:hAnsi="Times New Roman" w:cs="Times New Roman"/>
          <w:sz w:val="24"/>
          <w:szCs w:val="24"/>
        </w:rPr>
        <w:t>The data s</w:t>
      </w:r>
      <w:r w:rsidRPr="00B83416">
        <w:rPr>
          <w:rFonts w:ascii="Times New Roman" w:hAnsi="Times New Roman" w:cs="Times New Roman"/>
          <w:sz w:val="24"/>
          <w:szCs w:val="24"/>
        </w:rPr>
        <w:t>ample</w:t>
      </w:r>
      <w:r w:rsidR="00885F9A">
        <w:rPr>
          <w:rFonts w:ascii="Times New Roman" w:hAnsi="Times New Roman" w:cs="Times New Roman"/>
          <w:sz w:val="24"/>
          <w:szCs w:val="24"/>
        </w:rPr>
        <w:t xml:space="preserve"> for this exercise</w:t>
      </w:r>
      <w:r w:rsidRPr="00B83416">
        <w:rPr>
          <w:rFonts w:ascii="Times New Roman" w:hAnsi="Times New Roman" w:cs="Times New Roman"/>
          <w:sz w:val="24"/>
          <w:szCs w:val="24"/>
        </w:rPr>
        <w:t xml:space="preserve"> is from January 1, 2011 to Oct. 28, 2012. </w:t>
      </w:r>
      <w:r w:rsidR="00670854">
        <w:rPr>
          <w:rFonts w:ascii="Times New Roman" w:hAnsi="Times New Roman" w:cs="Times New Roman"/>
          <w:sz w:val="24"/>
          <w:szCs w:val="24"/>
        </w:rPr>
        <w:t xml:space="preserve">The results are presented in </w:t>
      </w:r>
      <w:r w:rsidR="00670854" w:rsidRPr="00FC6147">
        <w:rPr>
          <w:rFonts w:ascii="Times New Roman" w:hAnsi="Times New Roman" w:cs="Times New Roman"/>
          <w:b/>
          <w:bCs/>
          <w:sz w:val="24"/>
          <w:szCs w:val="24"/>
        </w:rPr>
        <w:t>Table 6</w:t>
      </w:r>
      <w:r w:rsidR="00670854">
        <w:rPr>
          <w:rFonts w:ascii="Times New Roman" w:hAnsi="Times New Roman" w:cs="Times New Roman"/>
          <w:sz w:val="24"/>
          <w:szCs w:val="24"/>
        </w:rPr>
        <w:t xml:space="preserve">. </w:t>
      </w:r>
      <w:r w:rsidR="00885F9A">
        <w:rPr>
          <w:rFonts w:ascii="Times New Roman" w:hAnsi="Times New Roman" w:cs="Times New Roman"/>
          <w:sz w:val="24"/>
          <w:szCs w:val="24"/>
        </w:rPr>
        <w:t>We find that t</w:t>
      </w:r>
      <w:r w:rsidRPr="00B83416">
        <w:rPr>
          <w:rFonts w:ascii="Times New Roman" w:hAnsi="Times New Roman" w:cs="Times New Roman"/>
          <w:sz w:val="24"/>
          <w:szCs w:val="24"/>
        </w:rPr>
        <w:t>he “fake” treatment effect is statistically insignificant</w:t>
      </w:r>
      <w:r w:rsidR="00F73D86">
        <w:rPr>
          <w:rFonts w:ascii="Times New Roman" w:hAnsi="Times New Roman" w:cs="Times New Roman"/>
          <w:sz w:val="24"/>
          <w:szCs w:val="24"/>
        </w:rPr>
        <w:t xml:space="preserve"> across all 3 specifications</w:t>
      </w:r>
      <w:r w:rsidRPr="00B83416">
        <w:rPr>
          <w:rFonts w:ascii="Times New Roman" w:hAnsi="Times New Roman" w:cs="Times New Roman"/>
          <w:sz w:val="24"/>
          <w:szCs w:val="24"/>
        </w:rPr>
        <w:t>.</w:t>
      </w:r>
    </w:p>
    <w:p w14:paraId="18C39112" w14:textId="63935271" w:rsidR="00FC6147" w:rsidRDefault="00FC6147" w:rsidP="00F646A2">
      <w:pPr>
        <w:spacing w:line="480" w:lineRule="auto"/>
        <w:ind w:left="60" w:firstLine="660"/>
        <w:jc w:val="center"/>
        <w:rPr>
          <w:rFonts w:ascii="Times New Roman" w:hAnsi="Times New Roman" w:cs="Times New Roman"/>
          <w:b/>
          <w:bCs/>
          <w:sz w:val="24"/>
          <w:szCs w:val="24"/>
        </w:rPr>
      </w:pPr>
      <w:r w:rsidRPr="00FC6147">
        <w:rPr>
          <w:rFonts w:ascii="Times New Roman" w:hAnsi="Times New Roman" w:cs="Times New Roman"/>
          <w:b/>
          <w:bCs/>
          <w:sz w:val="24"/>
          <w:szCs w:val="24"/>
        </w:rPr>
        <w:t>{Table 6 about here: “fake Sandy</w:t>
      </w:r>
      <w:r w:rsidR="002E6ABF">
        <w:rPr>
          <w:rFonts w:ascii="Times New Roman" w:hAnsi="Times New Roman" w:cs="Times New Roman"/>
          <w:b/>
          <w:bCs/>
          <w:sz w:val="24"/>
          <w:szCs w:val="24"/>
        </w:rPr>
        <w:t>”</w:t>
      </w:r>
      <w:r w:rsidRPr="00FC6147">
        <w:rPr>
          <w:rFonts w:ascii="Times New Roman" w:hAnsi="Times New Roman" w:cs="Times New Roman"/>
          <w:b/>
          <w:bCs/>
          <w:sz w:val="24"/>
          <w:szCs w:val="24"/>
        </w:rPr>
        <w:t xml:space="preserve"> diff-n-d</w:t>
      </w:r>
      <w:r w:rsidR="002E6ABF">
        <w:rPr>
          <w:rFonts w:ascii="Times New Roman" w:hAnsi="Times New Roman" w:cs="Times New Roman"/>
          <w:b/>
          <w:bCs/>
          <w:sz w:val="24"/>
          <w:szCs w:val="24"/>
        </w:rPr>
        <w:t>i</w:t>
      </w:r>
      <w:r w:rsidRPr="00FC6147">
        <w:rPr>
          <w:rFonts w:ascii="Times New Roman" w:hAnsi="Times New Roman" w:cs="Times New Roman"/>
          <w:b/>
          <w:bCs/>
          <w:sz w:val="24"/>
          <w:szCs w:val="24"/>
        </w:rPr>
        <w:t>ff}</w:t>
      </w:r>
    </w:p>
    <w:p w14:paraId="1710470D" w14:textId="3A4F5E8A" w:rsidR="00640664" w:rsidRPr="006C45BF" w:rsidRDefault="00F73D86" w:rsidP="00FC6147">
      <w:pPr>
        <w:spacing w:line="480" w:lineRule="auto"/>
        <w:ind w:left="60" w:firstLine="660"/>
        <w:jc w:val="both"/>
        <w:rPr>
          <w:rFonts w:ascii="Times New Roman" w:hAnsi="Times New Roman" w:cs="Times New Roman"/>
          <w:sz w:val="24"/>
          <w:szCs w:val="24"/>
        </w:rPr>
      </w:pPr>
      <w:r>
        <w:rPr>
          <w:rFonts w:ascii="Times New Roman" w:hAnsi="Times New Roman" w:cs="Times New Roman"/>
          <w:sz w:val="24"/>
          <w:szCs w:val="24"/>
        </w:rPr>
        <w:t xml:space="preserve">We also present some graphical evidence of </w:t>
      </w:r>
      <w:r w:rsidR="009117A7">
        <w:rPr>
          <w:rFonts w:ascii="Times New Roman" w:hAnsi="Times New Roman" w:cs="Times New Roman"/>
          <w:sz w:val="24"/>
          <w:szCs w:val="24"/>
        </w:rPr>
        <w:t xml:space="preserve">the benefits from being located away from the storm. </w:t>
      </w:r>
      <w:r w:rsidR="00640664" w:rsidRPr="00FC6147">
        <w:rPr>
          <w:rFonts w:ascii="Times New Roman" w:hAnsi="Times New Roman" w:cs="Times New Roman"/>
          <w:b/>
          <w:bCs/>
          <w:sz w:val="24"/>
          <w:szCs w:val="24"/>
        </w:rPr>
        <w:t>Figure 2</w:t>
      </w:r>
      <w:r w:rsidR="00640664" w:rsidRPr="006C45BF">
        <w:rPr>
          <w:rFonts w:ascii="Times New Roman" w:hAnsi="Times New Roman" w:cs="Times New Roman"/>
          <w:sz w:val="24"/>
          <w:szCs w:val="24"/>
        </w:rPr>
        <w:t xml:space="preserve"> shows regression results quarter-by-quarter (using the same specification as </w:t>
      </w:r>
      <w:r w:rsidR="00640664" w:rsidRPr="00F646A2">
        <w:rPr>
          <w:rFonts w:ascii="Times New Roman" w:hAnsi="Times New Roman" w:cs="Times New Roman"/>
          <w:b/>
          <w:bCs/>
          <w:sz w:val="24"/>
          <w:szCs w:val="24"/>
        </w:rPr>
        <w:t>Table 2</w:t>
      </w:r>
      <w:r w:rsidR="00640664" w:rsidRPr="006C45BF">
        <w:rPr>
          <w:rFonts w:ascii="Times New Roman" w:hAnsi="Times New Roman" w:cs="Times New Roman"/>
          <w:sz w:val="24"/>
          <w:szCs w:val="24"/>
        </w:rPr>
        <w:t xml:space="preserve">, Column (3); results available upon request). In 2012Q3, before the storm, the estimate is negative. </w:t>
      </w:r>
    </w:p>
    <w:p w14:paraId="66828DD2" w14:textId="77777777" w:rsidR="00640664" w:rsidRPr="006C45BF" w:rsidRDefault="00640664" w:rsidP="00640664">
      <w:pPr>
        <w:spacing w:line="480" w:lineRule="auto"/>
        <w:ind w:left="60"/>
        <w:jc w:val="center"/>
        <w:rPr>
          <w:rFonts w:ascii="Times New Roman" w:hAnsi="Times New Roman" w:cs="Times New Roman"/>
          <w:b/>
          <w:bCs/>
          <w:sz w:val="24"/>
          <w:szCs w:val="24"/>
        </w:rPr>
      </w:pPr>
      <w:r w:rsidRPr="006C45BF">
        <w:rPr>
          <w:rFonts w:ascii="Times New Roman" w:hAnsi="Times New Roman" w:cs="Times New Roman"/>
          <w:b/>
          <w:bCs/>
          <w:sz w:val="24"/>
          <w:szCs w:val="24"/>
        </w:rPr>
        <w:t>{Figure 2 about here</w:t>
      </w:r>
      <w:r>
        <w:rPr>
          <w:rFonts w:ascii="Times New Roman" w:hAnsi="Times New Roman" w:cs="Times New Roman"/>
          <w:b/>
          <w:bCs/>
          <w:sz w:val="24"/>
          <w:szCs w:val="24"/>
        </w:rPr>
        <w:t xml:space="preserve">: </w:t>
      </w:r>
      <w:r w:rsidRPr="006C45BF">
        <w:rPr>
          <w:rFonts w:ascii="Times New Roman" w:hAnsi="Times New Roman" w:cs="Times New Roman"/>
          <w:b/>
          <w:bCs/>
          <w:sz w:val="24"/>
          <w:szCs w:val="24"/>
        </w:rPr>
        <w:t xml:space="preserve">quarterly </w:t>
      </w:r>
      <w:proofErr w:type="spellStart"/>
      <w:r w:rsidRPr="006C45BF">
        <w:rPr>
          <w:rFonts w:ascii="Times New Roman" w:hAnsi="Times New Roman" w:cs="Times New Roman"/>
          <w:b/>
          <w:bCs/>
          <w:sz w:val="24"/>
          <w:szCs w:val="24"/>
        </w:rPr>
        <w:t>coeffs</w:t>
      </w:r>
      <w:proofErr w:type="spellEnd"/>
      <w:r>
        <w:rPr>
          <w:rFonts w:ascii="Times New Roman" w:hAnsi="Times New Roman" w:cs="Times New Roman"/>
          <w:b/>
          <w:bCs/>
          <w:sz w:val="24"/>
          <w:szCs w:val="24"/>
        </w:rPr>
        <w:t>.</w:t>
      </w:r>
      <w:r w:rsidRPr="006C45BF">
        <w:rPr>
          <w:rFonts w:ascii="Times New Roman" w:hAnsi="Times New Roman" w:cs="Times New Roman"/>
          <w:b/>
          <w:bCs/>
          <w:sz w:val="24"/>
          <w:szCs w:val="24"/>
        </w:rPr>
        <w:t>}</w:t>
      </w:r>
    </w:p>
    <w:p w14:paraId="398791CC" w14:textId="0EB22442" w:rsidR="00640664" w:rsidRPr="006C45BF" w:rsidRDefault="00640664" w:rsidP="00640664">
      <w:pPr>
        <w:spacing w:line="480" w:lineRule="auto"/>
        <w:ind w:left="60"/>
        <w:jc w:val="both"/>
        <w:rPr>
          <w:rFonts w:ascii="Times New Roman" w:hAnsi="Times New Roman" w:cs="Times New Roman"/>
          <w:sz w:val="24"/>
          <w:szCs w:val="24"/>
        </w:rPr>
      </w:pPr>
      <w:r w:rsidRPr="006C45BF">
        <w:rPr>
          <w:rFonts w:ascii="Times New Roman" w:hAnsi="Times New Roman" w:cs="Times New Roman"/>
          <w:sz w:val="24"/>
          <w:szCs w:val="24"/>
        </w:rPr>
        <w:t>Then we see a large jump in 2012Q4 when the storm took place. After that the coefficients remain positive for the rest of the year. We provide the 95% confidence interval bands as well</w:t>
      </w:r>
      <w:r>
        <w:rPr>
          <w:rFonts w:ascii="Times New Roman" w:hAnsi="Times New Roman" w:cs="Times New Roman"/>
          <w:sz w:val="24"/>
          <w:szCs w:val="24"/>
        </w:rPr>
        <w:t xml:space="preserve">. The bands tend to </w:t>
      </w:r>
      <w:r w:rsidR="0012644E">
        <w:rPr>
          <w:rFonts w:ascii="Times New Roman" w:hAnsi="Times New Roman" w:cs="Times New Roman"/>
          <w:sz w:val="24"/>
          <w:szCs w:val="24"/>
        </w:rPr>
        <w:t xml:space="preserve">be </w:t>
      </w:r>
      <w:r>
        <w:rPr>
          <w:rFonts w:ascii="Times New Roman" w:hAnsi="Times New Roman" w:cs="Times New Roman"/>
          <w:sz w:val="24"/>
          <w:szCs w:val="24"/>
        </w:rPr>
        <w:t>quite wide, likely due</w:t>
      </w:r>
      <w:r w:rsidR="0012644E">
        <w:rPr>
          <w:rFonts w:ascii="Times New Roman" w:hAnsi="Times New Roman" w:cs="Times New Roman"/>
          <w:sz w:val="24"/>
          <w:szCs w:val="24"/>
        </w:rPr>
        <w:t>, in part,</w:t>
      </w:r>
      <w:r>
        <w:rPr>
          <w:rFonts w:ascii="Times New Roman" w:hAnsi="Times New Roman" w:cs="Times New Roman"/>
          <w:sz w:val="24"/>
          <w:szCs w:val="24"/>
        </w:rPr>
        <w:t xml:space="preserve"> to the large number of census tract fixed effects we include in each regression. But overall, the graph provides evidence of a positive benefit from being further from the storm after the storm.</w:t>
      </w:r>
      <w:r w:rsidRPr="006C45BF">
        <w:rPr>
          <w:rFonts w:ascii="Times New Roman" w:hAnsi="Times New Roman" w:cs="Times New Roman"/>
          <w:sz w:val="24"/>
          <w:szCs w:val="24"/>
        </w:rPr>
        <w:t xml:space="preserve"> </w:t>
      </w:r>
    </w:p>
    <w:p w14:paraId="5A3165F7" w14:textId="77777777" w:rsidR="00A77485" w:rsidRPr="006C45BF" w:rsidRDefault="00A77485" w:rsidP="00A77485">
      <w:pPr>
        <w:pStyle w:val="NoSpacing"/>
      </w:pPr>
    </w:p>
    <w:p w14:paraId="2C9E3091" w14:textId="7D4C8658" w:rsidR="006648F5" w:rsidRPr="006C45BF" w:rsidRDefault="00CE41CD" w:rsidP="006C45BF">
      <w:pPr>
        <w:pStyle w:val="NoSpacing"/>
        <w:numPr>
          <w:ilvl w:val="0"/>
          <w:numId w:val="12"/>
        </w:numPr>
        <w:spacing w:line="480" w:lineRule="auto"/>
        <w:jc w:val="both"/>
        <w:rPr>
          <w:rFonts w:ascii="Times New Roman" w:hAnsi="Times New Roman" w:cs="Times New Roman"/>
          <w:b/>
          <w:sz w:val="24"/>
          <w:szCs w:val="24"/>
        </w:rPr>
      </w:pPr>
      <w:r w:rsidRPr="006C45BF">
        <w:rPr>
          <w:rFonts w:ascii="Times New Roman" w:hAnsi="Times New Roman" w:cs="Times New Roman"/>
          <w:b/>
          <w:sz w:val="24"/>
          <w:szCs w:val="24"/>
        </w:rPr>
        <w:t>Conclusion</w:t>
      </w:r>
    </w:p>
    <w:p w14:paraId="2C6BFBB7" w14:textId="270AF625" w:rsidR="00AD257E" w:rsidRPr="006C45BF" w:rsidRDefault="00A97B10" w:rsidP="006C45BF">
      <w:pPr>
        <w:pStyle w:val="NoSpacing"/>
        <w:spacing w:line="480" w:lineRule="auto"/>
        <w:jc w:val="both"/>
        <w:rPr>
          <w:rFonts w:ascii="Times New Roman" w:hAnsi="Times New Roman" w:cs="Times New Roman"/>
          <w:sz w:val="24"/>
          <w:szCs w:val="24"/>
        </w:rPr>
      </w:pPr>
      <w:r w:rsidRPr="006C45BF">
        <w:rPr>
          <w:rFonts w:ascii="Times New Roman" w:hAnsi="Times New Roman" w:cs="Times New Roman"/>
          <w:sz w:val="24"/>
          <w:szCs w:val="24"/>
        </w:rPr>
        <w:t>This paper</w:t>
      </w:r>
      <w:r w:rsidR="002C1433" w:rsidRPr="006C45BF">
        <w:rPr>
          <w:rFonts w:ascii="Times New Roman" w:hAnsi="Times New Roman" w:cs="Times New Roman"/>
          <w:sz w:val="24"/>
          <w:szCs w:val="24"/>
        </w:rPr>
        <w:t xml:space="preserve"> </w:t>
      </w:r>
      <w:r w:rsidR="00DC4C7B" w:rsidRPr="006C45BF">
        <w:rPr>
          <w:rFonts w:ascii="Times New Roman" w:hAnsi="Times New Roman" w:cs="Times New Roman"/>
          <w:sz w:val="24"/>
          <w:szCs w:val="24"/>
        </w:rPr>
        <w:t>estimates the</w:t>
      </w:r>
      <w:r w:rsidRPr="006C45BF">
        <w:rPr>
          <w:rFonts w:ascii="Times New Roman" w:hAnsi="Times New Roman" w:cs="Times New Roman"/>
          <w:sz w:val="24"/>
          <w:szCs w:val="24"/>
        </w:rPr>
        <w:t xml:space="preserve"> effects that </w:t>
      </w:r>
      <w:r w:rsidR="00C93394" w:rsidRPr="006C45BF">
        <w:rPr>
          <w:rFonts w:ascii="Times New Roman" w:hAnsi="Times New Roman" w:cs="Times New Roman"/>
          <w:sz w:val="24"/>
          <w:szCs w:val="24"/>
        </w:rPr>
        <w:t xml:space="preserve">a </w:t>
      </w:r>
      <w:r w:rsidR="002C1433" w:rsidRPr="006C45BF">
        <w:rPr>
          <w:rFonts w:ascii="Times New Roman" w:hAnsi="Times New Roman" w:cs="Times New Roman"/>
          <w:sz w:val="24"/>
          <w:szCs w:val="24"/>
        </w:rPr>
        <w:t xml:space="preserve">major </w:t>
      </w:r>
      <w:r w:rsidR="00C93394" w:rsidRPr="006C45BF">
        <w:rPr>
          <w:rFonts w:ascii="Times New Roman" w:hAnsi="Times New Roman" w:cs="Times New Roman"/>
          <w:sz w:val="24"/>
          <w:szCs w:val="24"/>
        </w:rPr>
        <w:t>h</w:t>
      </w:r>
      <w:r w:rsidRPr="006C45BF">
        <w:rPr>
          <w:rFonts w:ascii="Times New Roman" w:hAnsi="Times New Roman" w:cs="Times New Roman"/>
          <w:sz w:val="24"/>
          <w:szCs w:val="24"/>
        </w:rPr>
        <w:t xml:space="preserve">urricane </w:t>
      </w:r>
      <w:r w:rsidR="00C93394" w:rsidRPr="006C45BF">
        <w:rPr>
          <w:rFonts w:ascii="Times New Roman" w:hAnsi="Times New Roman" w:cs="Times New Roman"/>
          <w:sz w:val="24"/>
          <w:szCs w:val="24"/>
        </w:rPr>
        <w:t xml:space="preserve">has </w:t>
      </w:r>
      <w:r w:rsidRPr="006C45BF">
        <w:rPr>
          <w:rFonts w:ascii="Times New Roman" w:hAnsi="Times New Roman" w:cs="Times New Roman"/>
          <w:sz w:val="24"/>
          <w:szCs w:val="24"/>
        </w:rPr>
        <w:t xml:space="preserve">on properties that </w:t>
      </w:r>
      <w:r w:rsidR="002C1433" w:rsidRPr="006C45BF">
        <w:rPr>
          <w:rFonts w:ascii="Times New Roman" w:hAnsi="Times New Roman" w:cs="Times New Roman"/>
          <w:sz w:val="24"/>
          <w:szCs w:val="24"/>
        </w:rPr>
        <w:t>a</w:t>
      </w:r>
      <w:r w:rsidRPr="006C45BF">
        <w:rPr>
          <w:rFonts w:ascii="Times New Roman" w:hAnsi="Times New Roman" w:cs="Times New Roman"/>
          <w:sz w:val="24"/>
          <w:szCs w:val="24"/>
        </w:rPr>
        <w:t xml:space="preserve">re not flooded by the storm. </w:t>
      </w:r>
      <w:r w:rsidR="00D70767" w:rsidRPr="006C45BF">
        <w:rPr>
          <w:rFonts w:ascii="Times New Roman" w:hAnsi="Times New Roman" w:cs="Times New Roman"/>
          <w:sz w:val="24"/>
          <w:szCs w:val="24"/>
        </w:rPr>
        <w:t>Specifically,</w:t>
      </w:r>
      <w:r w:rsidRPr="006C45BF">
        <w:rPr>
          <w:rFonts w:ascii="Times New Roman" w:hAnsi="Times New Roman" w:cs="Times New Roman"/>
          <w:sz w:val="24"/>
          <w:szCs w:val="24"/>
        </w:rPr>
        <w:t xml:space="preserve"> </w:t>
      </w:r>
      <w:r w:rsidR="00C93394" w:rsidRPr="006C45BF">
        <w:rPr>
          <w:rFonts w:ascii="Times New Roman" w:hAnsi="Times New Roman" w:cs="Times New Roman"/>
          <w:sz w:val="24"/>
          <w:szCs w:val="24"/>
        </w:rPr>
        <w:t xml:space="preserve">our </w:t>
      </w:r>
      <w:r w:rsidR="00DE3F41">
        <w:rPr>
          <w:rFonts w:ascii="Times New Roman" w:hAnsi="Times New Roman" w:cs="Times New Roman"/>
          <w:sz w:val="24"/>
          <w:szCs w:val="24"/>
        </w:rPr>
        <w:t xml:space="preserve">difference-in-differences </w:t>
      </w:r>
      <w:r w:rsidR="00C93394" w:rsidRPr="006C45BF">
        <w:rPr>
          <w:rFonts w:ascii="Times New Roman" w:hAnsi="Times New Roman" w:cs="Times New Roman"/>
          <w:sz w:val="24"/>
          <w:szCs w:val="24"/>
        </w:rPr>
        <w:t>approach</w:t>
      </w:r>
      <w:r w:rsidRPr="006C45BF">
        <w:rPr>
          <w:rFonts w:ascii="Times New Roman" w:hAnsi="Times New Roman" w:cs="Times New Roman"/>
          <w:sz w:val="24"/>
          <w:szCs w:val="24"/>
        </w:rPr>
        <w:t xml:space="preserve"> </w:t>
      </w:r>
      <w:r w:rsidR="00C93394" w:rsidRPr="006C45BF">
        <w:rPr>
          <w:rFonts w:ascii="Times New Roman" w:hAnsi="Times New Roman" w:cs="Times New Roman"/>
          <w:sz w:val="24"/>
          <w:szCs w:val="24"/>
        </w:rPr>
        <w:t xml:space="preserve">examines </w:t>
      </w:r>
      <w:r w:rsidRPr="006C45BF">
        <w:rPr>
          <w:rFonts w:ascii="Times New Roman" w:hAnsi="Times New Roman" w:cs="Times New Roman"/>
          <w:sz w:val="24"/>
          <w:szCs w:val="24"/>
        </w:rPr>
        <w:t>how pri</w:t>
      </w:r>
      <w:r w:rsidR="00D70767" w:rsidRPr="006C45BF">
        <w:rPr>
          <w:rFonts w:ascii="Times New Roman" w:hAnsi="Times New Roman" w:cs="Times New Roman"/>
          <w:sz w:val="24"/>
          <w:szCs w:val="24"/>
        </w:rPr>
        <w:t>ces</w:t>
      </w:r>
      <w:r w:rsidR="00C13097">
        <w:rPr>
          <w:rFonts w:ascii="Times New Roman" w:hAnsi="Times New Roman" w:cs="Times New Roman"/>
          <w:sz w:val="24"/>
          <w:szCs w:val="24"/>
        </w:rPr>
        <w:t xml:space="preserve"> of</w:t>
      </w:r>
      <w:r w:rsidRPr="006C45BF">
        <w:rPr>
          <w:rFonts w:ascii="Times New Roman" w:hAnsi="Times New Roman" w:cs="Times New Roman"/>
          <w:sz w:val="24"/>
          <w:szCs w:val="24"/>
        </w:rPr>
        <w:t xml:space="preserve"> </w:t>
      </w:r>
      <w:r w:rsidR="00DC60B5">
        <w:rPr>
          <w:rFonts w:ascii="Times New Roman" w:hAnsi="Times New Roman" w:cs="Times New Roman"/>
          <w:sz w:val="24"/>
          <w:szCs w:val="24"/>
        </w:rPr>
        <w:t xml:space="preserve">non-flooded properties </w:t>
      </w:r>
      <w:r w:rsidR="00C93394" w:rsidRPr="006C45BF">
        <w:rPr>
          <w:rFonts w:ascii="Times New Roman" w:hAnsi="Times New Roman" w:cs="Times New Roman"/>
          <w:sz w:val="24"/>
          <w:szCs w:val="24"/>
        </w:rPr>
        <w:t>a</w:t>
      </w:r>
      <w:r w:rsidRPr="006C45BF">
        <w:rPr>
          <w:rFonts w:ascii="Times New Roman" w:hAnsi="Times New Roman" w:cs="Times New Roman"/>
          <w:sz w:val="24"/>
          <w:szCs w:val="24"/>
        </w:rPr>
        <w:t>re affected by the dis</w:t>
      </w:r>
      <w:r w:rsidR="00883A1F" w:rsidRPr="006C45BF">
        <w:rPr>
          <w:rFonts w:ascii="Times New Roman" w:hAnsi="Times New Roman" w:cs="Times New Roman"/>
          <w:sz w:val="24"/>
          <w:szCs w:val="24"/>
        </w:rPr>
        <w:t>t</w:t>
      </w:r>
      <w:r w:rsidRPr="006C45BF">
        <w:rPr>
          <w:rFonts w:ascii="Times New Roman" w:hAnsi="Times New Roman" w:cs="Times New Roman"/>
          <w:sz w:val="24"/>
          <w:szCs w:val="24"/>
        </w:rPr>
        <w:t>ance to the flood zone</w:t>
      </w:r>
      <w:r w:rsidR="00F27DFE">
        <w:rPr>
          <w:rFonts w:ascii="Times New Roman" w:hAnsi="Times New Roman" w:cs="Times New Roman"/>
          <w:sz w:val="24"/>
          <w:szCs w:val="24"/>
        </w:rPr>
        <w:t>, following the storm</w:t>
      </w:r>
      <w:r w:rsidRPr="006C45BF">
        <w:rPr>
          <w:rFonts w:ascii="Times New Roman" w:hAnsi="Times New Roman" w:cs="Times New Roman"/>
          <w:sz w:val="24"/>
          <w:szCs w:val="24"/>
        </w:rPr>
        <w:t xml:space="preserve">. After the </w:t>
      </w:r>
      <w:r w:rsidR="004D592E" w:rsidRPr="006C45BF">
        <w:rPr>
          <w:rFonts w:ascii="Times New Roman" w:hAnsi="Times New Roman" w:cs="Times New Roman"/>
          <w:sz w:val="24"/>
          <w:szCs w:val="24"/>
        </w:rPr>
        <w:t>storm, the distance to the</w:t>
      </w:r>
      <w:r w:rsidRPr="006C45BF">
        <w:rPr>
          <w:rFonts w:ascii="Times New Roman" w:hAnsi="Times New Roman" w:cs="Times New Roman"/>
          <w:sz w:val="24"/>
          <w:szCs w:val="24"/>
        </w:rPr>
        <w:t xml:space="preserve"> inundation zone provide</w:t>
      </w:r>
      <w:r w:rsidR="00C93394" w:rsidRPr="006C45BF">
        <w:rPr>
          <w:rFonts w:ascii="Times New Roman" w:hAnsi="Times New Roman" w:cs="Times New Roman"/>
          <w:sz w:val="24"/>
          <w:szCs w:val="24"/>
        </w:rPr>
        <w:t>s</w:t>
      </w:r>
      <w:r w:rsidRPr="006C45BF">
        <w:rPr>
          <w:rFonts w:ascii="Times New Roman" w:hAnsi="Times New Roman" w:cs="Times New Roman"/>
          <w:sz w:val="24"/>
          <w:szCs w:val="24"/>
        </w:rPr>
        <w:t xml:space="preserve"> new information about future flooding</w:t>
      </w:r>
      <w:r w:rsidR="00D70767" w:rsidRPr="006C45BF">
        <w:rPr>
          <w:rFonts w:ascii="Times New Roman" w:hAnsi="Times New Roman" w:cs="Times New Roman"/>
          <w:sz w:val="24"/>
          <w:szCs w:val="24"/>
        </w:rPr>
        <w:t xml:space="preserve"> expectations</w:t>
      </w:r>
      <w:r w:rsidRPr="006C45BF">
        <w:rPr>
          <w:rFonts w:ascii="Times New Roman" w:hAnsi="Times New Roman" w:cs="Times New Roman"/>
          <w:sz w:val="24"/>
          <w:szCs w:val="24"/>
        </w:rPr>
        <w:t xml:space="preserve"> from storm surges.</w:t>
      </w:r>
      <w:r w:rsidR="00A4205F" w:rsidRPr="006C45BF">
        <w:rPr>
          <w:rFonts w:ascii="Times New Roman" w:hAnsi="Times New Roman" w:cs="Times New Roman"/>
          <w:sz w:val="24"/>
          <w:szCs w:val="24"/>
        </w:rPr>
        <w:t xml:space="preserve"> We consider residential properties in New York City that sell</w:t>
      </w:r>
      <w:r w:rsidR="0012644E">
        <w:rPr>
          <w:rFonts w:ascii="Times New Roman" w:hAnsi="Times New Roman" w:cs="Times New Roman"/>
          <w:sz w:val="24"/>
          <w:szCs w:val="24"/>
        </w:rPr>
        <w:t xml:space="preserve"> before and</w:t>
      </w:r>
      <w:r w:rsidR="00A4205F" w:rsidRPr="006C45BF">
        <w:rPr>
          <w:rFonts w:ascii="Times New Roman" w:hAnsi="Times New Roman" w:cs="Times New Roman"/>
          <w:sz w:val="24"/>
          <w:szCs w:val="24"/>
        </w:rPr>
        <w:t xml:space="preserve"> after Hurricane Sandy,</w:t>
      </w:r>
      <w:r w:rsidR="00C52215">
        <w:rPr>
          <w:rFonts w:ascii="Times New Roman" w:hAnsi="Times New Roman" w:cs="Times New Roman"/>
          <w:sz w:val="24"/>
          <w:szCs w:val="24"/>
        </w:rPr>
        <w:t xml:space="preserve"> on the dry side,</w:t>
      </w:r>
      <w:r w:rsidR="00A4205F" w:rsidRPr="006C45BF">
        <w:rPr>
          <w:rFonts w:ascii="Times New Roman" w:hAnsi="Times New Roman" w:cs="Times New Roman"/>
          <w:sz w:val="24"/>
          <w:szCs w:val="24"/>
        </w:rPr>
        <w:t xml:space="preserve"> </w:t>
      </w:r>
      <w:r w:rsidR="006719BE">
        <w:rPr>
          <w:rFonts w:ascii="Times New Roman" w:hAnsi="Times New Roman" w:cs="Times New Roman"/>
          <w:sz w:val="24"/>
          <w:szCs w:val="24"/>
        </w:rPr>
        <w:t xml:space="preserve">in a band </w:t>
      </w:r>
      <w:r w:rsidR="00A4205F" w:rsidRPr="006C45BF">
        <w:rPr>
          <w:rFonts w:ascii="Times New Roman" w:hAnsi="Times New Roman" w:cs="Times New Roman"/>
          <w:sz w:val="24"/>
          <w:szCs w:val="24"/>
        </w:rPr>
        <w:t>within one mile of the storm surge</w:t>
      </w:r>
      <w:r w:rsidR="007A55CE" w:rsidRPr="006C45BF">
        <w:rPr>
          <w:rFonts w:ascii="Times New Roman" w:hAnsi="Times New Roman" w:cs="Times New Roman"/>
          <w:sz w:val="24"/>
          <w:szCs w:val="24"/>
        </w:rPr>
        <w:t xml:space="preserve"> but at least 0.03 miles (</w:t>
      </w:r>
      <w:r w:rsidR="008A3F8C" w:rsidRPr="006C45BF">
        <w:rPr>
          <w:rFonts w:ascii="Times New Roman" w:hAnsi="Times New Roman" w:cs="Times New Roman"/>
          <w:sz w:val="24"/>
          <w:szCs w:val="24"/>
        </w:rPr>
        <w:t>158 feet) from the surge</w:t>
      </w:r>
      <w:r w:rsidR="00A4205F" w:rsidRPr="006C45BF">
        <w:rPr>
          <w:rFonts w:ascii="Times New Roman" w:hAnsi="Times New Roman" w:cs="Times New Roman"/>
          <w:sz w:val="24"/>
          <w:szCs w:val="24"/>
        </w:rPr>
        <w:t xml:space="preserve">. </w:t>
      </w:r>
      <w:r w:rsidR="00C93394" w:rsidRPr="006C45BF">
        <w:rPr>
          <w:rFonts w:ascii="Times New Roman" w:hAnsi="Times New Roman" w:cs="Times New Roman"/>
          <w:sz w:val="24"/>
          <w:szCs w:val="24"/>
        </w:rPr>
        <w:t xml:space="preserve"> </w:t>
      </w:r>
      <w:r w:rsidR="00134A74">
        <w:rPr>
          <w:rFonts w:ascii="Times New Roman" w:hAnsi="Times New Roman" w:cs="Times New Roman"/>
          <w:sz w:val="24"/>
          <w:szCs w:val="24"/>
        </w:rPr>
        <w:t xml:space="preserve">As part of our analysis, we also </w:t>
      </w:r>
      <w:r w:rsidR="00DC4C7B" w:rsidRPr="006C45BF">
        <w:rPr>
          <w:rFonts w:ascii="Times New Roman" w:hAnsi="Times New Roman" w:cs="Times New Roman"/>
          <w:sz w:val="24"/>
          <w:szCs w:val="24"/>
        </w:rPr>
        <w:t>separate the sample into tho</w:t>
      </w:r>
      <w:r w:rsidR="000873D4" w:rsidRPr="006C45BF">
        <w:rPr>
          <w:rFonts w:ascii="Times New Roman" w:hAnsi="Times New Roman" w:cs="Times New Roman"/>
          <w:sz w:val="24"/>
          <w:szCs w:val="24"/>
        </w:rPr>
        <w:t>s</w:t>
      </w:r>
      <w:r w:rsidR="00DC4C7B" w:rsidRPr="006C45BF">
        <w:rPr>
          <w:rFonts w:ascii="Times New Roman" w:hAnsi="Times New Roman" w:cs="Times New Roman"/>
          <w:sz w:val="24"/>
          <w:szCs w:val="24"/>
        </w:rPr>
        <w:t>e that had positive</w:t>
      </w:r>
      <w:r w:rsidR="00EB5718">
        <w:rPr>
          <w:rFonts w:ascii="Times New Roman" w:hAnsi="Times New Roman" w:cs="Times New Roman"/>
          <w:sz w:val="24"/>
          <w:szCs w:val="24"/>
        </w:rPr>
        <w:t xml:space="preserve"> </w:t>
      </w:r>
      <w:r w:rsidR="00DC60B5">
        <w:rPr>
          <w:rFonts w:ascii="Times New Roman" w:hAnsi="Times New Roman" w:cs="Times New Roman"/>
          <w:sz w:val="24"/>
          <w:szCs w:val="24"/>
        </w:rPr>
        <w:t>or</w:t>
      </w:r>
      <w:r w:rsidR="00DC60B5" w:rsidRPr="006C45BF">
        <w:rPr>
          <w:rFonts w:ascii="Times New Roman" w:hAnsi="Times New Roman" w:cs="Times New Roman"/>
          <w:sz w:val="24"/>
          <w:szCs w:val="24"/>
        </w:rPr>
        <w:t xml:space="preserve"> </w:t>
      </w:r>
      <w:r w:rsidR="00DC4C7B" w:rsidRPr="006C45BF">
        <w:rPr>
          <w:rFonts w:ascii="Times New Roman" w:hAnsi="Times New Roman" w:cs="Times New Roman"/>
          <w:sz w:val="24"/>
          <w:szCs w:val="24"/>
        </w:rPr>
        <w:t>negative</w:t>
      </w:r>
      <w:r w:rsidR="00EB5718">
        <w:rPr>
          <w:rFonts w:ascii="Times New Roman" w:hAnsi="Times New Roman" w:cs="Times New Roman"/>
          <w:sz w:val="24"/>
          <w:szCs w:val="24"/>
        </w:rPr>
        <w:t xml:space="preserve"> </w:t>
      </w:r>
      <w:r w:rsidR="00DC4C7B" w:rsidRPr="006C45BF">
        <w:rPr>
          <w:rFonts w:ascii="Times New Roman" w:hAnsi="Times New Roman" w:cs="Times New Roman"/>
          <w:sz w:val="24"/>
          <w:szCs w:val="24"/>
        </w:rPr>
        <w:t>shocks to explore</w:t>
      </w:r>
      <w:r w:rsidR="00C93394" w:rsidRPr="006C45BF">
        <w:rPr>
          <w:rFonts w:ascii="Times New Roman" w:hAnsi="Times New Roman" w:cs="Times New Roman"/>
          <w:sz w:val="24"/>
          <w:szCs w:val="24"/>
        </w:rPr>
        <w:t xml:space="preserve"> for the possibility that the effects of the surge are </w:t>
      </w:r>
      <w:r w:rsidR="00354545" w:rsidRPr="006C45BF">
        <w:rPr>
          <w:rFonts w:ascii="Times New Roman" w:hAnsi="Times New Roman" w:cs="Times New Roman"/>
          <w:sz w:val="24"/>
          <w:szCs w:val="24"/>
        </w:rPr>
        <w:t>different</w:t>
      </w:r>
      <w:r w:rsidR="00C93394" w:rsidRPr="006C45BF">
        <w:rPr>
          <w:rFonts w:ascii="Times New Roman" w:hAnsi="Times New Roman" w:cs="Times New Roman"/>
          <w:sz w:val="24"/>
          <w:szCs w:val="24"/>
        </w:rPr>
        <w:t>.</w:t>
      </w:r>
      <w:r w:rsidR="00DA097E" w:rsidRPr="006C45BF">
        <w:rPr>
          <w:rFonts w:ascii="Times New Roman" w:hAnsi="Times New Roman" w:cs="Times New Roman"/>
          <w:sz w:val="24"/>
          <w:szCs w:val="24"/>
        </w:rPr>
        <w:t xml:space="preserve"> T</w:t>
      </w:r>
      <w:r w:rsidR="00A330A2" w:rsidRPr="006C45BF">
        <w:rPr>
          <w:rFonts w:ascii="Times New Roman" w:hAnsi="Times New Roman" w:cs="Times New Roman"/>
          <w:sz w:val="24"/>
          <w:szCs w:val="24"/>
        </w:rPr>
        <w:t xml:space="preserve">he parameter estimate for the negative shock </w:t>
      </w:r>
      <w:r w:rsidR="009A5F0C" w:rsidRPr="006C45BF">
        <w:rPr>
          <w:rFonts w:ascii="Times New Roman" w:hAnsi="Times New Roman" w:cs="Times New Roman"/>
          <w:sz w:val="24"/>
          <w:szCs w:val="24"/>
        </w:rPr>
        <w:t>is</w:t>
      </w:r>
      <w:r w:rsidR="00A330A2" w:rsidRPr="006C45BF">
        <w:rPr>
          <w:rFonts w:ascii="Times New Roman" w:hAnsi="Times New Roman" w:cs="Times New Roman"/>
          <w:sz w:val="24"/>
          <w:szCs w:val="24"/>
        </w:rPr>
        <w:t xml:space="preserve"> </w:t>
      </w:r>
      <w:r w:rsidR="00134A74">
        <w:rPr>
          <w:rFonts w:ascii="Times New Roman" w:hAnsi="Times New Roman" w:cs="Times New Roman"/>
          <w:sz w:val="24"/>
          <w:szCs w:val="24"/>
        </w:rPr>
        <w:t>statistically significant and positive</w:t>
      </w:r>
      <w:r w:rsidR="0007423B">
        <w:rPr>
          <w:rFonts w:ascii="Times New Roman" w:hAnsi="Times New Roman" w:cs="Times New Roman"/>
          <w:sz w:val="24"/>
          <w:szCs w:val="24"/>
        </w:rPr>
        <w:t>–implying a negative shock leads to lower prices</w:t>
      </w:r>
      <w:r w:rsidR="002E6ABF">
        <w:rPr>
          <w:rFonts w:ascii="Times New Roman" w:hAnsi="Times New Roman" w:cs="Times New Roman"/>
          <w:sz w:val="24"/>
          <w:szCs w:val="24"/>
        </w:rPr>
        <w:t xml:space="preserve">—but </w:t>
      </w:r>
      <w:r w:rsidR="00A330A2" w:rsidRPr="006C45BF">
        <w:rPr>
          <w:rFonts w:ascii="Times New Roman" w:hAnsi="Times New Roman" w:cs="Times New Roman"/>
          <w:sz w:val="24"/>
          <w:szCs w:val="24"/>
        </w:rPr>
        <w:t xml:space="preserve">the </w:t>
      </w:r>
      <w:r w:rsidR="009A5F0C" w:rsidRPr="006C45BF">
        <w:rPr>
          <w:rFonts w:ascii="Times New Roman" w:hAnsi="Times New Roman" w:cs="Times New Roman"/>
          <w:sz w:val="24"/>
          <w:szCs w:val="24"/>
        </w:rPr>
        <w:t xml:space="preserve">parameter </w:t>
      </w:r>
      <w:r w:rsidR="00A330A2" w:rsidRPr="006C45BF">
        <w:rPr>
          <w:rFonts w:ascii="Times New Roman" w:hAnsi="Times New Roman" w:cs="Times New Roman"/>
          <w:sz w:val="24"/>
          <w:szCs w:val="24"/>
        </w:rPr>
        <w:t>estimate for the positive shock</w:t>
      </w:r>
      <w:r w:rsidR="00134A74">
        <w:rPr>
          <w:rFonts w:ascii="Times New Roman" w:hAnsi="Times New Roman" w:cs="Times New Roman"/>
          <w:sz w:val="24"/>
          <w:szCs w:val="24"/>
        </w:rPr>
        <w:t xml:space="preserve"> is insignificant</w:t>
      </w:r>
      <w:r w:rsidR="00DC60B5">
        <w:rPr>
          <w:rFonts w:ascii="Times New Roman" w:hAnsi="Times New Roman" w:cs="Times New Roman"/>
          <w:sz w:val="24"/>
          <w:szCs w:val="24"/>
        </w:rPr>
        <w:t>.</w:t>
      </w:r>
    </w:p>
    <w:p w14:paraId="553C5765" w14:textId="4E93A2E8" w:rsidR="00084891" w:rsidRPr="006C45BF" w:rsidRDefault="00F47393" w:rsidP="006C45BF">
      <w:pPr>
        <w:pStyle w:val="NoSpacing"/>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Interestingly, our estimate of the effect of a negative shock on property values (</w:t>
      </w:r>
      <w:r w:rsidR="00307895">
        <w:rPr>
          <w:rFonts w:ascii="Times New Roman" w:hAnsi="Times New Roman" w:cs="Times New Roman"/>
          <w:sz w:val="24"/>
          <w:szCs w:val="24"/>
        </w:rPr>
        <w:t>about 8.7%</w:t>
      </w:r>
      <w:r w:rsidRPr="006C45BF">
        <w:rPr>
          <w:rFonts w:ascii="Times New Roman" w:hAnsi="Times New Roman" w:cs="Times New Roman"/>
          <w:sz w:val="24"/>
          <w:szCs w:val="24"/>
        </w:rPr>
        <w:t xml:space="preserve"> decrease </w:t>
      </w:r>
      <w:r w:rsidR="00281763" w:rsidRPr="006C45BF">
        <w:rPr>
          <w:rFonts w:ascii="Times New Roman" w:hAnsi="Times New Roman" w:cs="Times New Roman"/>
          <w:sz w:val="24"/>
          <w:szCs w:val="24"/>
        </w:rPr>
        <w:t xml:space="preserve">for a 1 mile shock) is lower </w:t>
      </w:r>
      <w:r w:rsidR="00E03074">
        <w:rPr>
          <w:rFonts w:ascii="Times New Roman" w:hAnsi="Times New Roman" w:cs="Times New Roman"/>
          <w:sz w:val="24"/>
          <w:szCs w:val="24"/>
        </w:rPr>
        <w:t>than</w:t>
      </w:r>
      <w:r w:rsidR="00281763" w:rsidRPr="006C45BF">
        <w:rPr>
          <w:rFonts w:ascii="Times New Roman" w:hAnsi="Times New Roman" w:cs="Times New Roman"/>
          <w:sz w:val="24"/>
          <w:szCs w:val="24"/>
        </w:rPr>
        <w:t xml:space="preserve"> the effects that Ortega and </w:t>
      </w:r>
      <w:proofErr w:type="spellStart"/>
      <w:r w:rsidR="00281763" w:rsidRPr="006C45BF">
        <w:rPr>
          <w:rFonts w:ascii="Times New Roman" w:hAnsi="Times New Roman" w:cs="Times New Roman"/>
          <w:sz w:val="24"/>
          <w:szCs w:val="24"/>
        </w:rPr>
        <w:t>Taspinar</w:t>
      </w:r>
      <w:proofErr w:type="spellEnd"/>
      <w:r w:rsidR="00281763" w:rsidRPr="006C45BF">
        <w:rPr>
          <w:rFonts w:ascii="Times New Roman" w:hAnsi="Times New Roman" w:cs="Times New Roman"/>
          <w:sz w:val="24"/>
          <w:szCs w:val="24"/>
        </w:rPr>
        <w:t xml:space="preserve"> (2018) found for flooded properties (17% to 22% discount). </w:t>
      </w:r>
      <w:r w:rsidR="00E97C0B" w:rsidRPr="006C45BF">
        <w:rPr>
          <w:rFonts w:ascii="Times New Roman" w:hAnsi="Times New Roman" w:cs="Times New Roman"/>
          <w:sz w:val="24"/>
          <w:szCs w:val="24"/>
        </w:rPr>
        <w:t xml:space="preserve">This implies that perhaps the negative shock in flood risk leads </w:t>
      </w:r>
      <w:r w:rsidR="00DA097E" w:rsidRPr="006C45BF">
        <w:rPr>
          <w:rFonts w:ascii="Times New Roman" w:hAnsi="Times New Roman" w:cs="Times New Roman"/>
          <w:sz w:val="24"/>
          <w:szCs w:val="24"/>
        </w:rPr>
        <w:t>property owners</w:t>
      </w:r>
      <w:r w:rsidR="00E97C0B" w:rsidRPr="006C45BF">
        <w:rPr>
          <w:rFonts w:ascii="Times New Roman" w:hAnsi="Times New Roman" w:cs="Times New Roman"/>
          <w:sz w:val="24"/>
          <w:szCs w:val="24"/>
        </w:rPr>
        <w:t xml:space="preserve"> to immediately internalize the prospects of a greater likelihood of being flooded in the future</w:t>
      </w:r>
      <w:r w:rsidR="00E03074">
        <w:rPr>
          <w:rFonts w:ascii="Times New Roman" w:hAnsi="Times New Roman" w:cs="Times New Roman"/>
          <w:sz w:val="24"/>
          <w:szCs w:val="24"/>
        </w:rPr>
        <w:t xml:space="preserve">, although since the timing and extent of future flood damage is uncertain, </w:t>
      </w:r>
      <w:r w:rsidR="0069237C">
        <w:rPr>
          <w:rFonts w:ascii="Times New Roman" w:hAnsi="Times New Roman" w:cs="Times New Roman"/>
          <w:sz w:val="24"/>
          <w:szCs w:val="24"/>
        </w:rPr>
        <w:t>this shock effect is less than the flooding effect found by others</w:t>
      </w:r>
      <w:r w:rsidR="00E97C0B" w:rsidRPr="006C45BF">
        <w:rPr>
          <w:rFonts w:ascii="Times New Roman" w:hAnsi="Times New Roman" w:cs="Times New Roman"/>
          <w:sz w:val="24"/>
          <w:szCs w:val="24"/>
        </w:rPr>
        <w:t>.</w:t>
      </w:r>
      <w:r w:rsidR="00D6399C" w:rsidRPr="006C45BF">
        <w:rPr>
          <w:rFonts w:ascii="Times New Roman" w:hAnsi="Times New Roman" w:cs="Times New Roman"/>
          <w:sz w:val="24"/>
          <w:szCs w:val="24"/>
        </w:rPr>
        <w:t xml:space="preserve"> </w:t>
      </w:r>
      <w:r w:rsidR="00D3241A" w:rsidRPr="006C45BF">
        <w:rPr>
          <w:rFonts w:ascii="Times New Roman" w:hAnsi="Times New Roman" w:cs="Times New Roman"/>
          <w:sz w:val="24"/>
          <w:szCs w:val="24"/>
        </w:rPr>
        <w:t>Given that the average property in our sample sold for approximately $</w:t>
      </w:r>
      <w:r w:rsidR="001B4ADA">
        <w:rPr>
          <w:rFonts w:ascii="Times New Roman" w:hAnsi="Times New Roman" w:cs="Times New Roman"/>
          <w:sz w:val="24"/>
          <w:szCs w:val="24"/>
        </w:rPr>
        <w:t>9</w:t>
      </w:r>
      <w:r w:rsidR="002E6ABF">
        <w:rPr>
          <w:rFonts w:ascii="Times New Roman" w:hAnsi="Times New Roman" w:cs="Times New Roman"/>
          <w:sz w:val="24"/>
          <w:szCs w:val="24"/>
        </w:rPr>
        <w:t>62</w:t>
      </w:r>
      <w:r w:rsidR="001B4ADA">
        <w:rPr>
          <w:rFonts w:ascii="Times New Roman" w:hAnsi="Times New Roman" w:cs="Times New Roman"/>
          <w:sz w:val="24"/>
          <w:szCs w:val="24"/>
        </w:rPr>
        <w:t>,000</w:t>
      </w:r>
      <w:r w:rsidR="00D3241A" w:rsidRPr="006C45BF">
        <w:rPr>
          <w:rFonts w:ascii="Times New Roman" w:hAnsi="Times New Roman" w:cs="Times New Roman"/>
          <w:sz w:val="24"/>
          <w:szCs w:val="24"/>
        </w:rPr>
        <w:t xml:space="preserve">, the impacts of </w:t>
      </w:r>
      <w:r w:rsidR="008D48C0" w:rsidRPr="006C45BF">
        <w:rPr>
          <w:rFonts w:ascii="Times New Roman" w:hAnsi="Times New Roman" w:cs="Times New Roman"/>
          <w:sz w:val="24"/>
          <w:szCs w:val="24"/>
        </w:rPr>
        <w:t xml:space="preserve">a 1-mile negative shock result in prices that are </w:t>
      </w:r>
      <w:r w:rsidR="00D6399C" w:rsidRPr="006C45BF">
        <w:rPr>
          <w:rFonts w:ascii="Times New Roman" w:hAnsi="Times New Roman" w:cs="Times New Roman"/>
          <w:sz w:val="24"/>
          <w:szCs w:val="24"/>
        </w:rPr>
        <w:t xml:space="preserve">approximately </w:t>
      </w:r>
      <w:r w:rsidR="00A8286E">
        <w:rPr>
          <w:rFonts w:ascii="Times New Roman" w:hAnsi="Times New Roman" w:cs="Times New Roman"/>
          <w:sz w:val="24"/>
          <w:szCs w:val="24"/>
        </w:rPr>
        <w:t>$8</w:t>
      </w:r>
      <w:r w:rsidR="002E6ABF">
        <w:rPr>
          <w:rFonts w:ascii="Times New Roman" w:hAnsi="Times New Roman" w:cs="Times New Roman"/>
          <w:sz w:val="24"/>
          <w:szCs w:val="24"/>
        </w:rPr>
        <w:t>3</w:t>
      </w:r>
      <w:r w:rsidR="00A8286E">
        <w:rPr>
          <w:rFonts w:ascii="Times New Roman" w:hAnsi="Times New Roman" w:cs="Times New Roman"/>
          <w:sz w:val="24"/>
          <w:szCs w:val="24"/>
        </w:rPr>
        <w:t>,</w:t>
      </w:r>
      <w:r w:rsidR="002E6ABF">
        <w:rPr>
          <w:rFonts w:ascii="Times New Roman" w:hAnsi="Times New Roman" w:cs="Times New Roman"/>
          <w:sz w:val="24"/>
          <w:szCs w:val="24"/>
        </w:rPr>
        <w:t>7</w:t>
      </w:r>
      <w:r w:rsidR="00A8286E">
        <w:rPr>
          <w:rFonts w:ascii="Times New Roman" w:hAnsi="Times New Roman" w:cs="Times New Roman"/>
          <w:sz w:val="24"/>
          <w:szCs w:val="24"/>
        </w:rPr>
        <w:t>00</w:t>
      </w:r>
      <w:r w:rsidR="00FC1AB5" w:rsidRPr="006C45BF">
        <w:rPr>
          <w:rFonts w:ascii="Times New Roman" w:hAnsi="Times New Roman" w:cs="Times New Roman"/>
          <w:sz w:val="24"/>
          <w:szCs w:val="24"/>
        </w:rPr>
        <w:t xml:space="preserve"> lower</w:t>
      </w:r>
      <w:r w:rsidR="002E6ABF">
        <w:rPr>
          <w:rFonts w:ascii="Times New Roman" w:hAnsi="Times New Roman" w:cs="Times New Roman"/>
          <w:sz w:val="24"/>
          <w:szCs w:val="24"/>
        </w:rPr>
        <w:t>, on average</w:t>
      </w:r>
      <w:r w:rsidR="00FC1AB5" w:rsidRPr="006C45BF">
        <w:rPr>
          <w:rFonts w:ascii="Times New Roman" w:hAnsi="Times New Roman" w:cs="Times New Roman"/>
          <w:sz w:val="24"/>
          <w:szCs w:val="24"/>
        </w:rPr>
        <w:t>.</w:t>
      </w:r>
      <w:r w:rsidR="00A456D2" w:rsidRPr="006C45BF">
        <w:rPr>
          <w:rFonts w:ascii="Times New Roman" w:hAnsi="Times New Roman" w:cs="Times New Roman"/>
          <w:sz w:val="24"/>
          <w:szCs w:val="24"/>
        </w:rPr>
        <w:t xml:space="preserve"> With the publicly available FEMA flood plain maps as the best </w:t>
      </w:r>
      <w:r w:rsidR="007B4EAE" w:rsidRPr="006C45BF">
        <w:rPr>
          <w:rFonts w:ascii="Times New Roman" w:hAnsi="Times New Roman" w:cs="Times New Roman"/>
          <w:sz w:val="24"/>
          <w:szCs w:val="24"/>
        </w:rPr>
        <w:t>data</w:t>
      </w:r>
      <w:r w:rsidR="00A456D2" w:rsidRPr="006C45BF">
        <w:rPr>
          <w:rFonts w:ascii="Times New Roman" w:hAnsi="Times New Roman" w:cs="Times New Roman"/>
          <w:sz w:val="24"/>
          <w:szCs w:val="24"/>
        </w:rPr>
        <w:t xml:space="preserve"> existing before the storm, the</w:t>
      </w:r>
      <w:r w:rsidR="004F7B36" w:rsidRPr="006C45BF">
        <w:rPr>
          <w:rFonts w:ascii="Times New Roman" w:hAnsi="Times New Roman" w:cs="Times New Roman"/>
          <w:sz w:val="24"/>
          <w:szCs w:val="24"/>
        </w:rPr>
        <w:t xml:space="preserve"> possibility of a property being closer to the flood plain</w:t>
      </w:r>
      <w:r w:rsidR="007B4EAE" w:rsidRPr="006C45BF">
        <w:rPr>
          <w:rFonts w:ascii="Times New Roman" w:hAnsi="Times New Roman" w:cs="Times New Roman"/>
          <w:sz w:val="24"/>
          <w:szCs w:val="24"/>
        </w:rPr>
        <w:t xml:space="preserve"> after the storm</w:t>
      </w:r>
      <w:r w:rsidR="004F7B36" w:rsidRPr="006C45BF">
        <w:rPr>
          <w:rFonts w:ascii="Times New Roman" w:hAnsi="Times New Roman" w:cs="Times New Roman"/>
          <w:sz w:val="24"/>
          <w:szCs w:val="24"/>
        </w:rPr>
        <w:t xml:space="preserve"> </w:t>
      </w:r>
      <w:r w:rsidR="00663059" w:rsidRPr="006C45BF">
        <w:rPr>
          <w:rFonts w:ascii="Times New Roman" w:hAnsi="Times New Roman" w:cs="Times New Roman"/>
          <w:sz w:val="24"/>
          <w:szCs w:val="24"/>
        </w:rPr>
        <w:t xml:space="preserve">than previously thought </w:t>
      </w:r>
      <w:r w:rsidR="007B4EAE" w:rsidRPr="006C45BF">
        <w:rPr>
          <w:rFonts w:ascii="Times New Roman" w:hAnsi="Times New Roman" w:cs="Times New Roman"/>
          <w:sz w:val="24"/>
          <w:szCs w:val="24"/>
        </w:rPr>
        <w:t>can be</w:t>
      </w:r>
      <w:r w:rsidR="00DB09E0" w:rsidRPr="006C45BF">
        <w:rPr>
          <w:rFonts w:ascii="Times New Roman" w:hAnsi="Times New Roman" w:cs="Times New Roman"/>
          <w:sz w:val="24"/>
          <w:szCs w:val="24"/>
        </w:rPr>
        <w:t xml:space="preserve"> a valuable information</w:t>
      </w:r>
      <w:r w:rsidR="007B4EAE" w:rsidRPr="006C45BF">
        <w:rPr>
          <w:rFonts w:ascii="Times New Roman" w:hAnsi="Times New Roman" w:cs="Times New Roman"/>
          <w:sz w:val="24"/>
          <w:szCs w:val="24"/>
        </w:rPr>
        <w:t xml:space="preserve"> source</w:t>
      </w:r>
      <w:r w:rsidR="00DB09E0" w:rsidRPr="006C45BF">
        <w:rPr>
          <w:rFonts w:ascii="Times New Roman" w:hAnsi="Times New Roman" w:cs="Times New Roman"/>
          <w:sz w:val="24"/>
          <w:szCs w:val="24"/>
        </w:rPr>
        <w:t xml:space="preserve"> for potential home buyers in New York City. </w:t>
      </w:r>
      <w:r w:rsidR="00FC1AB5" w:rsidRPr="006C45BF">
        <w:rPr>
          <w:rFonts w:ascii="Times New Roman" w:hAnsi="Times New Roman" w:cs="Times New Roman"/>
          <w:sz w:val="24"/>
          <w:szCs w:val="24"/>
        </w:rPr>
        <w:t xml:space="preserve"> </w:t>
      </w:r>
      <w:r w:rsidR="00E97C0B" w:rsidRPr="006C45BF">
        <w:rPr>
          <w:rFonts w:ascii="Times New Roman" w:hAnsi="Times New Roman" w:cs="Times New Roman"/>
          <w:sz w:val="24"/>
          <w:szCs w:val="24"/>
        </w:rPr>
        <w:t xml:space="preserve"> </w:t>
      </w:r>
    </w:p>
    <w:p w14:paraId="06F1979C" w14:textId="5D3E20F3" w:rsidR="00084891" w:rsidRPr="006C45BF" w:rsidRDefault="009A5F0C" w:rsidP="006C45BF">
      <w:pPr>
        <w:pStyle w:val="NoSpacing"/>
        <w:spacing w:line="480" w:lineRule="auto"/>
        <w:ind w:firstLine="720"/>
        <w:jc w:val="both"/>
        <w:rPr>
          <w:rFonts w:ascii="Times New Roman" w:hAnsi="Times New Roman" w:cs="Times New Roman"/>
          <w:sz w:val="24"/>
          <w:szCs w:val="24"/>
        </w:rPr>
      </w:pPr>
      <w:r w:rsidRPr="006C45BF">
        <w:rPr>
          <w:rFonts w:ascii="Times New Roman" w:hAnsi="Times New Roman" w:cs="Times New Roman"/>
          <w:sz w:val="24"/>
          <w:szCs w:val="24"/>
        </w:rPr>
        <w:t xml:space="preserve">In </w:t>
      </w:r>
      <w:r w:rsidR="006D17B5" w:rsidRPr="006C45BF">
        <w:rPr>
          <w:rFonts w:ascii="Times New Roman" w:hAnsi="Times New Roman" w:cs="Times New Roman"/>
          <w:sz w:val="24"/>
          <w:szCs w:val="24"/>
        </w:rPr>
        <w:t xml:space="preserve">support </w:t>
      </w:r>
      <w:r w:rsidR="00675228" w:rsidRPr="006C45BF">
        <w:rPr>
          <w:rFonts w:ascii="Times New Roman" w:hAnsi="Times New Roman" w:cs="Times New Roman"/>
          <w:sz w:val="24"/>
          <w:szCs w:val="24"/>
        </w:rPr>
        <w:t>of the</w:t>
      </w:r>
      <w:r w:rsidR="0075164B" w:rsidRPr="006C45BF">
        <w:rPr>
          <w:rFonts w:ascii="Times New Roman" w:hAnsi="Times New Roman" w:cs="Times New Roman"/>
          <w:sz w:val="24"/>
          <w:szCs w:val="24"/>
        </w:rPr>
        <w:t xml:space="preserve"> above</w:t>
      </w:r>
      <w:r w:rsidR="00675228" w:rsidRPr="006C45BF">
        <w:rPr>
          <w:rFonts w:ascii="Times New Roman" w:hAnsi="Times New Roman" w:cs="Times New Roman"/>
          <w:sz w:val="24"/>
          <w:szCs w:val="24"/>
        </w:rPr>
        <w:t xml:space="preserve"> conjecture that perhaps</w:t>
      </w:r>
      <w:r w:rsidRPr="006C45BF">
        <w:rPr>
          <w:rFonts w:ascii="Times New Roman" w:hAnsi="Times New Roman" w:cs="Times New Roman"/>
          <w:sz w:val="24"/>
          <w:szCs w:val="24"/>
        </w:rPr>
        <w:t xml:space="preserve"> property owners immediately internalize the shock effect of</w:t>
      </w:r>
      <w:r w:rsidR="00DA097E" w:rsidRPr="006C45BF">
        <w:rPr>
          <w:rFonts w:ascii="Times New Roman" w:hAnsi="Times New Roman" w:cs="Times New Roman"/>
          <w:sz w:val="24"/>
          <w:szCs w:val="24"/>
        </w:rPr>
        <w:t xml:space="preserve"> a</w:t>
      </w:r>
      <w:r w:rsidRPr="006C45BF">
        <w:rPr>
          <w:rFonts w:ascii="Times New Roman" w:hAnsi="Times New Roman" w:cs="Times New Roman"/>
          <w:sz w:val="24"/>
          <w:szCs w:val="24"/>
        </w:rPr>
        <w:t xml:space="preserve"> greater future flood risk,</w:t>
      </w:r>
      <w:r w:rsidR="00BE472A">
        <w:rPr>
          <w:rFonts w:ascii="Times New Roman" w:hAnsi="Times New Roman" w:cs="Times New Roman"/>
          <w:sz w:val="24"/>
          <w:szCs w:val="24"/>
        </w:rPr>
        <w:t xml:space="preserve"> we find evidence that people react to these shocks, even though there was no direct impact </w:t>
      </w:r>
      <w:r w:rsidR="007D562B">
        <w:rPr>
          <w:rFonts w:ascii="Times New Roman" w:hAnsi="Times New Roman" w:cs="Times New Roman"/>
          <w:sz w:val="24"/>
          <w:szCs w:val="24"/>
        </w:rPr>
        <w:t xml:space="preserve">of the flood </w:t>
      </w:r>
      <w:r w:rsidR="00BE472A">
        <w:rPr>
          <w:rFonts w:ascii="Times New Roman" w:hAnsi="Times New Roman" w:cs="Times New Roman"/>
          <w:sz w:val="24"/>
          <w:szCs w:val="24"/>
        </w:rPr>
        <w:t>on their properties.</w:t>
      </w:r>
      <w:r w:rsidR="00E37C02" w:rsidRPr="006C45BF">
        <w:rPr>
          <w:rFonts w:ascii="Times New Roman" w:hAnsi="Times New Roman" w:cs="Times New Roman"/>
          <w:sz w:val="24"/>
          <w:szCs w:val="24"/>
        </w:rPr>
        <w:t xml:space="preserve"> </w:t>
      </w:r>
      <w:r w:rsidR="00FB3C83">
        <w:rPr>
          <w:rFonts w:ascii="Times New Roman" w:hAnsi="Times New Roman" w:cs="Times New Roman"/>
          <w:sz w:val="24"/>
          <w:szCs w:val="24"/>
        </w:rPr>
        <w:t xml:space="preserve">Perhaps the recurrence of other storms in different parts of the U.S. serves as an ongoing reminder of the potential impacts of being closer to </w:t>
      </w:r>
      <w:r w:rsidR="00D3200F">
        <w:rPr>
          <w:rFonts w:ascii="Times New Roman" w:hAnsi="Times New Roman" w:cs="Times New Roman"/>
          <w:sz w:val="24"/>
          <w:szCs w:val="24"/>
        </w:rPr>
        <w:t>the storm and the effects of the “surprise” from Sandy being closer</w:t>
      </w:r>
      <w:r w:rsidR="00FA19F2">
        <w:rPr>
          <w:rFonts w:ascii="Times New Roman" w:hAnsi="Times New Roman" w:cs="Times New Roman"/>
          <w:sz w:val="24"/>
          <w:szCs w:val="24"/>
        </w:rPr>
        <w:t xml:space="preserve"> to properties than expected by the FEMA flood maps.</w:t>
      </w:r>
    </w:p>
    <w:p w14:paraId="4B22588C" w14:textId="77777777" w:rsidR="00D265BC" w:rsidRPr="002C6D09" w:rsidRDefault="00D265BC" w:rsidP="00546130">
      <w:pPr>
        <w:spacing w:line="480" w:lineRule="auto"/>
        <w:rPr>
          <w:rFonts w:ascii="Times New Roman" w:hAnsi="Times New Roman" w:cs="Times New Roman"/>
          <w:sz w:val="24"/>
          <w:szCs w:val="24"/>
        </w:rPr>
      </w:pPr>
    </w:p>
    <w:p w14:paraId="61B034BF" w14:textId="3011CA37" w:rsidR="000C5661" w:rsidRPr="002C6D09" w:rsidRDefault="00D265BC" w:rsidP="006B5C3E">
      <w:pPr>
        <w:spacing w:line="480" w:lineRule="auto"/>
        <w:rPr>
          <w:rFonts w:ascii="Times New Roman" w:hAnsi="Times New Roman" w:cs="Times New Roman"/>
          <w:b/>
          <w:sz w:val="24"/>
          <w:szCs w:val="24"/>
        </w:rPr>
      </w:pPr>
      <w:r w:rsidRPr="002C6D09">
        <w:rPr>
          <w:rFonts w:ascii="Times New Roman" w:hAnsi="Times New Roman" w:cs="Times New Roman"/>
          <w:sz w:val="24"/>
          <w:szCs w:val="24"/>
        </w:rPr>
        <w:t xml:space="preserve"> </w:t>
      </w:r>
      <w:r w:rsidR="000C5661" w:rsidRPr="002C6D09">
        <w:rPr>
          <w:rFonts w:ascii="Times New Roman" w:hAnsi="Times New Roman" w:cs="Times New Roman"/>
          <w:b/>
          <w:sz w:val="24"/>
          <w:szCs w:val="24"/>
        </w:rPr>
        <w:t>References</w:t>
      </w:r>
    </w:p>
    <w:p w14:paraId="6A5FFC81" w14:textId="52181451" w:rsidR="009922A6" w:rsidRPr="0034598A" w:rsidRDefault="0034598A" w:rsidP="000C5661">
      <w:pPr>
        <w:pStyle w:val="NoSpacing"/>
        <w:rPr>
          <w:rFonts w:ascii="Times New Roman" w:hAnsi="Times New Roman" w:cs="Times New Roman"/>
          <w:color w:val="222222"/>
          <w:sz w:val="24"/>
          <w:szCs w:val="24"/>
          <w:shd w:val="clear" w:color="auto" w:fill="FFFFFF"/>
        </w:rPr>
      </w:pPr>
      <w:proofErr w:type="spellStart"/>
      <w:r w:rsidRPr="0034598A">
        <w:rPr>
          <w:rFonts w:ascii="Times New Roman" w:hAnsi="Times New Roman" w:cs="Times New Roman"/>
          <w:color w:val="222222"/>
          <w:sz w:val="24"/>
          <w:szCs w:val="24"/>
          <w:shd w:val="clear" w:color="auto" w:fill="FFFFFF"/>
        </w:rPr>
        <w:t>Atreya</w:t>
      </w:r>
      <w:proofErr w:type="spellEnd"/>
      <w:r w:rsidRPr="0034598A">
        <w:rPr>
          <w:rFonts w:ascii="Times New Roman" w:hAnsi="Times New Roman" w:cs="Times New Roman"/>
          <w:color w:val="222222"/>
          <w:sz w:val="24"/>
          <w:szCs w:val="24"/>
          <w:shd w:val="clear" w:color="auto" w:fill="FFFFFF"/>
        </w:rPr>
        <w:t xml:space="preserve">, A., &amp; </w:t>
      </w:r>
      <w:proofErr w:type="spellStart"/>
      <w:r w:rsidRPr="0034598A">
        <w:rPr>
          <w:rFonts w:ascii="Times New Roman" w:hAnsi="Times New Roman" w:cs="Times New Roman"/>
          <w:color w:val="222222"/>
          <w:sz w:val="24"/>
          <w:szCs w:val="24"/>
          <w:shd w:val="clear" w:color="auto" w:fill="FFFFFF"/>
        </w:rPr>
        <w:t>Czajkowski</w:t>
      </w:r>
      <w:proofErr w:type="spellEnd"/>
      <w:r w:rsidRPr="0034598A">
        <w:rPr>
          <w:rFonts w:ascii="Times New Roman" w:hAnsi="Times New Roman" w:cs="Times New Roman"/>
          <w:color w:val="222222"/>
          <w:sz w:val="24"/>
          <w:szCs w:val="24"/>
          <w:shd w:val="clear" w:color="auto" w:fill="FFFFFF"/>
        </w:rPr>
        <w:t>, J. (2019). Graduated flood risks and property prices in Galveston County. </w:t>
      </w:r>
      <w:r w:rsidRPr="0034598A">
        <w:rPr>
          <w:rFonts w:ascii="Times New Roman" w:hAnsi="Times New Roman" w:cs="Times New Roman"/>
          <w:i/>
          <w:iCs/>
          <w:color w:val="222222"/>
          <w:sz w:val="24"/>
          <w:szCs w:val="24"/>
          <w:shd w:val="clear" w:color="auto" w:fill="FFFFFF"/>
        </w:rPr>
        <w:t>Real Estate Economics</w:t>
      </w:r>
      <w:r w:rsidRPr="0034598A">
        <w:rPr>
          <w:rFonts w:ascii="Times New Roman" w:hAnsi="Times New Roman" w:cs="Times New Roman"/>
          <w:color w:val="222222"/>
          <w:sz w:val="24"/>
          <w:szCs w:val="24"/>
          <w:shd w:val="clear" w:color="auto" w:fill="FFFFFF"/>
        </w:rPr>
        <w:t>, </w:t>
      </w:r>
      <w:r w:rsidRPr="0034598A">
        <w:rPr>
          <w:rFonts w:ascii="Times New Roman" w:hAnsi="Times New Roman" w:cs="Times New Roman"/>
          <w:i/>
          <w:iCs/>
          <w:color w:val="222222"/>
          <w:sz w:val="24"/>
          <w:szCs w:val="24"/>
          <w:shd w:val="clear" w:color="auto" w:fill="FFFFFF"/>
        </w:rPr>
        <w:t>47</w:t>
      </w:r>
      <w:r w:rsidRPr="0034598A">
        <w:rPr>
          <w:rFonts w:ascii="Times New Roman" w:hAnsi="Times New Roman" w:cs="Times New Roman"/>
          <w:color w:val="222222"/>
          <w:sz w:val="24"/>
          <w:szCs w:val="24"/>
          <w:shd w:val="clear" w:color="auto" w:fill="FFFFFF"/>
        </w:rPr>
        <w:t>(3), 807-844.</w:t>
      </w:r>
    </w:p>
    <w:p w14:paraId="00D044F1" w14:textId="77777777" w:rsidR="0034598A" w:rsidRDefault="0034598A" w:rsidP="000C5661">
      <w:pPr>
        <w:pStyle w:val="NoSpacing"/>
        <w:rPr>
          <w:rFonts w:ascii="Times New Roman" w:hAnsi="Times New Roman" w:cs="Times New Roman"/>
          <w:sz w:val="24"/>
          <w:szCs w:val="24"/>
        </w:rPr>
      </w:pPr>
    </w:p>
    <w:p w14:paraId="56470F2C" w14:textId="77777777" w:rsidR="009922A6" w:rsidRPr="000F4D10" w:rsidRDefault="009922A6" w:rsidP="009922A6">
      <w:pPr>
        <w:rPr>
          <w:rFonts w:ascii="Times New Roman" w:hAnsi="Times New Roman" w:cs="Times New Roman"/>
          <w:color w:val="222222"/>
          <w:sz w:val="24"/>
          <w:szCs w:val="24"/>
          <w:shd w:val="clear" w:color="auto" w:fill="FFFFFF"/>
        </w:rPr>
      </w:pPr>
      <w:proofErr w:type="spellStart"/>
      <w:r w:rsidRPr="000F4D10">
        <w:rPr>
          <w:rFonts w:ascii="Times New Roman" w:hAnsi="Times New Roman" w:cs="Times New Roman"/>
          <w:color w:val="222222"/>
          <w:sz w:val="24"/>
          <w:szCs w:val="24"/>
          <w:shd w:val="clear" w:color="auto" w:fill="FFFFFF"/>
        </w:rPr>
        <w:t>Atreya</w:t>
      </w:r>
      <w:proofErr w:type="spellEnd"/>
      <w:r w:rsidRPr="000F4D10">
        <w:rPr>
          <w:rFonts w:ascii="Times New Roman" w:hAnsi="Times New Roman" w:cs="Times New Roman"/>
          <w:color w:val="222222"/>
          <w:sz w:val="24"/>
          <w:szCs w:val="24"/>
          <w:shd w:val="clear" w:color="auto" w:fill="FFFFFF"/>
        </w:rPr>
        <w:t>, A., &amp; Ferreira, S. (2015). Seeing is believing? Evidence from property prices in inundated areas. </w:t>
      </w:r>
      <w:r w:rsidRPr="000F4D10">
        <w:rPr>
          <w:rFonts w:ascii="Times New Roman" w:hAnsi="Times New Roman" w:cs="Times New Roman"/>
          <w:i/>
          <w:iCs/>
          <w:color w:val="222222"/>
          <w:sz w:val="24"/>
          <w:szCs w:val="24"/>
          <w:shd w:val="clear" w:color="auto" w:fill="FFFFFF"/>
        </w:rPr>
        <w:t>Risk Analysis</w:t>
      </w:r>
      <w:r w:rsidRPr="000F4D10">
        <w:rPr>
          <w:rFonts w:ascii="Times New Roman" w:hAnsi="Times New Roman" w:cs="Times New Roman"/>
          <w:color w:val="222222"/>
          <w:sz w:val="24"/>
          <w:szCs w:val="24"/>
          <w:shd w:val="clear" w:color="auto" w:fill="FFFFFF"/>
        </w:rPr>
        <w:t>, </w:t>
      </w:r>
      <w:r w:rsidRPr="000F4D10">
        <w:rPr>
          <w:rFonts w:ascii="Times New Roman" w:hAnsi="Times New Roman" w:cs="Times New Roman"/>
          <w:i/>
          <w:iCs/>
          <w:color w:val="222222"/>
          <w:sz w:val="24"/>
          <w:szCs w:val="24"/>
          <w:shd w:val="clear" w:color="auto" w:fill="FFFFFF"/>
        </w:rPr>
        <w:t>35</w:t>
      </w:r>
      <w:r w:rsidRPr="000F4D10">
        <w:rPr>
          <w:rFonts w:ascii="Times New Roman" w:hAnsi="Times New Roman" w:cs="Times New Roman"/>
          <w:color w:val="222222"/>
          <w:sz w:val="24"/>
          <w:szCs w:val="24"/>
          <w:shd w:val="clear" w:color="auto" w:fill="FFFFFF"/>
        </w:rPr>
        <w:t>(5), 828-848.</w:t>
      </w:r>
    </w:p>
    <w:p w14:paraId="2399971E" w14:textId="77777777" w:rsidR="009922A6" w:rsidRDefault="009922A6" w:rsidP="000C5661">
      <w:pPr>
        <w:pStyle w:val="NoSpacing"/>
        <w:rPr>
          <w:rFonts w:ascii="Times New Roman" w:hAnsi="Times New Roman" w:cs="Times New Roman"/>
          <w:sz w:val="24"/>
          <w:szCs w:val="24"/>
        </w:rPr>
      </w:pPr>
    </w:p>
    <w:p w14:paraId="0278DAC6" w14:textId="77777777" w:rsidR="00ED474F" w:rsidRPr="000F4D10" w:rsidRDefault="00ED474F" w:rsidP="00ED474F">
      <w:pPr>
        <w:rPr>
          <w:rFonts w:ascii="Times New Roman" w:hAnsi="Times New Roman" w:cs="Times New Roman"/>
          <w:color w:val="222222"/>
          <w:sz w:val="24"/>
          <w:szCs w:val="24"/>
          <w:shd w:val="clear" w:color="auto" w:fill="FFFFFF"/>
        </w:rPr>
      </w:pPr>
      <w:proofErr w:type="spellStart"/>
      <w:r w:rsidRPr="000F4D10">
        <w:rPr>
          <w:rFonts w:ascii="Times New Roman" w:hAnsi="Times New Roman" w:cs="Times New Roman"/>
          <w:color w:val="222222"/>
          <w:sz w:val="24"/>
          <w:szCs w:val="24"/>
          <w:shd w:val="clear" w:color="auto" w:fill="FFFFFF"/>
        </w:rPr>
        <w:t>Atreya</w:t>
      </w:r>
      <w:proofErr w:type="spellEnd"/>
      <w:r w:rsidRPr="000F4D10">
        <w:rPr>
          <w:rFonts w:ascii="Times New Roman" w:hAnsi="Times New Roman" w:cs="Times New Roman"/>
          <w:color w:val="222222"/>
          <w:sz w:val="24"/>
          <w:szCs w:val="24"/>
          <w:shd w:val="clear" w:color="auto" w:fill="FFFFFF"/>
        </w:rPr>
        <w:t xml:space="preserve">, A., Ferreira, S., &amp; </w:t>
      </w:r>
      <w:proofErr w:type="spellStart"/>
      <w:r w:rsidRPr="000F4D10">
        <w:rPr>
          <w:rFonts w:ascii="Times New Roman" w:hAnsi="Times New Roman" w:cs="Times New Roman"/>
          <w:color w:val="222222"/>
          <w:sz w:val="24"/>
          <w:szCs w:val="24"/>
          <w:shd w:val="clear" w:color="auto" w:fill="FFFFFF"/>
        </w:rPr>
        <w:t>Kriesel</w:t>
      </w:r>
      <w:proofErr w:type="spellEnd"/>
      <w:r w:rsidRPr="000F4D10">
        <w:rPr>
          <w:rFonts w:ascii="Times New Roman" w:hAnsi="Times New Roman" w:cs="Times New Roman"/>
          <w:color w:val="222222"/>
          <w:sz w:val="24"/>
          <w:szCs w:val="24"/>
          <w:shd w:val="clear" w:color="auto" w:fill="FFFFFF"/>
        </w:rPr>
        <w:t>, W. (2013). Forgetting the flood? An analysis of the flood risk discount over time. </w:t>
      </w:r>
      <w:r w:rsidRPr="000F4D10">
        <w:rPr>
          <w:rFonts w:ascii="Times New Roman" w:hAnsi="Times New Roman" w:cs="Times New Roman"/>
          <w:i/>
          <w:iCs/>
          <w:color w:val="222222"/>
          <w:sz w:val="24"/>
          <w:szCs w:val="24"/>
          <w:shd w:val="clear" w:color="auto" w:fill="FFFFFF"/>
        </w:rPr>
        <w:t>Land Economics</w:t>
      </w:r>
      <w:r w:rsidRPr="000F4D10">
        <w:rPr>
          <w:rFonts w:ascii="Times New Roman" w:hAnsi="Times New Roman" w:cs="Times New Roman"/>
          <w:color w:val="222222"/>
          <w:sz w:val="24"/>
          <w:szCs w:val="24"/>
          <w:shd w:val="clear" w:color="auto" w:fill="FFFFFF"/>
        </w:rPr>
        <w:t>, </w:t>
      </w:r>
      <w:r w:rsidRPr="000F4D10">
        <w:rPr>
          <w:rFonts w:ascii="Times New Roman" w:hAnsi="Times New Roman" w:cs="Times New Roman"/>
          <w:i/>
          <w:iCs/>
          <w:color w:val="222222"/>
          <w:sz w:val="24"/>
          <w:szCs w:val="24"/>
          <w:shd w:val="clear" w:color="auto" w:fill="FFFFFF"/>
        </w:rPr>
        <w:t>89</w:t>
      </w:r>
      <w:r w:rsidRPr="000F4D10">
        <w:rPr>
          <w:rFonts w:ascii="Times New Roman" w:hAnsi="Times New Roman" w:cs="Times New Roman"/>
          <w:color w:val="222222"/>
          <w:sz w:val="24"/>
          <w:szCs w:val="24"/>
          <w:shd w:val="clear" w:color="auto" w:fill="FFFFFF"/>
        </w:rPr>
        <w:t>(4), 577-596.</w:t>
      </w:r>
    </w:p>
    <w:p w14:paraId="0C49B386" w14:textId="77777777" w:rsidR="00ED474F" w:rsidRPr="002C6D09" w:rsidRDefault="00ED474F" w:rsidP="000C5661">
      <w:pPr>
        <w:pStyle w:val="NoSpacing"/>
        <w:rPr>
          <w:rFonts w:ascii="Times New Roman" w:hAnsi="Times New Roman" w:cs="Times New Roman"/>
          <w:sz w:val="24"/>
          <w:szCs w:val="24"/>
        </w:rPr>
      </w:pPr>
    </w:p>
    <w:p w14:paraId="099D7392" w14:textId="77777777" w:rsidR="000C5661" w:rsidRPr="002C6D09" w:rsidRDefault="000C5661" w:rsidP="000C5661">
      <w:pPr>
        <w:pStyle w:val="NoSpacing"/>
        <w:rPr>
          <w:rFonts w:ascii="Times New Roman" w:hAnsi="Times New Roman" w:cs="Times New Roman"/>
          <w:color w:val="222222"/>
          <w:sz w:val="24"/>
          <w:szCs w:val="24"/>
          <w:shd w:val="clear" w:color="auto" w:fill="FFFFFF"/>
        </w:rPr>
      </w:pPr>
      <w:r w:rsidRPr="002C6D09">
        <w:rPr>
          <w:rFonts w:ascii="Times New Roman" w:hAnsi="Times New Roman" w:cs="Times New Roman"/>
          <w:color w:val="222222"/>
          <w:sz w:val="24"/>
          <w:szCs w:val="24"/>
          <w:shd w:val="clear" w:color="auto" w:fill="FFFFFF"/>
        </w:rPr>
        <w:t>Bin, O., &amp; Landry, C. E. (2013). Changes in implicit flood risk premiums: Empirical evidence from the housing market. </w:t>
      </w:r>
      <w:r w:rsidRPr="002C6D09">
        <w:rPr>
          <w:rFonts w:ascii="Times New Roman" w:hAnsi="Times New Roman" w:cs="Times New Roman"/>
          <w:iCs/>
          <w:color w:val="222222"/>
          <w:sz w:val="24"/>
          <w:szCs w:val="24"/>
          <w:shd w:val="clear" w:color="auto" w:fill="FFFFFF"/>
        </w:rPr>
        <w:t>Journal of Environmental Economics and management</w:t>
      </w:r>
      <w:r w:rsidRPr="002C6D09">
        <w:rPr>
          <w:rFonts w:ascii="Times New Roman" w:hAnsi="Times New Roman" w:cs="Times New Roman"/>
          <w:color w:val="222222"/>
          <w:sz w:val="24"/>
          <w:szCs w:val="24"/>
          <w:shd w:val="clear" w:color="auto" w:fill="FFFFFF"/>
        </w:rPr>
        <w:t>, </w:t>
      </w:r>
      <w:r w:rsidRPr="002C6D09">
        <w:rPr>
          <w:rFonts w:ascii="Times New Roman" w:hAnsi="Times New Roman" w:cs="Times New Roman"/>
          <w:iCs/>
          <w:color w:val="222222"/>
          <w:sz w:val="24"/>
          <w:szCs w:val="24"/>
          <w:shd w:val="clear" w:color="auto" w:fill="FFFFFF"/>
        </w:rPr>
        <w:t>65</w:t>
      </w:r>
      <w:r w:rsidRPr="002C6D09">
        <w:rPr>
          <w:rFonts w:ascii="Times New Roman" w:hAnsi="Times New Roman" w:cs="Times New Roman"/>
          <w:color w:val="222222"/>
          <w:sz w:val="24"/>
          <w:szCs w:val="24"/>
          <w:shd w:val="clear" w:color="auto" w:fill="FFFFFF"/>
        </w:rPr>
        <w:t>(3), 361-376.</w:t>
      </w:r>
    </w:p>
    <w:p w14:paraId="78675AFD" w14:textId="77777777" w:rsidR="000C5661" w:rsidRPr="002C6D09" w:rsidRDefault="000C5661" w:rsidP="000C5661">
      <w:pPr>
        <w:pStyle w:val="NoSpacing"/>
        <w:rPr>
          <w:rFonts w:ascii="Times New Roman" w:hAnsi="Times New Roman" w:cs="Times New Roman"/>
          <w:sz w:val="24"/>
          <w:szCs w:val="24"/>
        </w:rPr>
      </w:pPr>
    </w:p>
    <w:p w14:paraId="301A8988" w14:textId="6BD08E6D" w:rsidR="000C5661" w:rsidRDefault="000C5661" w:rsidP="000C5661">
      <w:pPr>
        <w:pStyle w:val="NoSpacing"/>
        <w:rPr>
          <w:rFonts w:ascii="Times New Roman" w:hAnsi="Times New Roman" w:cs="Times New Roman"/>
          <w:sz w:val="24"/>
          <w:szCs w:val="24"/>
        </w:rPr>
      </w:pPr>
      <w:r w:rsidRPr="002C6D09">
        <w:rPr>
          <w:rFonts w:ascii="Times New Roman" w:hAnsi="Times New Roman" w:cs="Times New Roman"/>
          <w:sz w:val="24"/>
          <w:szCs w:val="24"/>
        </w:rPr>
        <w:t>Bin, O., Poulter, B., Dumas, C. F., &amp; Whitehead, J. C. (2011). Measuring the impact of sea</w:t>
      </w:r>
      <w:r w:rsidRPr="00571C44">
        <w:rPr>
          <w:rFonts w:ascii="Times New Roman" w:hAnsi="Times New Roman" w:cs="Times New Roman"/>
          <w:sz w:val="24"/>
          <w:szCs w:val="24"/>
        </w:rPr>
        <w:t>‐</w:t>
      </w:r>
      <w:r w:rsidRPr="002C6D09">
        <w:rPr>
          <w:rFonts w:ascii="Times New Roman" w:hAnsi="Times New Roman" w:cs="Times New Roman"/>
          <w:sz w:val="24"/>
          <w:szCs w:val="24"/>
        </w:rPr>
        <w:t>level rise on coastal real estate: a hedonic property model approach. Journal of Regional Science, 51(4), 751-767.</w:t>
      </w:r>
    </w:p>
    <w:p w14:paraId="3AF4E55B" w14:textId="73FBE070" w:rsidR="001A35EE" w:rsidRDefault="001A35EE" w:rsidP="000C5661">
      <w:pPr>
        <w:pStyle w:val="NoSpacing"/>
        <w:rPr>
          <w:rFonts w:ascii="Times New Roman" w:hAnsi="Times New Roman" w:cs="Times New Roman"/>
          <w:sz w:val="24"/>
          <w:szCs w:val="24"/>
        </w:rPr>
      </w:pPr>
    </w:p>
    <w:p w14:paraId="05DF0410" w14:textId="77777777" w:rsidR="00012A67" w:rsidRPr="000F4D10" w:rsidRDefault="00012A67" w:rsidP="00012A67">
      <w:pPr>
        <w:rPr>
          <w:rFonts w:ascii="Times New Roman" w:hAnsi="Times New Roman" w:cs="Times New Roman"/>
          <w:color w:val="222222"/>
          <w:sz w:val="24"/>
          <w:szCs w:val="24"/>
          <w:shd w:val="clear" w:color="auto" w:fill="FFFFFF"/>
        </w:rPr>
      </w:pPr>
      <w:r w:rsidRPr="000F4D10">
        <w:rPr>
          <w:rFonts w:ascii="Times New Roman" w:hAnsi="Times New Roman" w:cs="Times New Roman"/>
          <w:color w:val="222222"/>
          <w:sz w:val="24"/>
          <w:szCs w:val="24"/>
          <w:shd w:val="clear" w:color="auto" w:fill="FFFFFF"/>
        </w:rPr>
        <w:t>Carbone, J. C., Hallstrom, D. G., &amp; Smith, V. K. (2006). Can natural experiments measure behavioral responses to environmental risks?. </w:t>
      </w:r>
      <w:r w:rsidRPr="000F4D10">
        <w:rPr>
          <w:rFonts w:ascii="Times New Roman" w:hAnsi="Times New Roman" w:cs="Times New Roman"/>
          <w:i/>
          <w:iCs/>
          <w:color w:val="222222"/>
          <w:sz w:val="24"/>
          <w:szCs w:val="24"/>
          <w:shd w:val="clear" w:color="auto" w:fill="FFFFFF"/>
        </w:rPr>
        <w:t>Environmental and Resource Economics</w:t>
      </w:r>
      <w:r w:rsidRPr="000F4D10">
        <w:rPr>
          <w:rFonts w:ascii="Times New Roman" w:hAnsi="Times New Roman" w:cs="Times New Roman"/>
          <w:color w:val="222222"/>
          <w:sz w:val="24"/>
          <w:szCs w:val="24"/>
          <w:shd w:val="clear" w:color="auto" w:fill="FFFFFF"/>
        </w:rPr>
        <w:t>, </w:t>
      </w:r>
      <w:r w:rsidRPr="000F4D10">
        <w:rPr>
          <w:rFonts w:ascii="Times New Roman" w:hAnsi="Times New Roman" w:cs="Times New Roman"/>
          <w:i/>
          <w:iCs/>
          <w:color w:val="222222"/>
          <w:sz w:val="24"/>
          <w:szCs w:val="24"/>
          <w:shd w:val="clear" w:color="auto" w:fill="FFFFFF"/>
        </w:rPr>
        <w:t>33</w:t>
      </w:r>
      <w:r w:rsidRPr="000F4D10">
        <w:rPr>
          <w:rFonts w:ascii="Times New Roman" w:hAnsi="Times New Roman" w:cs="Times New Roman"/>
          <w:color w:val="222222"/>
          <w:sz w:val="24"/>
          <w:szCs w:val="24"/>
          <w:shd w:val="clear" w:color="auto" w:fill="FFFFFF"/>
        </w:rPr>
        <w:t>(3), 273-297.</w:t>
      </w:r>
    </w:p>
    <w:p w14:paraId="20DE2931" w14:textId="77777777" w:rsidR="00012A67" w:rsidRDefault="00012A67" w:rsidP="000C5661">
      <w:pPr>
        <w:pStyle w:val="NoSpacing"/>
        <w:rPr>
          <w:rFonts w:ascii="Times New Roman" w:hAnsi="Times New Roman" w:cs="Times New Roman"/>
          <w:sz w:val="24"/>
          <w:szCs w:val="24"/>
        </w:rPr>
      </w:pPr>
    </w:p>
    <w:p w14:paraId="5586571A" w14:textId="1713D25A" w:rsidR="001A35EE" w:rsidRPr="002C6D09" w:rsidRDefault="001A35EE" w:rsidP="000C5661">
      <w:pPr>
        <w:pStyle w:val="NoSpacing"/>
        <w:rPr>
          <w:rFonts w:ascii="Times New Roman" w:hAnsi="Times New Roman" w:cs="Times New Roman"/>
          <w:sz w:val="24"/>
          <w:szCs w:val="24"/>
        </w:rPr>
      </w:pPr>
      <w:r w:rsidRPr="001A35EE">
        <w:rPr>
          <w:rFonts w:ascii="Times New Roman" w:hAnsi="Times New Roman" w:cs="Times New Roman"/>
          <w:sz w:val="24"/>
          <w:szCs w:val="24"/>
        </w:rPr>
        <w:t xml:space="preserve">Card, D. and Dahl, G.B., 2011. Family violence and football: The effect of unexpected emotional cues on violent behavior. The </w:t>
      </w:r>
      <w:r>
        <w:rPr>
          <w:rFonts w:ascii="Times New Roman" w:hAnsi="Times New Roman" w:cs="Times New Roman"/>
          <w:sz w:val="24"/>
          <w:szCs w:val="24"/>
        </w:rPr>
        <w:t>Q</w:t>
      </w:r>
      <w:r w:rsidRPr="001A35EE">
        <w:rPr>
          <w:rFonts w:ascii="Times New Roman" w:hAnsi="Times New Roman" w:cs="Times New Roman"/>
          <w:sz w:val="24"/>
          <w:szCs w:val="24"/>
        </w:rPr>
        <w:t xml:space="preserve">uarterly </w:t>
      </w:r>
      <w:r>
        <w:rPr>
          <w:rFonts w:ascii="Times New Roman" w:hAnsi="Times New Roman" w:cs="Times New Roman"/>
          <w:sz w:val="24"/>
          <w:szCs w:val="24"/>
        </w:rPr>
        <w:t>J</w:t>
      </w:r>
      <w:r w:rsidRPr="001A35EE">
        <w:rPr>
          <w:rFonts w:ascii="Times New Roman" w:hAnsi="Times New Roman" w:cs="Times New Roman"/>
          <w:sz w:val="24"/>
          <w:szCs w:val="24"/>
        </w:rPr>
        <w:t xml:space="preserve">ournal of </w:t>
      </w:r>
      <w:r>
        <w:rPr>
          <w:rFonts w:ascii="Times New Roman" w:hAnsi="Times New Roman" w:cs="Times New Roman"/>
          <w:sz w:val="24"/>
          <w:szCs w:val="24"/>
        </w:rPr>
        <w:t>E</w:t>
      </w:r>
      <w:r w:rsidRPr="001A35EE">
        <w:rPr>
          <w:rFonts w:ascii="Times New Roman" w:hAnsi="Times New Roman" w:cs="Times New Roman"/>
          <w:sz w:val="24"/>
          <w:szCs w:val="24"/>
        </w:rPr>
        <w:t>conomics, 126(1), pp.103-143.</w:t>
      </w:r>
    </w:p>
    <w:p w14:paraId="051AF65C" w14:textId="77777777" w:rsidR="000C5661" w:rsidRPr="002C6D09" w:rsidRDefault="000C5661" w:rsidP="000C5661">
      <w:pPr>
        <w:pStyle w:val="NoSpacing"/>
        <w:rPr>
          <w:rFonts w:ascii="Times New Roman" w:hAnsi="Times New Roman" w:cs="Times New Roman"/>
          <w:sz w:val="24"/>
          <w:szCs w:val="24"/>
        </w:rPr>
      </w:pPr>
    </w:p>
    <w:p w14:paraId="7669D3A0" w14:textId="77777777" w:rsidR="000C5661" w:rsidRPr="002C6D09" w:rsidRDefault="000C5661" w:rsidP="000C5661">
      <w:pPr>
        <w:pStyle w:val="NoSpacing"/>
        <w:rPr>
          <w:rStyle w:val="Hyperlink"/>
          <w:rFonts w:ascii="Times New Roman" w:hAnsi="Times New Roman" w:cs="Times New Roman"/>
          <w:sz w:val="24"/>
          <w:szCs w:val="24"/>
        </w:rPr>
      </w:pPr>
      <w:r w:rsidRPr="00571C44">
        <w:rPr>
          <w:rFonts w:ascii="Times New Roman" w:hAnsi="Times New Roman" w:cs="Times New Roman"/>
          <w:sz w:val="24"/>
          <w:szCs w:val="24"/>
        </w:rPr>
        <w:t xml:space="preserve">CNN (2013). </w:t>
      </w:r>
      <w:hyperlink r:id="rId11" w:history="1">
        <w:r w:rsidRPr="002C6D09">
          <w:rPr>
            <w:rStyle w:val="Hyperlink"/>
            <w:rFonts w:ascii="Times New Roman" w:hAnsi="Times New Roman" w:cs="Times New Roman"/>
            <w:sz w:val="24"/>
            <w:szCs w:val="24"/>
          </w:rPr>
          <w:t>http://www.cnn.com/2013/07/13/world/americas/hurricane-sandy-fast-facts/</w:t>
        </w:r>
      </w:hyperlink>
    </w:p>
    <w:p w14:paraId="54E8A7C5" w14:textId="77777777" w:rsidR="000C5661" w:rsidRPr="002C6D09" w:rsidRDefault="000C5661" w:rsidP="000C5661">
      <w:pPr>
        <w:pStyle w:val="NoSpacing"/>
        <w:rPr>
          <w:rStyle w:val="Hyperlink"/>
          <w:rFonts w:ascii="Times New Roman" w:hAnsi="Times New Roman" w:cs="Times New Roman"/>
          <w:sz w:val="24"/>
          <w:szCs w:val="24"/>
        </w:rPr>
      </w:pPr>
    </w:p>
    <w:p w14:paraId="23465118" w14:textId="77777777" w:rsidR="000C5661" w:rsidRPr="002C6D09" w:rsidRDefault="000C5661" w:rsidP="000C5661">
      <w:pPr>
        <w:pStyle w:val="NoSpacing"/>
        <w:rPr>
          <w:rFonts w:ascii="Times New Roman" w:hAnsi="Times New Roman" w:cs="Times New Roman"/>
          <w:sz w:val="24"/>
          <w:szCs w:val="24"/>
        </w:rPr>
      </w:pPr>
      <w:r w:rsidRPr="002C6D09">
        <w:rPr>
          <w:rFonts w:ascii="Times New Roman" w:hAnsi="Times New Roman" w:cs="Times New Roman"/>
          <w:sz w:val="24"/>
          <w:szCs w:val="24"/>
        </w:rPr>
        <w:t xml:space="preserve">ESA (2013). </w:t>
      </w:r>
      <w:hyperlink r:id="rId12" w:history="1">
        <w:r w:rsidRPr="002C6D09">
          <w:rPr>
            <w:rStyle w:val="Hyperlink"/>
            <w:rFonts w:ascii="Times New Roman" w:hAnsi="Times New Roman" w:cs="Times New Roman"/>
            <w:sz w:val="24"/>
            <w:szCs w:val="24"/>
          </w:rPr>
          <w:t>http://www.esa.doc.gov/sites/default/files/sandyfinal101713.pdf</w:t>
        </w:r>
      </w:hyperlink>
      <w:r w:rsidRPr="002C6D09">
        <w:rPr>
          <w:rStyle w:val="Hyperlink"/>
          <w:rFonts w:ascii="Times New Roman" w:hAnsi="Times New Roman" w:cs="Times New Roman"/>
          <w:sz w:val="24"/>
          <w:szCs w:val="24"/>
        </w:rPr>
        <w:t xml:space="preserve"> </w:t>
      </w:r>
      <w:r w:rsidRPr="002C6D09">
        <w:rPr>
          <w:rStyle w:val="Hyperlink"/>
          <w:rFonts w:ascii="Times New Roman" w:hAnsi="Times New Roman" w:cs="Times New Roman"/>
          <w:color w:val="auto"/>
          <w:sz w:val="24"/>
          <w:szCs w:val="24"/>
        </w:rPr>
        <w:t>. Accessed on 9/16/2017.</w:t>
      </w:r>
    </w:p>
    <w:p w14:paraId="5BA1D9B6" w14:textId="77777777" w:rsidR="000C5661" w:rsidRPr="00571C44" w:rsidRDefault="000C5661" w:rsidP="000C5661">
      <w:pPr>
        <w:pStyle w:val="NoSpacing"/>
        <w:rPr>
          <w:rFonts w:ascii="Times New Roman" w:hAnsi="Times New Roman" w:cs="Times New Roman"/>
          <w:sz w:val="24"/>
          <w:szCs w:val="24"/>
        </w:rPr>
      </w:pPr>
    </w:p>
    <w:p w14:paraId="6B2A0CB5" w14:textId="77777777" w:rsidR="000C5661" w:rsidRPr="002C6D09" w:rsidRDefault="000C5661" w:rsidP="000C5661">
      <w:pPr>
        <w:pStyle w:val="FootnoteText"/>
        <w:rPr>
          <w:rFonts w:ascii="Times New Roman" w:hAnsi="Times New Roman" w:cs="Times New Roman"/>
          <w:sz w:val="24"/>
          <w:szCs w:val="24"/>
        </w:rPr>
      </w:pPr>
      <w:r w:rsidRPr="002C6D09">
        <w:rPr>
          <w:rFonts w:ascii="Times New Roman" w:hAnsi="Times New Roman" w:cs="Times New Roman"/>
          <w:sz w:val="24"/>
          <w:szCs w:val="24"/>
        </w:rPr>
        <w:t xml:space="preserve">FEMA (2017a) </w:t>
      </w:r>
      <w:hyperlink r:id="rId13" w:history="1">
        <w:r w:rsidRPr="002C6D09">
          <w:rPr>
            <w:rStyle w:val="Hyperlink"/>
            <w:rFonts w:ascii="Times New Roman" w:hAnsi="Times New Roman" w:cs="Times New Roman"/>
            <w:sz w:val="24"/>
            <w:szCs w:val="24"/>
          </w:rPr>
          <w:t>https://www.fema.gov/media-library-data/1468504201672-3c52280b1b1d936e8d23e26f12816017/Flood_Hazard_Mapping_Updates_Overview_Fact_Sheet.pdf</w:t>
        </w:r>
      </w:hyperlink>
      <w:r w:rsidRPr="002C6D09">
        <w:rPr>
          <w:rFonts w:ascii="Times New Roman" w:hAnsi="Times New Roman" w:cs="Times New Roman"/>
          <w:sz w:val="24"/>
          <w:szCs w:val="24"/>
        </w:rPr>
        <w:t xml:space="preserve"> . Accessed on 9/16/2017.</w:t>
      </w:r>
    </w:p>
    <w:p w14:paraId="473663AE" w14:textId="77777777" w:rsidR="000C5661" w:rsidRPr="002C6D09" w:rsidRDefault="000C5661" w:rsidP="000C5661">
      <w:pPr>
        <w:pStyle w:val="NoSpacing"/>
        <w:rPr>
          <w:rFonts w:ascii="Times New Roman" w:hAnsi="Times New Roman" w:cs="Times New Roman"/>
          <w:sz w:val="24"/>
          <w:szCs w:val="24"/>
        </w:rPr>
      </w:pPr>
    </w:p>
    <w:p w14:paraId="0C9AE1A8" w14:textId="77777777" w:rsidR="000C5661" w:rsidRPr="00571C44" w:rsidRDefault="000C5661" w:rsidP="000C5661">
      <w:pPr>
        <w:pStyle w:val="NoSpacing"/>
        <w:rPr>
          <w:rFonts w:ascii="Times New Roman" w:hAnsi="Times New Roman" w:cs="Times New Roman"/>
          <w:sz w:val="24"/>
          <w:szCs w:val="24"/>
        </w:rPr>
      </w:pPr>
      <w:r w:rsidRPr="002C6D09">
        <w:rPr>
          <w:rFonts w:ascii="Times New Roman" w:hAnsi="Times New Roman" w:cs="Times New Roman"/>
          <w:sz w:val="24"/>
          <w:szCs w:val="24"/>
        </w:rPr>
        <w:t xml:space="preserve">FEMA (2017b). </w:t>
      </w:r>
      <w:hyperlink r:id="rId14" w:history="1">
        <w:r w:rsidRPr="002C6D09">
          <w:rPr>
            <w:rStyle w:val="Hyperlink"/>
            <w:rFonts w:ascii="Times New Roman" w:hAnsi="Times New Roman" w:cs="Times New Roman"/>
            <w:sz w:val="24"/>
            <w:szCs w:val="24"/>
          </w:rPr>
          <w:t>https://www.floodsmart.gov/floodsmart/pages/about/nfip_overview.jsp</w:t>
        </w:r>
      </w:hyperlink>
      <w:r w:rsidRPr="002C6D09">
        <w:rPr>
          <w:rStyle w:val="Hyperlink"/>
          <w:rFonts w:ascii="Times New Roman" w:hAnsi="Times New Roman" w:cs="Times New Roman"/>
          <w:color w:val="auto"/>
          <w:sz w:val="24"/>
          <w:szCs w:val="24"/>
          <w:u w:val="none"/>
        </w:rPr>
        <w:t xml:space="preserve"> . Accessed on 9/16/2017.</w:t>
      </w:r>
    </w:p>
    <w:p w14:paraId="2CCF9C89" w14:textId="77777777" w:rsidR="000C5661" w:rsidRPr="002C6D09" w:rsidRDefault="000C5661" w:rsidP="000C5661">
      <w:pPr>
        <w:pStyle w:val="NoSpacing"/>
        <w:rPr>
          <w:rFonts w:ascii="Times New Roman" w:hAnsi="Times New Roman" w:cs="Times New Roman"/>
          <w:sz w:val="24"/>
          <w:szCs w:val="24"/>
        </w:rPr>
      </w:pPr>
    </w:p>
    <w:p w14:paraId="33B4F795" w14:textId="77777777" w:rsidR="000C5661" w:rsidRPr="002C6D09" w:rsidRDefault="000C5661" w:rsidP="000C5661">
      <w:pPr>
        <w:pStyle w:val="NoSpacing"/>
        <w:rPr>
          <w:rFonts w:ascii="Times New Roman" w:hAnsi="Times New Roman" w:cs="Times New Roman"/>
          <w:sz w:val="24"/>
          <w:szCs w:val="24"/>
        </w:rPr>
      </w:pPr>
      <w:r w:rsidRPr="002C6D09">
        <w:rPr>
          <w:rFonts w:ascii="Times New Roman" w:hAnsi="Times New Roman" w:cs="Times New Roman"/>
          <w:sz w:val="24"/>
          <w:szCs w:val="24"/>
        </w:rPr>
        <w:t xml:space="preserve">Fessenden, F., </w:t>
      </w:r>
      <w:proofErr w:type="spellStart"/>
      <w:r w:rsidRPr="002C6D09">
        <w:rPr>
          <w:rFonts w:ascii="Times New Roman" w:hAnsi="Times New Roman" w:cs="Times New Roman"/>
          <w:sz w:val="24"/>
          <w:szCs w:val="24"/>
        </w:rPr>
        <w:t>Gebeloff</w:t>
      </w:r>
      <w:proofErr w:type="spellEnd"/>
      <w:r w:rsidRPr="002C6D09">
        <w:rPr>
          <w:rFonts w:ascii="Times New Roman" w:hAnsi="Times New Roman" w:cs="Times New Roman"/>
          <w:sz w:val="24"/>
          <w:szCs w:val="24"/>
        </w:rPr>
        <w:t xml:space="preserve">, R. Walsh, M. W. and Griggs, T. (2017). Water damage from Hurricane Harvey extended far beyond flood zones.” New York Times, September 1. </w:t>
      </w:r>
      <w:hyperlink r:id="rId15" w:history="1">
        <w:r w:rsidRPr="002C6D09">
          <w:rPr>
            <w:rStyle w:val="Hyperlink"/>
            <w:rFonts w:ascii="Times New Roman" w:hAnsi="Times New Roman" w:cs="Times New Roman"/>
            <w:sz w:val="24"/>
            <w:szCs w:val="24"/>
          </w:rPr>
          <w:t>https://www.nytimes.com/interactive/2017/09/01/us/houston-damaged-buildings-in-fema-flood-zones.html?mcubz=1&amp;_r=1</w:t>
        </w:r>
      </w:hyperlink>
      <w:r w:rsidRPr="002C6D09">
        <w:rPr>
          <w:rFonts w:ascii="Times New Roman" w:hAnsi="Times New Roman" w:cs="Times New Roman"/>
          <w:sz w:val="24"/>
          <w:szCs w:val="24"/>
        </w:rPr>
        <w:t>. Accessed on 9/16/2017.</w:t>
      </w:r>
    </w:p>
    <w:p w14:paraId="408AD15E" w14:textId="77777777" w:rsidR="000C5661" w:rsidRPr="002C6D09" w:rsidRDefault="000C5661" w:rsidP="000C5661">
      <w:pPr>
        <w:pStyle w:val="NoSpacing"/>
        <w:rPr>
          <w:rFonts w:ascii="Times New Roman" w:hAnsi="Times New Roman" w:cs="Times New Roman"/>
          <w:sz w:val="24"/>
          <w:szCs w:val="24"/>
        </w:rPr>
      </w:pPr>
    </w:p>
    <w:p w14:paraId="3ED2A751" w14:textId="77777777" w:rsidR="00297BA4" w:rsidRPr="00F80406" w:rsidRDefault="00297BA4" w:rsidP="00297BA4">
      <w:pPr>
        <w:rPr>
          <w:rFonts w:ascii="Times New Roman" w:hAnsi="Times New Roman" w:cs="Times New Roman"/>
          <w:color w:val="222222"/>
          <w:sz w:val="24"/>
          <w:szCs w:val="24"/>
          <w:shd w:val="clear" w:color="auto" w:fill="FFFFFF"/>
        </w:rPr>
      </w:pPr>
      <w:r w:rsidRPr="00F80406">
        <w:rPr>
          <w:rFonts w:ascii="Times New Roman" w:hAnsi="Times New Roman" w:cs="Times New Roman"/>
          <w:color w:val="222222"/>
          <w:sz w:val="24"/>
          <w:szCs w:val="24"/>
          <w:shd w:val="clear" w:color="auto" w:fill="FFFFFF"/>
        </w:rPr>
        <w:t>McCoy, S. J., &amp; Zhao, X. (2018). A city under water: A geospatial analysis of storm damage, changing risk perceptions, and investment in residential housing. </w:t>
      </w:r>
      <w:r w:rsidRPr="00F80406">
        <w:rPr>
          <w:rFonts w:ascii="Times New Roman" w:hAnsi="Times New Roman" w:cs="Times New Roman"/>
          <w:i/>
          <w:iCs/>
          <w:color w:val="222222"/>
          <w:sz w:val="24"/>
          <w:szCs w:val="24"/>
          <w:shd w:val="clear" w:color="auto" w:fill="FFFFFF"/>
        </w:rPr>
        <w:t>Journal of the Association of Environmental and Resource Economists</w:t>
      </w:r>
      <w:r w:rsidRPr="00F80406">
        <w:rPr>
          <w:rFonts w:ascii="Times New Roman" w:hAnsi="Times New Roman" w:cs="Times New Roman"/>
          <w:color w:val="222222"/>
          <w:sz w:val="24"/>
          <w:szCs w:val="24"/>
          <w:shd w:val="clear" w:color="auto" w:fill="FFFFFF"/>
        </w:rPr>
        <w:t>, </w:t>
      </w:r>
      <w:r w:rsidRPr="00F80406">
        <w:rPr>
          <w:rFonts w:ascii="Times New Roman" w:hAnsi="Times New Roman" w:cs="Times New Roman"/>
          <w:i/>
          <w:iCs/>
          <w:color w:val="222222"/>
          <w:sz w:val="24"/>
          <w:szCs w:val="24"/>
          <w:shd w:val="clear" w:color="auto" w:fill="FFFFFF"/>
        </w:rPr>
        <w:t>5</w:t>
      </w:r>
      <w:r w:rsidRPr="00F80406">
        <w:rPr>
          <w:rFonts w:ascii="Times New Roman" w:hAnsi="Times New Roman" w:cs="Times New Roman"/>
          <w:color w:val="222222"/>
          <w:sz w:val="24"/>
          <w:szCs w:val="24"/>
          <w:shd w:val="clear" w:color="auto" w:fill="FFFFFF"/>
        </w:rPr>
        <w:t>(2), 301-330.</w:t>
      </w:r>
    </w:p>
    <w:p w14:paraId="3038E49F" w14:textId="77777777" w:rsidR="000C5661" w:rsidRPr="002C6D09" w:rsidRDefault="000C5661" w:rsidP="000C5661">
      <w:pPr>
        <w:pStyle w:val="NoSpacing"/>
        <w:rPr>
          <w:rFonts w:ascii="Times New Roman" w:hAnsi="Times New Roman" w:cs="Times New Roman"/>
          <w:color w:val="222222"/>
          <w:sz w:val="24"/>
          <w:szCs w:val="24"/>
          <w:shd w:val="clear" w:color="auto" w:fill="FFFFFF"/>
        </w:rPr>
      </w:pPr>
      <w:r w:rsidRPr="002C6D09">
        <w:rPr>
          <w:rFonts w:ascii="Times New Roman" w:hAnsi="Times New Roman" w:cs="Times New Roman"/>
          <w:color w:val="222222"/>
          <w:sz w:val="24"/>
          <w:szCs w:val="24"/>
          <w:shd w:val="clear" w:color="auto" w:fill="FFFFFF"/>
        </w:rPr>
        <w:t>MacDonald, D. N., Murdoch, J. C., &amp; White, H. L. (1987). Uncertain hazards, insurance, and consumer choice: Evidence from housing markets. </w:t>
      </w:r>
      <w:r w:rsidRPr="002C6D09">
        <w:rPr>
          <w:rFonts w:ascii="Times New Roman" w:hAnsi="Times New Roman" w:cs="Times New Roman"/>
          <w:iCs/>
          <w:color w:val="222222"/>
          <w:sz w:val="24"/>
          <w:szCs w:val="24"/>
          <w:shd w:val="clear" w:color="auto" w:fill="FFFFFF"/>
        </w:rPr>
        <w:t>Land Economics</w:t>
      </w:r>
      <w:r w:rsidRPr="002C6D09">
        <w:rPr>
          <w:rFonts w:ascii="Times New Roman" w:hAnsi="Times New Roman" w:cs="Times New Roman"/>
          <w:color w:val="222222"/>
          <w:sz w:val="24"/>
          <w:szCs w:val="24"/>
          <w:shd w:val="clear" w:color="auto" w:fill="FFFFFF"/>
        </w:rPr>
        <w:t>, </w:t>
      </w:r>
      <w:r w:rsidRPr="002C6D09">
        <w:rPr>
          <w:rFonts w:ascii="Times New Roman" w:hAnsi="Times New Roman" w:cs="Times New Roman"/>
          <w:iCs/>
          <w:color w:val="222222"/>
          <w:sz w:val="24"/>
          <w:szCs w:val="24"/>
          <w:shd w:val="clear" w:color="auto" w:fill="FFFFFF"/>
        </w:rPr>
        <w:t>63</w:t>
      </w:r>
      <w:r w:rsidRPr="002C6D09">
        <w:rPr>
          <w:rFonts w:ascii="Times New Roman" w:hAnsi="Times New Roman" w:cs="Times New Roman"/>
          <w:color w:val="222222"/>
          <w:sz w:val="24"/>
          <w:szCs w:val="24"/>
          <w:shd w:val="clear" w:color="auto" w:fill="FFFFFF"/>
        </w:rPr>
        <w:t>(4), 361-371.</w:t>
      </w:r>
    </w:p>
    <w:p w14:paraId="11A77252" w14:textId="77777777" w:rsidR="000C5661" w:rsidRPr="002C6D09" w:rsidRDefault="000C5661" w:rsidP="000C5661">
      <w:pPr>
        <w:pStyle w:val="NoSpacing"/>
        <w:rPr>
          <w:rFonts w:ascii="Times New Roman" w:hAnsi="Times New Roman" w:cs="Times New Roman"/>
          <w:sz w:val="24"/>
          <w:szCs w:val="24"/>
        </w:rPr>
      </w:pPr>
    </w:p>
    <w:p w14:paraId="6A824C01" w14:textId="421B11B1" w:rsidR="000C5661" w:rsidRPr="00CE0CED" w:rsidRDefault="00CE0CED" w:rsidP="000C5661">
      <w:pPr>
        <w:pStyle w:val="NoSpacing"/>
        <w:rPr>
          <w:rFonts w:ascii="Times New Roman" w:hAnsi="Times New Roman" w:cs="Times New Roman"/>
          <w:color w:val="222222"/>
          <w:sz w:val="24"/>
          <w:szCs w:val="24"/>
          <w:shd w:val="clear" w:color="auto" w:fill="FFFFFF"/>
        </w:rPr>
      </w:pPr>
      <w:r w:rsidRPr="00CE0CED">
        <w:rPr>
          <w:rFonts w:ascii="Times New Roman" w:hAnsi="Times New Roman" w:cs="Times New Roman"/>
          <w:color w:val="222222"/>
          <w:sz w:val="24"/>
          <w:szCs w:val="24"/>
          <w:shd w:val="clear" w:color="auto" w:fill="FFFFFF"/>
        </w:rPr>
        <w:t>Meltzer, R., Ellen, I. G., &amp; Li, X. (2019). </w:t>
      </w:r>
      <w:r w:rsidRPr="00CE0CED">
        <w:rPr>
          <w:rFonts w:ascii="Times New Roman" w:hAnsi="Times New Roman" w:cs="Times New Roman"/>
          <w:i/>
          <w:iCs/>
          <w:color w:val="222222"/>
          <w:sz w:val="24"/>
          <w:szCs w:val="24"/>
          <w:shd w:val="clear" w:color="auto" w:fill="FFFFFF"/>
        </w:rPr>
        <w:t>Localized Commercial Effects from Natural Disasters: The Case of Hurricane Sandy and New York City</w:t>
      </w:r>
      <w:r w:rsidRPr="00CE0CED">
        <w:rPr>
          <w:rFonts w:ascii="Times New Roman" w:hAnsi="Times New Roman" w:cs="Times New Roman"/>
          <w:color w:val="222222"/>
          <w:sz w:val="24"/>
          <w:szCs w:val="24"/>
          <w:shd w:val="clear" w:color="auto" w:fill="FFFFFF"/>
        </w:rPr>
        <w:t>. Working Papers, Milano-New School.</w:t>
      </w:r>
    </w:p>
    <w:p w14:paraId="238279E3" w14:textId="77777777" w:rsidR="00CE0CED" w:rsidRPr="002C6D09" w:rsidRDefault="00CE0CED" w:rsidP="000C5661">
      <w:pPr>
        <w:pStyle w:val="NoSpacing"/>
        <w:rPr>
          <w:rFonts w:ascii="Times New Roman" w:hAnsi="Times New Roman" w:cs="Times New Roman"/>
          <w:sz w:val="24"/>
          <w:szCs w:val="24"/>
        </w:rPr>
      </w:pPr>
    </w:p>
    <w:p w14:paraId="5CCC72E2" w14:textId="6940E0EB" w:rsidR="004927ED" w:rsidRDefault="004927ED" w:rsidP="000C5661">
      <w:pPr>
        <w:pStyle w:val="No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Mooney, C. (2018). </w:t>
      </w:r>
      <w:r w:rsidRPr="004927ED">
        <w:rPr>
          <w:rFonts w:ascii="Times New Roman" w:hAnsi="Times New Roman" w:cs="Times New Roman"/>
          <w:color w:val="222222"/>
          <w:sz w:val="24"/>
          <w:szCs w:val="24"/>
          <w:shd w:val="clear" w:color="auto" w:fill="FFFFFF"/>
        </w:rPr>
        <w:t>Hurricane Harvey was year's costliest U.S. disaster at $125 billion in damages</w:t>
      </w:r>
      <w:r>
        <w:rPr>
          <w:rFonts w:ascii="Times New Roman" w:hAnsi="Times New Roman" w:cs="Times New Roman"/>
          <w:color w:val="222222"/>
          <w:sz w:val="24"/>
          <w:szCs w:val="24"/>
          <w:shd w:val="clear" w:color="auto" w:fill="FFFFFF"/>
        </w:rPr>
        <w:t>. Texas Tribune, Jan. 8.</w:t>
      </w:r>
    </w:p>
    <w:p w14:paraId="32C61E46" w14:textId="77777777" w:rsidR="004927ED" w:rsidRDefault="004927ED" w:rsidP="000C5661">
      <w:pPr>
        <w:pStyle w:val="NoSpacing"/>
        <w:rPr>
          <w:rFonts w:ascii="Times New Roman" w:hAnsi="Times New Roman" w:cs="Times New Roman"/>
          <w:color w:val="222222"/>
          <w:sz w:val="24"/>
          <w:szCs w:val="24"/>
          <w:shd w:val="clear" w:color="auto" w:fill="FFFFFF"/>
        </w:rPr>
      </w:pPr>
    </w:p>
    <w:p w14:paraId="51FDD900" w14:textId="48B42707" w:rsidR="004927ED" w:rsidRDefault="004927ED" w:rsidP="000C5661">
      <w:pPr>
        <w:pStyle w:val="No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National Hurricane Center (2018). </w:t>
      </w:r>
      <w:r w:rsidRPr="004927ED">
        <w:rPr>
          <w:rFonts w:ascii="Times New Roman" w:hAnsi="Times New Roman" w:cs="Times New Roman"/>
          <w:color w:val="222222"/>
          <w:sz w:val="24"/>
          <w:szCs w:val="24"/>
          <w:shd w:val="clear" w:color="auto" w:fill="FFFFFF"/>
        </w:rPr>
        <w:t>Costliest U.S. tropical cyclones  tables updated</w:t>
      </w:r>
      <w:r>
        <w:rPr>
          <w:rFonts w:ascii="Times New Roman" w:hAnsi="Times New Roman" w:cs="Times New Roman"/>
          <w:color w:val="222222"/>
          <w:sz w:val="24"/>
          <w:szCs w:val="24"/>
          <w:shd w:val="clear" w:color="auto" w:fill="FFFFFF"/>
        </w:rPr>
        <w:t xml:space="preserve">. url: </w:t>
      </w:r>
      <w:hyperlink r:id="rId16" w:history="1">
        <w:r w:rsidRPr="001A1D29">
          <w:rPr>
            <w:rStyle w:val="Hyperlink"/>
            <w:rFonts w:ascii="Times New Roman" w:hAnsi="Times New Roman" w:cs="Times New Roman"/>
            <w:sz w:val="24"/>
            <w:szCs w:val="24"/>
            <w:shd w:val="clear" w:color="auto" w:fill="FFFFFF"/>
          </w:rPr>
          <w:t>https://www.nhc.noaa.gov/news/UpdatedCostliest.pdf</w:t>
        </w:r>
      </w:hyperlink>
    </w:p>
    <w:p w14:paraId="0915B704" w14:textId="77777777" w:rsidR="004927ED" w:rsidRDefault="004927ED" w:rsidP="000C5661">
      <w:pPr>
        <w:pStyle w:val="NoSpacing"/>
        <w:rPr>
          <w:rFonts w:ascii="Times New Roman" w:hAnsi="Times New Roman" w:cs="Times New Roman"/>
          <w:color w:val="222222"/>
          <w:sz w:val="24"/>
          <w:szCs w:val="24"/>
          <w:shd w:val="clear" w:color="auto" w:fill="FFFFFF"/>
        </w:rPr>
      </w:pPr>
    </w:p>
    <w:p w14:paraId="25D18EA3" w14:textId="424A1D5F" w:rsidR="006D22F7" w:rsidRDefault="006D22F7" w:rsidP="000C5661">
      <w:pPr>
        <w:pStyle w:val="NoSpacing"/>
        <w:rPr>
          <w:rFonts w:ascii="Times New Roman" w:hAnsi="Times New Roman" w:cs="Times New Roman"/>
          <w:color w:val="222222"/>
          <w:sz w:val="24"/>
          <w:szCs w:val="24"/>
          <w:highlight w:val="yellow"/>
          <w:shd w:val="clear" w:color="auto" w:fill="FFFFFF"/>
        </w:rPr>
      </w:pPr>
      <w:r w:rsidRPr="006D22F7">
        <w:rPr>
          <w:rFonts w:ascii="Times New Roman" w:hAnsi="Times New Roman" w:cs="Times New Roman"/>
          <w:color w:val="222222"/>
          <w:sz w:val="24"/>
          <w:szCs w:val="24"/>
          <w:shd w:val="clear" w:color="auto" w:fill="FFFFFF"/>
        </w:rPr>
        <w:t xml:space="preserve">New York City (2020). About FEMA Flood Maps. url: </w:t>
      </w:r>
      <w:hyperlink r:id="rId17" w:history="1">
        <w:r w:rsidRPr="00F761E2">
          <w:rPr>
            <w:rStyle w:val="Hyperlink"/>
            <w:rFonts w:ascii="Times New Roman" w:hAnsi="Times New Roman" w:cs="Times New Roman"/>
            <w:sz w:val="24"/>
            <w:szCs w:val="24"/>
            <w:shd w:val="clear" w:color="auto" w:fill="FFFFFF"/>
          </w:rPr>
          <w:t>https://www1.nyc.gov/site/floodmaps/about/about-flood-maps.page</w:t>
        </w:r>
      </w:hyperlink>
      <w:r>
        <w:rPr>
          <w:rFonts w:ascii="Times New Roman" w:hAnsi="Times New Roman" w:cs="Times New Roman"/>
          <w:color w:val="222222"/>
          <w:sz w:val="24"/>
          <w:szCs w:val="24"/>
          <w:shd w:val="clear" w:color="auto" w:fill="FFFFFF"/>
        </w:rPr>
        <w:t>. Accessed June 26, 2020.</w:t>
      </w:r>
    </w:p>
    <w:p w14:paraId="099E3101" w14:textId="77777777" w:rsidR="00F80406" w:rsidRDefault="00F80406" w:rsidP="000C5661">
      <w:pPr>
        <w:pStyle w:val="NoSpacing"/>
        <w:rPr>
          <w:rFonts w:ascii="Times New Roman" w:hAnsi="Times New Roman" w:cs="Times New Roman"/>
          <w:color w:val="222222"/>
          <w:sz w:val="24"/>
          <w:szCs w:val="24"/>
          <w:shd w:val="clear" w:color="auto" w:fill="FFFFFF"/>
        </w:rPr>
      </w:pPr>
    </w:p>
    <w:p w14:paraId="17B1A977" w14:textId="0D278F05" w:rsidR="000C5661" w:rsidRDefault="000C5661" w:rsidP="000C5661">
      <w:pPr>
        <w:pStyle w:val="NoSpacing"/>
        <w:rPr>
          <w:rFonts w:ascii="Times New Roman" w:hAnsi="Times New Roman" w:cs="Times New Roman"/>
          <w:color w:val="222222"/>
          <w:sz w:val="24"/>
          <w:szCs w:val="24"/>
          <w:shd w:val="clear" w:color="auto" w:fill="FFFFFF"/>
        </w:rPr>
      </w:pPr>
      <w:r w:rsidRPr="006D22F7">
        <w:rPr>
          <w:rFonts w:ascii="Times New Roman" w:hAnsi="Times New Roman" w:cs="Times New Roman"/>
          <w:color w:val="222222"/>
          <w:sz w:val="24"/>
          <w:szCs w:val="24"/>
          <w:shd w:val="clear" w:color="auto" w:fill="FFFFFF"/>
        </w:rPr>
        <w:t xml:space="preserve">Ortega, F., &amp; </w:t>
      </w:r>
      <w:proofErr w:type="spellStart"/>
      <w:r w:rsidRPr="006D22F7">
        <w:rPr>
          <w:rFonts w:ascii="Times New Roman" w:hAnsi="Times New Roman" w:cs="Times New Roman"/>
          <w:color w:val="222222"/>
          <w:sz w:val="24"/>
          <w:szCs w:val="24"/>
          <w:shd w:val="clear" w:color="auto" w:fill="FFFFFF"/>
        </w:rPr>
        <w:t>Taspinar</w:t>
      </w:r>
      <w:proofErr w:type="spellEnd"/>
      <w:r w:rsidRPr="006D22F7">
        <w:rPr>
          <w:rFonts w:ascii="Times New Roman" w:hAnsi="Times New Roman" w:cs="Times New Roman"/>
          <w:color w:val="222222"/>
          <w:sz w:val="24"/>
          <w:szCs w:val="24"/>
          <w:shd w:val="clear" w:color="auto" w:fill="FFFFFF"/>
        </w:rPr>
        <w:t>, S. (201</w:t>
      </w:r>
      <w:r w:rsidR="006D22F7" w:rsidRPr="006D22F7">
        <w:rPr>
          <w:rFonts w:ascii="Times New Roman" w:hAnsi="Times New Roman" w:cs="Times New Roman"/>
          <w:color w:val="222222"/>
          <w:sz w:val="24"/>
          <w:szCs w:val="24"/>
          <w:shd w:val="clear" w:color="auto" w:fill="FFFFFF"/>
        </w:rPr>
        <w:t>8</w:t>
      </w:r>
      <w:r w:rsidRPr="006D22F7">
        <w:rPr>
          <w:rFonts w:ascii="Times New Roman" w:hAnsi="Times New Roman" w:cs="Times New Roman"/>
          <w:color w:val="222222"/>
          <w:sz w:val="24"/>
          <w:szCs w:val="24"/>
          <w:shd w:val="clear" w:color="auto" w:fill="FFFFFF"/>
        </w:rPr>
        <w:t>). </w:t>
      </w:r>
      <w:r w:rsidR="006D22F7" w:rsidRPr="006D22F7">
        <w:rPr>
          <w:rFonts w:ascii="Times New Roman" w:hAnsi="Times New Roman" w:cs="Times New Roman"/>
          <w:iCs/>
          <w:color w:val="222222"/>
          <w:sz w:val="24"/>
          <w:szCs w:val="24"/>
          <w:shd w:val="clear" w:color="auto" w:fill="FFFFFF"/>
        </w:rPr>
        <w:t xml:space="preserve">Rising sea levels and sinking property values: Hurricane Sandy and New York’s housing market. </w:t>
      </w:r>
      <w:r w:rsidR="006D22F7" w:rsidRPr="006D22F7">
        <w:rPr>
          <w:rFonts w:ascii="Times New Roman" w:hAnsi="Times New Roman" w:cs="Times New Roman"/>
          <w:color w:val="222222"/>
          <w:sz w:val="24"/>
          <w:szCs w:val="24"/>
          <w:shd w:val="clear" w:color="auto" w:fill="FFFFFF"/>
        </w:rPr>
        <w:t>Journal of Urban Economics 106 (2018): 81-100.</w:t>
      </w:r>
    </w:p>
    <w:p w14:paraId="41A66026" w14:textId="26C36786" w:rsidR="006B5C3E" w:rsidRDefault="006B5C3E" w:rsidP="000C5661">
      <w:pPr>
        <w:pStyle w:val="NoSpacing"/>
        <w:rPr>
          <w:rFonts w:ascii="Times New Roman" w:hAnsi="Times New Roman" w:cs="Times New Roman"/>
          <w:color w:val="222222"/>
          <w:sz w:val="24"/>
          <w:szCs w:val="24"/>
          <w:shd w:val="clear" w:color="auto" w:fill="FFFFFF"/>
        </w:rPr>
      </w:pPr>
    </w:p>
    <w:p w14:paraId="316751BA" w14:textId="7551C62B" w:rsidR="006B5C3E" w:rsidRPr="006B5C3E" w:rsidRDefault="006B5C3E" w:rsidP="000C5661">
      <w:pPr>
        <w:pStyle w:val="NoSpacing"/>
        <w:rPr>
          <w:rFonts w:ascii="Times New Roman" w:hAnsi="Times New Roman" w:cs="Times New Roman"/>
          <w:color w:val="222222"/>
          <w:sz w:val="24"/>
          <w:szCs w:val="24"/>
          <w:shd w:val="clear" w:color="auto" w:fill="FFFFFF"/>
        </w:rPr>
      </w:pPr>
      <w:proofErr w:type="spellStart"/>
      <w:r w:rsidRPr="006B5C3E">
        <w:rPr>
          <w:rFonts w:ascii="Times New Roman" w:hAnsi="Times New Roman" w:cs="Times New Roman"/>
          <w:color w:val="222222"/>
          <w:sz w:val="24"/>
          <w:szCs w:val="24"/>
          <w:shd w:val="clear" w:color="auto" w:fill="FFFFFF"/>
        </w:rPr>
        <w:t>Pommeranz</w:t>
      </w:r>
      <w:proofErr w:type="spellEnd"/>
      <w:r w:rsidRPr="006B5C3E">
        <w:rPr>
          <w:rFonts w:ascii="Times New Roman" w:hAnsi="Times New Roman" w:cs="Times New Roman"/>
          <w:color w:val="222222"/>
          <w:sz w:val="24"/>
          <w:szCs w:val="24"/>
          <w:shd w:val="clear" w:color="auto" w:fill="FFFFFF"/>
        </w:rPr>
        <w:t xml:space="preserve">, C., &amp; </w:t>
      </w:r>
      <w:proofErr w:type="spellStart"/>
      <w:r w:rsidRPr="006B5C3E">
        <w:rPr>
          <w:rFonts w:ascii="Times New Roman" w:hAnsi="Times New Roman" w:cs="Times New Roman"/>
          <w:color w:val="222222"/>
          <w:sz w:val="24"/>
          <w:szCs w:val="24"/>
          <w:shd w:val="clear" w:color="auto" w:fill="FFFFFF"/>
        </w:rPr>
        <w:t>Steininger</w:t>
      </w:r>
      <w:proofErr w:type="spellEnd"/>
      <w:r w:rsidRPr="006B5C3E">
        <w:rPr>
          <w:rFonts w:ascii="Times New Roman" w:hAnsi="Times New Roman" w:cs="Times New Roman"/>
          <w:color w:val="222222"/>
          <w:sz w:val="24"/>
          <w:szCs w:val="24"/>
          <w:shd w:val="clear" w:color="auto" w:fill="FFFFFF"/>
        </w:rPr>
        <w:t>, B. I. (2018). Spatial spillovers in the pricing of flood risk: Insights from the housing market. </w:t>
      </w:r>
      <w:r w:rsidRPr="006B5C3E">
        <w:rPr>
          <w:rFonts w:ascii="Times New Roman" w:hAnsi="Times New Roman" w:cs="Times New Roman"/>
          <w:i/>
          <w:iCs/>
          <w:color w:val="222222"/>
          <w:sz w:val="24"/>
          <w:szCs w:val="24"/>
          <w:shd w:val="clear" w:color="auto" w:fill="FFFFFF"/>
        </w:rPr>
        <w:t>Available at SSRN 2753305</w:t>
      </w:r>
      <w:r w:rsidRPr="006B5C3E">
        <w:rPr>
          <w:rFonts w:ascii="Times New Roman" w:hAnsi="Times New Roman" w:cs="Times New Roman"/>
          <w:color w:val="222222"/>
          <w:sz w:val="24"/>
          <w:szCs w:val="24"/>
          <w:shd w:val="clear" w:color="auto" w:fill="FFFFFF"/>
        </w:rPr>
        <w:t>.</w:t>
      </w:r>
    </w:p>
    <w:p w14:paraId="48ABEB65" w14:textId="77777777" w:rsidR="006D22F7" w:rsidRPr="002C6D09" w:rsidRDefault="006D22F7" w:rsidP="000C5661">
      <w:pPr>
        <w:pStyle w:val="NoSpacing"/>
        <w:rPr>
          <w:rFonts w:ascii="Times New Roman" w:hAnsi="Times New Roman" w:cs="Times New Roman"/>
          <w:sz w:val="24"/>
          <w:szCs w:val="24"/>
        </w:rPr>
      </w:pPr>
    </w:p>
    <w:p w14:paraId="29B69BEC" w14:textId="77777777" w:rsidR="00957087" w:rsidRPr="00F80406" w:rsidRDefault="00957087" w:rsidP="00957087">
      <w:pPr>
        <w:rPr>
          <w:rFonts w:ascii="Times New Roman" w:hAnsi="Times New Roman" w:cs="Times New Roman"/>
          <w:color w:val="222222"/>
          <w:sz w:val="24"/>
          <w:szCs w:val="24"/>
          <w:shd w:val="clear" w:color="auto" w:fill="FFFFFF"/>
        </w:rPr>
      </w:pPr>
      <w:r w:rsidRPr="00F80406">
        <w:rPr>
          <w:rFonts w:ascii="Times New Roman" w:hAnsi="Times New Roman" w:cs="Times New Roman"/>
          <w:color w:val="222222"/>
          <w:sz w:val="24"/>
          <w:szCs w:val="24"/>
          <w:shd w:val="clear" w:color="auto" w:fill="FFFFFF"/>
        </w:rPr>
        <w:t>Smith, V. K., Carbone, J. C., Pope, J. C., Hallstrom, D. G., &amp; Darden, M. E. (2006). Adjusting to natural disasters. </w:t>
      </w:r>
      <w:r w:rsidRPr="00F80406">
        <w:rPr>
          <w:rFonts w:ascii="Times New Roman" w:hAnsi="Times New Roman" w:cs="Times New Roman"/>
          <w:i/>
          <w:iCs/>
          <w:color w:val="222222"/>
          <w:sz w:val="24"/>
          <w:szCs w:val="24"/>
          <w:shd w:val="clear" w:color="auto" w:fill="FFFFFF"/>
        </w:rPr>
        <w:t>Journal of Risk and Uncertainty</w:t>
      </w:r>
      <w:r w:rsidRPr="00F80406">
        <w:rPr>
          <w:rFonts w:ascii="Times New Roman" w:hAnsi="Times New Roman" w:cs="Times New Roman"/>
          <w:color w:val="222222"/>
          <w:sz w:val="24"/>
          <w:szCs w:val="24"/>
          <w:shd w:val="clear" w:color="auto" w:fill="FFFFFF"/>
        </w:rPr>
        <w:t>, </w:t>
      </w:r>
      <w:r w:rsidRPr="00F80406">
        <w:rPr>
          <w:rFonts w:ascii="Times New Roman" w:hAnsi="Times New Roman" w:cs="Times New Roman"/>
          <w:i/>
          <w:iCs/>
          <w:color w:val="222222"/>
          <w:sz w:val="24"/>
          <w:szCs w:val="24"/>
          <w:shd w:val="clear" w:color="auto" w:fill="FFFFFF"/>
        </w:rPr>
        <w:t>33</w:t>
      </w:r>
      <w:r w:rsidRPr="00F80406">
        <w:rPr>
          <w:rFonts w:ascii="Times New Roman" w:hAnsi="Times New Roman" w:cs="Times New Roman"/>
          <w:color w:val="222222"/>
          <w:sz w:val="24"/>
          <w:szCs w:val="24"/>
          <w:shd w:val="clear" w:color="auto" w:fill="FFFFFF"/>
        </w:rPr>
        <w:t>(1-2), 37-54.</w:t>
      </w:r>
    </w:p>
    <w:p w14:paraId="55004C60" w14:textId="1EEA6DB0" w:rsidR="00741E6F" w:rsidRDefault="000C5661">
      <w:pPr>
        <w:rPr>
          <w:rFonts w:ascii="Times New Roman" w:hAnsi="Times New Roman" w:cs="Times New Roman"/>
          <w:sz w:val="24"/>
          <w:szCs w:val="24"/>
        </w:rPr>
      </w:pPr>
      <w:r w:rsidRPr="002C6D09">
        <w:rPr>
          <w:rFonts w:ascii="Times New Roman" w:hAnsi="Times New Roman" w:cs="Times New Roman"/>
          <w:sz w:val="24"/>
          <w:szCs w:val="24"/>
        </w:rPr>
        <w:t xml:space="preserve">Sun-Sentinel. (2017). Tornado warning issued for Broward and Palm Beach Counties, as thunderstorm spun off by Hurricane Irma”. September 10. Retrieved September 10, 2017. </w:t>
      </w:r>
    </w:p>
    <w:p w14:paraId="4F22AD1F" w14:textId="77777777" w:rsidR="00645344" w:rsidRPr="00F80406" w:rsidRDefault="00645344" w:rsidP="00645344">
      <w:pPr>
        <w:rPr>
          <w:rFonts w:ascii="Times New Roman" w:hAnsi="Times New Roman" w:cs="Times New Roman"/>
          <w:color w:val="222222"/>
          <w:sz w:val="24"/>
          <w:szCs w:val="24"/>
          <w:shd w:val="clear" w:color="auto" w:fill="FFFFFF"/>
        </w:rPr>
      </w:pPr>
      <w:r w:rsidRPr="00F80406">
        <w:rPr>
          <w:rFonts w:ascii="Times New Roman" w:hAnsi="Times New Roman" w:cs="Times New Roman"/>
          <w:color w:val="222222"/>
          <w:sz w:val="24"/>
          <w:szCs w:val="24"/>
          <w:shd w:val="clear" w:color="auto" w:fill="FFFFFF"/>
        </w:rPr>
        <w:t>Zhang, L. (2016). Flood hazards impact on neighborhood house prices: A spatial quantile regression analysis. </w:t>
      </w:r>
      <w:r w:rsidRPr="00F80406">
        <w:rPr>
          <w:rFonts w:ascii="Times New Roman" w:hAnsi="Times New Roman" w:cs="Times New Roman"/>
          <w:i/>
          <w:iCs/>
          <w:color w:val="222222"/>
          <w:sz w:val="24"/>
          <w:szCs w:val="24"/>
          <w:shd w:val="clear" w:color="auto" w:fill="FFFFFF"/>
        </w:rPr>
        <w:t>Regional Science and Urban Economics</w:t>
      </w:r>
      <w:r w:rsidRPr="00F80406">
        <w:rPr>
          <w:rFonts w:ascii="Times New Roman" w:hAnsi="Times New Roman" w:cs="Times New Roman"/>
          <w:color w:val="222222"/>
          <w:sz w:val="24"/>
          <w:szCs w:val="24"/>
          <w:shd w:val="clear" w:color="auto" w:fill="FFFFFF"/>
        </w:rPr>
        <w:t>, </w:t>
      </w:r>
      <w:r w:rsidRPr="00F80406">
        <w:rPr>
          <w:rFonts w:ascii="Times New Roman" w:hAnsi="Times New Roman" w:cs="Times New Roman"/>
          <w:i/>
          <w:iCs/>
          <w:color w:val="222222"/>
          <w:sz w:val="24"/>
          <w:szCs w:val="24"/>
          <w:shd w:val="clear" w:color="auto" w:fill="FFFFFF"/>
        </w:rPr>
        <w:t>60</w:t>
      </w:r>
      <w:r w:rsidRPr="00F80406">
        <w:rPr>
          <w:rFonts w:ascii="Times New Roman" w:hAnsi="Times New Roman" w:cs="Times New Roman"/>
          <w:color w:val="222222"/>
          <w:sz w:val="24"/>
          <w:szCs w:val="24"/>
          <w:shd w:val="clear" w:color="auto" w:fill="FFFFFF"/>
        </w:rPr>
        <w:t>, 12-19.</w:t>
      </w:r>
    </w:p>
    <w:p w14:paraId="2140D471" w14:textId="77777777" w:rsidR="00645344" w:rsidRPr="00FF6A90" w:rsidRDefault="00645344">
      <w:pPr>
        <w:rPr>
          <w:rFonts w:ascii="Times New Roman" w:hAnsi="Times New Roman" w:cs="Times New Roman"/>
          <w:sz w:val="24"/>
          <w:szCs w:val="24"/>
        </w:rPr>
      </w:pPr>
    </w:p>
    <w:p w14:paraId="0E080D01" w14:textId="77777777" w:rsidR="00B85118" w:rsidRPr="00F3779D" w:rsidRDefault="00BD6A5C" w:rsidP="00B85118">
      <w:pPr>
        <w:rPr>
          <w:rFonts w:ascii="Times New Roman" w:hAnsi="Times New Roman" w:cs="Times New Roman"/>
          <w:b/>
          <w:bCs/>
          <w:sz w:val="24"/>
          <w:szCs w:val="24"/>
        </w:rPr>
      </w:pPr>
      <w:r w:rsidRPr="002C6D09">
        <w:rPr>
          <w:rFonts w:ascii="Times New Roman" w:hAnsi="Times New Roman" w:cs="Times New Roman"/>
          <w:b/>
          <w:sz w:val="24"/>
          <w:szCs w:val="24"/>
        </w:rPr>
        <w:br w:type="page"/>
      </w:r>
      <w:r w:rsidR="00B85118" w:rsidRPr="00F3779D">
        <w:rPr>
          <w:rFonts w:ascii="Times New Roman" w:hAnsi="Times New Roman" w:cs="Times New Roman"/>
          <w:b/>
          <w:bCs/>
          <w:sz w:val="24"/>
          <w:szCs w:val="24"/>
        </w:rPr>
        <w:t>Tables</w:t>
      </w:r>
    </w:p>
    <w:p w14:paraId="43BCDF47" w14:textId="28EF0F4F" w:rsidR="002D4FEC" w:rsidRPr="00416770" w:rsidRDefault="002D4FEC" w:rsidP="002829CD">
      <w:pPr>
        <w:rPr>
          <w:rFonts w:ascii="Times New Roman" w:hAnsi="Times New Roman" w:cs="Times New Roman"/>
          <w:b/>
          <w:bCs/>
          <w:sz w:val="24"/>
          <w:szCs w:val="24"/>
        </w:rPr>
      </w:pPr>
    </w:p>
    <w:p w14:paraId="3FCE7FA9" w14:textId="77777777" w:rsidR="002D4FEC" w:rsidRDefault="002D4FEC" w:rsidP="002D4FEC">
      <w:pPr>
        <w:pStyle w:val="NoSpacing"/>
        <w:rPr>
          <w:rFonts w:ascii="Times New Roman" w:hAnsi="Times New Roman" w:cs="Times New Roman"/>
          <w:b/>
          <w:bCs/>
          <w:sz w:val="24"/>
          <w:szCs w:val="24"/>
        </w:rPr>
      </w:pPr>
      <w:r w:rsidRPr="00F3779D">
        <w:rPr>
          <w:rFonts w:ascii="Times New Roman" w:hAnsi="Times New Roman" w:cs="Times New Roman"/>
          <w:b/>
          <w:bCs/>
          <w:sz w:val="24"/>
          <w:szCs w:val="24"/>
        </w:rPr>
        <w:t>Table 1: Descriptive Statistics</w:t>
      </w:r>
    </w:p>
    <w:tbl>
      <w:tblPr>
        <w:tblW w:w="9293" w:type="dxa"/>
        <w:tblLook w:val="04A0" w:firstRow="1" w:lastRow="0" w:firstColumn="1" w:lastColumn="0" w:noHBand="0" w:noVBand="1"/>
      </w:tblPr>
      <w:tblGrid>
        <w:gridCol w:w="2994"/>
        <w:gridCol w:w="1270"/>
        <w:gridCol w:w="1439"/>
        <w:gridCol w:w="1114"/>
        <w:gridCol w:w="1460"/>
        <w:gridCol w:w="1016"/>
      </w:tblGrid>
      <w:tr w:rsidR="00F70AA0" w:rsidRPr="009F2364" w14:paraId="6C788F23" w14:textId="77777777" w:rsidTr="00F70AA0">
        <w:trPr>
          <w:trHeight w:val="295"/>
        </w:trPr>
        <w:tc>
          <w:tcPr>
            <w:tcW w:w="2828" w:type="dxa"/>
            <w:tcBorders>
              <w:top w:val="single" w:sz="4" w:space="0" w:color="000000"/>
              <w:left w:val="nil"/>
              <w:bottom w:val="single" w:sz="4" w:space="0" w:color="000000"/>
              <w:right w:val="nil"/>
            </w:tcBorders>
            <w:shd w:val="clear" w:color="auto" w:fill="auto"/>
            <w:noWrap/>
            <w:vAlign w:val="bottom"/>
            <w:hideMark/>
          </w:tcPr>
          <w:p w14:paraId="07061ADE" w14:textId="77777777" w:rsidR="00F70AA0" w:rsidRPr="009F2364" w:rsidRDefault="00F70AA0">
            <w:pPr>
              <w:rPr>
                <w:rFonts w:ascii="Calibri" w:hAnsi="Calibri" w:cs="Calibri"/>
                <w:b/>
                <w:bCs/>
                <w:color w:val="000000"/>
                <w:sz w:val="20"/>
                <w:szCs w:val="20"/>
              </w:rPr>
            </w:pPr>
            <w:r w:rsidRPr="009F2364">
              <w:rPr>
                <w:rFonts w:ascii="Calibri" w:hAnsi="Calibri" w:cs="Calibri"/>
                <w:b/>
                <w:bCs/>
                <w:color w:val="000000"/>
                <w:sz w:val="20"/>
                <w:szCs w:val="20"/>
              </w:rPr>
              <w:t>Variable</w:t>
            </w:r>
          </w:p>
        </w:tc>
        <w:tc>
          <w:tcPr>
            <w:tcW w:w="1200" w:type="dxa"/>
            <w:tcBorders>
              <w:top w:val="single" w:sz="4" w:space="0" w:color="000000"/>
              <w:left w:val="nil"/>
              <w:bottom w:val="single" w:sz="4" w:space="0" w:color="000000"/>
              <w:right w:val="nil"/>
            </w:tcBorders>
            <w:shd w:val="clear" w:color="auto" w:fill="auto"/>
            <w:noWrap/>
            <w:vAlign w:val="bottom"/>
            <w:hideMark/>
          </w:tcPr>
          <w:p w14:paraId="104160E9" w14:textId="77777777" w:rsidR="00F70AA0" w:rsidRPr="009F2364" w:rsidRDefault="00F70AA0">
            <w:pPr>
              <w:rPr>
                <w:rFonts w:ascii="Calibri" w:hAnsi="Calibri" w:cs="Calibri"/>
                <w:b/>
                <w:bCs/>
                <w:color w:val="000000"/>
                <w:sz w:val="20"/>
                <w:szCs w:val="20"/>
              </w:rPr>
            </w:pPr>
            <w:r w:rsidRPr="009F2364">
              <w:rPr>
                <w:rFonts w:ascii="Calibri" w:hAnsi="Calibri" w:cs="Calibri"/>
                <w:b/>
                <w:bCs/>
                <w:color w:val="000000"/>
                <w:sz w:val="20"/>
                <w:szCs w:val="20"/>
              </w:rPr>
              <w:t>Mean</w:t>
            </w:r>
          </w:p>
        </w:tc>
        <w:tc>
          <w:tcPr>
            <w:tcW w:w="1360" w:type="dxa"/>
            <w:tcBorders>
              <w:top w:val="single" w:sz="4" w:space="0" w:color="000000"/>
              <w:left w:val="nil"/>
              <w:bottom w:val="single" w:sz="4" w:space="0" w:color="000000"/>
              <w:right w:val="nil"/>
            </w:tcBorders>
            <w:shd w:val="clear" w:color="auto" w:fill="auto"/>
            <w:noWrap/>
            <w:vAlign w:val="bottom"/>
            <w:hideMark/>
          </w:tcPr>
          <w:p w14:paraId="372F8F34" w14:textId="77777777" w:rsidR="00F70AA0" w:rsidRPr="009F2364" w:rsidRDefault="00F70AA0">
            <w:pPr>
              <w:rPr>
                <w:rFonts w:ascii="Calibri" w:hAnsi="Calibri" w:cs="Calibri"/>
                <w:b/>
                <w:bCs/>
                <w:color w:val="000000"/>
                <w:sz w:val="20"/>
                <w:szCs w:val="20"/>
              </w:rPr>
            </w:pPr>
            <w:r w:rsidRPr="009F2364">
              <w:rPr>
                <w:rFonts w:ascii="Calibri" w:hAnsi="Calibri" w:cs="Calibri"/>
                <w:b/>
                <w:bCs/>
                <w:color w:val="000000"/>
                <w:sz w:val="20"/>
                <w:szCs w:val="20"/>
              </w:rPr>
              <w:t>Std. Dev.</w:t>
            </w:r>
          </w:p>
        </w:tc>
        <w:tc>
          <w:tcPr>
            <w:tcW w:w="1053" w:type="dxa"/>
            <w:tcBorders>
              <w:top w:val="single" w:sz="4" w:space="0" w:color="000000"/>
              <w:left w:val="nil"/>
              <w:bottom w:val="single" w:sz="4" w:space="0" w:color="000000"/>
              <w:right w:val="nil"/>
            </w:tcBorders>
            <w:shd w:val="clear" w:color="auto" w:fill="auto"/>
            <w:noWrap/>
            <w:vAlign w:val="bottom"/>
            <w:hideMark/>
          </w:tcPr>
          <w:p w14:paraId="36959F73" w14:textId="77777777" w:rsidR="00F70AA0" w:rsidRPr="009F2364" w:rsidRDefault="00F70AA0">
            <w:pPr>
              <w:rPr>
                <w:rFonts w:ascii="Calibri" w:hAnsi="Calibri" w:cs="Calibri"/>
                <w:b/>
                <w:bCs/>
                <w:color w:val="000000"/>
                <w:sz w:val="20"/>
                <w:szCs w:val="20"/>
              </w:rPr>
            </w:pPr>
            <w:r w:rsidRPr="009F2364">
              <w:rPr>
                <w:rFonts w:ascii="Calibri" w:hAnsi="Calibri" w:cs="Calibri"/>
                <w:b/>
                <w:bCs/>
                <w:color w:val="000000"/>
                <w:sz w:val="20"/>
                <w:szCs w:val="20"/>
              </w:rPr>
              <w:t>Min.</w:t>
            </w:r>
          </w:p>
        </w:tc>
        <w:tc>
          <w:tcPr>
            <w:tcW w:w="1380" w:type="dxa"/>
            <w:tcBorders>
              <w:top w:val="single" w:sz="4" w:space="0" w:color="000000"/>
              <w:left w:val="nil"/>
              <w:bottom w:val="single" w:sz="4" w:space="0" w:color="000000"/>
              <w:right w:val="nil"/>
            </w:tcBorders>
            <w:shd w:val="clear" w:color="auto" w:fill="auto"/>
            <w:noWrap/>
            <w:vAlign w:val="bottom"/>
            <w:hideMark/>
          </w:tcPr>
          <w:p w14:paraId="2512C549" w14:textId="77777777" w:rsidR="00F70AA0" w:rsidRPr="009F2364" w:rsidRDefault="00F70AA0">
            <w:pPr>
              <w:rPr>
                <w:rFonts w:ascii="Calibri" w:hAnsi="Calibri" w:cs="Calibri"/>
                <w:b/>
                <w:bCs/>
                <w:color w:val="000000"/>
                <w:sz w:val="20"/>
                <w:szCs w:val="20"/>
              </w:rPr>
            </w:pPr>
            <w:r w:rsidRPr="009F2364">
              <w:rPr>
                <w:rFonts w:ascii="Calibri" w:hAnsi="Calibri" w:cs="Calibri"/>
                <w:b/>
                <w:bCs/>
                <w:color w:val="000000"/>
                <w:sz w:val="20"/>
                <w:szCs w:val="20"/>
              </w:rPr>
              <w:t>Max.</w:t>
            </w:r>
          </w:p>
        </w:tc>
        <w:tc>
          <w:tcPr>
            <w:tcW w:w="960" w:type="dxa"/>
            <w:tcBorders>
              <w:top w:val="single" w:sz="4" w:space="0" w:color="000000"/>
              <w:left w:val="nil"/>
              <w:bottom w:val="single" w:sz="4" w:space="0" w:color="000000"/>
              <w:right w:val="nil"/>
            </w:tcBorders>
            <w:shd w:val="clear" w:color="auto" w:fill="auto"/>
            <w:noWrap/>
            <w:vAlign w:val="bottom"/>
            <w:hideMark/>
          </w:tcPr>
          <w:p w14:paraId="5C27586F" w14:textId="77777777" w:rsidR="00F70AA0" w:rsidRPr="009F2364" w:rsidRDefault="00F70AA0">
            <w:pPr>
              <w:rPr>
                <w:rFonts w:ascii="Calibri" w:hAnsi="Calibri" w:cs="Calibri"/>
                <w:b/>
                <w:bCs/>
                <w:color w:val="000000"/>
                <w:sz w:val="20"/>
                <w:szCs w:val="20"/>
              </w:rPr>
            </w:pPr>
            <w:proofErr w:type="spellStart"/>
            <w:r w:rsidRPr="009F2364">
              <w:rPr>
                <w:rFonts w:ascii="Calibri" w:hAnsi="Calibri" w:cs="Calibri"/>
                <w:b/>
                <w:bCs/>
                <w:color w:val="000000"/>
                <w:sz w:val="20"/>
                <w:szCs w:val="20"/>
              </w:rPr>
              <w:t>Obs</w:t>
            </w:r>
            <w:proofErr w:type="spellEnd"/>
          </w:p>
        </w:tc>
      </w:tr>
      <w:tr w:rsidR="00F70AA0" w:rsidRPr="009F2364" w14:paraId="601AFD63" w14:textId="77777777" w:rsidTr="00F70AA0">
        <w:trPr>
          <w:trHeight w:val="295"/>
        </w:trPr>
        <w:tc>
          <w:tcPr>
            <w:tcW w:w="2828" w:type="dxa"/>
            <w:tcBorders>
              <w:top w:val="nil"/>
              <w:left w:val="nil"/>
              <w:bottom w:val="nil"/>
              <w:right w:val="nil"/>
            </w:tcBorders>
            <w:shd w:val="clear" w:color="D9D9D9" w:fill="D9D9D9"/>
            <w:noWrap/>
            <w:vAlign w:val="center"/>
            <w:hideMark/>
          </w:tcPr>
          <w:p w14:paraId="6818125F" w14:textId="77777777" w:rsidR="00F70AA0" w:rsidRPr="009F2364" w:rsidRDefault="00F70AA0">
            <w:pPr>
              <w:rPr>
                <w:rFonts w:ascii="Calibri" w:hAnsi="Calibri" w:cs="Calibri"/>
                <w:color w:val="000000"/>
                <w:sz w:val="20"/>
                <w:szCs w:val="20"/>
              </w:rPr>
            </w:pPr>
            <w:r w:rsidRPr="009F2364">
              <w:rPr>
                <w:rFonts w:ascii="Calibri" w:hAnsi="Calibri" w:cs="Calibri"/>
                <w:color w:val="000000"/>
                <w:sz w:val="20"/>
                <w:szCs w:val="20"/>
              </w:rPr>
              <w:t>Sales price ($)</w:t>
            </w:r>
          </w:p>
        </w:tc>
        <w:tc>
          <w:tcPr>
            <w:tcW w:w="1200" w:type="dxa"/>
            <w:tcBorders>
              <w:top w:val="nil"/>
              <w:left w:val="nil"/>
              <w:bottom w:val="nil"/>
              <w:right w:val="nil"/>
            </w:tcBorders>
            <w:shd w:val="clear" w:color="D9D9D9" w:fill="D9D9D9"/>
            <w:noWrap/>
            <w:vAlign w:val="bottom"/>
            <w:hideMark/>
          </w:tcPr>
          <w:p w14:paraId="7E85ACA3"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962,466</w:t>
            </w:r>
          </w:p>
        </w:tc>
        <w:tc>
          <w:tcPr>
            <w:tcW w:w="1360" w:type="dxa"/>
            <w:tcBorders>
              <w:top w:val="nil"/>
              <w:left w:val="nil"/>
              <w:bottom w:val="nil"/>
              <w:right w:val="nil"/>
            </w:tcBorders>
            <w:shd w:val="clear" w:color="D9D9D9" w:fill="D9D9D9"/>
            <w:noWrap/>
            <w:vAlign w:val="bottom"/>
            <w:hideMark/>
          </w:tcPr>
          <w:p w14:paraId="693CD928"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4,585,683</w:t>
            </w:r>
          </w:p>
        </w:tc>
        <w:tc>
          <w:tcPr>
            <w:tcW w:w="1053" w:type="dxa"/>
            <w:tcBorders>
              <w:top w:val="nil"/>
              <w:left w:val="nil"/>
              <w:bottom w:val="nil"/>
              <w:right w:val="nil"/>
            </w:tcBorders>
            <w:shd w:val="clear" w:color="D9D9D9" w:fill="D9D9D9"/>
            <w:noWrap/>
            <w:vAlign w:val="bottom"/>
            <w:hideMark/>
          </w:tcPr>
          <w:p w14:paraId="5E63BBC1"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33,000</w:t>
            </w:r>
          </w:p>
        </w:tc>
        <w:tc>
          <w:tcPr>
            <w:tcW w:w="1380" w:type="dxa"/>
            <w:tcBorders>
              <w:top w:val="nil"/>
              <w:left w:val="nil"/>
              <w:bottom w:val="nil"/>
              <w:right w:val="nil"/>
            </w:tcBorders>
            <w:shd w:val="clear" w:color="D9D9D9" w:fill="D9D9D9"/>
            <w:noWrap/>
            <w:vAlign w:val="bottom"/>
            <w:hideMark/>
          </w:tcPr>
          <w:p w14:paraId="3326CE5B"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395,000,000</w:t>
            </w:r>
          </w:p>
        </w:tc>
        <w:tc>
          <w:tcPr>
            <w:tcW w:w="960" w:type="dxa"/>
            <w:tcBorders>
              <w:top w:val="nil"/>
              <w:left w:val="nil"/>
              <w:bottom w:val="nil"/>
              <w:right w:val="nil"/>
            </w:tcBorders>
            <w:shd w:val="clear" w:color="D9D9D9" w:fill="D9D9D9"/>
            <w:noWrap/>
            <w:vAlign w:val="bottom"/>
            <w:hideMark/>
          </w:tcPr>
          <w:p w14:paraId="72C73A78"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31,982</w:t>
            </w:r>
          </w:p>
        </w:tc>
      </w:tr>
      <w:tr w:rsidR="00F70AA0" w:rsidRPr="009F2364" w14:paraId="71015521" w14:textId="77777777" w:rsidTr="00F70AA0">
        <w:trPr>
          <w:trHeight w:val="295"/>
        </w:trPr>
        <w:tc>
          <w:tcPr>
            <w:tcW w:w="2828" w:type="dxa"/>
            <w:tcBorders>
              <w:top w:val="nil"/>
              <w:left w:val="nil"/>
              <w:bottom w:val="nil"/>
              <w:right w:val="nil"/>
            </w:tcBorders>
            <w:shd w:val="clear" w:color="auto" w:fill="auto"/>
            <w:noWrap/>
            <w:vAlign w:val="center"/>
            <w:hideMark/>
          </w:tcPr>
          <w:p w14:paraId="0677991B" w14:textId="77777777" w:rsidR="00F70AA0" w:rsidRPr="009F2364" w:rsidRDefault="00F70AA0">
            <w:pPr>
              <w:rPr>
                <w:rFonts w:ascii="Calibri" w:hAnsi="Calibri" w:cs="Calibri"/>
                <w:color w:val="000000"/>
                <w:sz w:val="20"/>
                <w:szCs w:val="20"/>
              </w:rPr>
            </w:pPr>
            <w:r w:rsidRPr="009F2364">
              <w:rPr>
                <w:rFonts w:ascii="Calibri" w:hAnsi="Calibri" w:cs="Calibri"/>
                <w:color w:val="000000"/>
                <w:sz w:val="20"/>
                <w:szCs w:val="20"/>
              </w:rPr>
              <w:t>Price Per Square Foot</w:t>
            </w:r>
          </w:p>
        </w:tc>
        <w:tc>
          <w:tcPr>
            <w:tcW w:w="1200" w:type="dxa"/>
            <w:tcBorders>
              <w:top w:val="nil"/>
              <w:left w:val="nil"/>
              <w:bottom w:val="nil"/>
              <w:right w:val="nil"/>
            </w:tcBorders>
            <w:shd w:val="clear" w:color="auto" w:fill="auto"/>
            <w:noWrap/>
            <w:vAlign w:val="bottom"/>
            <w:hideMark/>
          </w:tcPr>
          <w:p w14:paraId="353967FE"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266.37</w:t>
            </w:r>
          </w:p>
        </w:tc>
        <w:tc>
          <w:tcPr>
            <w:tcW w:w="1360" w:type="dxa"/>
            <w:tcBorders>
              <w:top w:val="nil"/>
              <w:left w:val="nil"/>
              <w:bottom w:val="nil"/>
              <w:right w:val="nil"/>
            </w:tcBorders>
            <w:shd w:val="clear" w:color="auto" w:fill="auto"/>
            <w:noWrap/>
            <w:vAlign w:val="bottom"/>
            <w:hideMark/>
          </w:tcPr>
          <w:p w14:paraId="7657442D"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126.36</w:t>
            </w:r>
          </w:p>
        </w:tc>
        <w:tc>
          <w:tcPr>
            <w:tcW w:w="1053" w:type="dxa"/>
            <w:tcBorders>
              <w:top w:val="nil"/>
              <w:left w:val="nil"/>
              <w:bottom w:val="nil"/>
              <w:right w:val="nil"/>
            </w:tcBorders>
            <w:shd w:val="clear" w:color="auto" w:fill="auto"/>
            <w:noWrap/>
            <w:vAlign w:val="bottom"/>
            <w:hideMark/>
          </w:tcPr>
          <w:p w14:paraId="0CDF6870"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29.96704</w:t>
            </w:r>
          </w:p>
        </w:tc>
        <w:tc>
          <w:tcPr>
            <w:tcW w:w="1380" w:type="dxa"/>
            <w:tcBorders>
              <w:top w:val="nil"/>
              <w:left w:val="nil"/>
              <w:bottom w:val="nil"/>
              <w:right w:val="nil"/>
            </w:tcBorders>
            <w:shd w:val="clear" w:color="auto" w:fill="auto"/>
            <w:noWrap/>
            <w:vAlign w:val="bottom"/>
            <w:hideMark/>
          </w:tcPr>
          <w:p w14:paraId="71B64E5A"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665</w:t>
            </w:r>
          </w:p>
        </w:tc>
        <w:tc>
          <w:tcPr>
            <w:tcW w:w="960" w:type="dxa"/>
            <w:tcBorders>
              <w:top w:val="nil"/>
              <w:left w:val="nil"/>
              <w:bottom w:val="nil"/>
              <w:right w:val="nil"/>
            </w:tcBorders>
            <w:shd w:val="clear" w:color="auto" w:fill="auto"/>
            <w:noWrap/>
            <w:vAlign w:val="bottom"/>
            <w:hideMark/>
          </w:tcPr>
          <w:p w14:paraId="79E8BF57"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31,982</w:t>
            </w:r>
          </w:p>
        </w:tc>
      </w:tr>
      <w:tr w:rsidR="00F70AA0" w:rsidRPr="009F2364" w14:paraId="3A438ABF" w14:textId="77777777" w:rsidTr="00F70AA0">
        <w:trPr>
          <w:trHeight w:val="295"/>
        </w:trPr>
        <w:tc>
          <w:tcPr>
            <w:tcW w:w="2828" w:type="dxa"/>
            <w:tcBorders>
              <w:top w:val="nil"/>
              <w:left w:val="nil"/>
              <w:bottom w:val="nil"/>
              <w:right w:val="nil"/>
            </w:tcBorders>
            <w:shd w:val="clear" w:color="D9D9D9" w:fill="D9D9D9"/>
            <w:noWrap/>
            <w:vAlign w:val="center"/>
            <w:hideMark/>
          </w:tcPr>
          <w:p w14:paraId="5B2BBBD0" w14:textId="77777777" w:rsidR="00F70AA0" w:rsidRPr="009F2364" w:rsidRDefault="00F70AA0">
            <w:pPr>
              <w:rPr>
                <w:rFonts w:ascii="Calibri" w:hAnsi="Calibri" w:cs="Calibri"/>
                <w:color w:val="000000"/>
                <w:sz w:val="20"/>
                <w:szCs w:val="20"/>
              </w:rPr>
            </w:pPr>
            <w:r w:rsidRPr="009F2364">
              <w:rPr>
                <w:rFonts w:ascii="Calibri" w:hAnsi="Calibri" w:cs="Calibri"/>
                <w:color w:val="000000"/>
                <w:sz w:val="20"/>
                <w:szCs w:val="20"/>
              </w:rPr>
              <w:t>Dist. to Sandy (miles)</w:t>
            </w:r>
          </w:p>
        </w:tc>
        <w:tc>
          <w:tcPr>
            <w:tcW w:w="1200" w:type="dxa"/>
            <w:tcBorders>
              <w:top w:val="nil"/>
              <w:left w:val="nil"/>
              <w:bottom w:val="nil"/>
              <w:right w:val="nil"/>
            </w:tcBorders>
            <w:shd w:val="clear" w:color="D9D9D9" w:fill="D9D9D9"/>
            <w:noWrap/>
            <w:vAlign w:val="bottom"/>
            <w:hideMark/>
          </w:tcPr>
          <w:p w14:paraId="37D0F8E6"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0.467</w:t>
            </w:r>
          </w:p>
        </w:tc>
        <w:tc>
          <w:tcPr>
            <w:tcW w:w="1360" w:type="dxa"/>
            <w:tcBorders>
              <w:top w:val="nil"/>
              <w:left w:val="nil"/>
              <w:bottom w:val="nil"/>
              <w:right w:val="nil"/>
            </w:tcBorders>
            <w:shd w:val="clear" w:color="D9D9D9" w:fill="D9D9D9"/>
            <w:noWrap/>
            <w:vAlign w:val="bottom"/>
            <w:hideMark/>
          </w:tcPr>
          <w:p w14:paraId="66E95D54"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0.28</w:t>
            </w:r>
          </w:p>
        </w:tc>
        <w:tc>
          <w:tcPr>
            <w:tcW w:w="1053" w:type="dxa"/>
            <w:tcBorders>
              <w:top w:val="nil"/>
              <w:left w:val="nil"/>
              <w:bottom w:val="nil"/>
              <w:right w:val="nil"/>
            </w:tcBorders>
            <w:shd w:val="clear" w:color="D9D9D9" w:fill="D9D9D9"/>
            <w:noWrap/>
            <w:vAlign w:val="bottom"/>
            <w:hideMark/>
          </w:tcPr>
          <w:p w14:paraId="21AE4E30"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0.030039</w:t>
            </w:r>
          </w:p>
        </w:tc>
        <w:tc>
          <w:tcPr>
            <w:tcW w:w="1380" w:type="dxa"/>
            <w:tcBorders>
              <w:top w:val="nil"/>
              <w:left w:val="nil"/>
              <w:bottom w:val="nil"/>
              <w:right w:val="nil"/>
            </w:tcBorders>
            <w:shd w:val="clear" w:color="D9D9D9" w:fill="D9D9D9"/>
            <w:noWrap/>
            <w:vAlign w:val="bottom"/>
            <w:hideMark/>
          </w:tcPr>
          <w:p w14:paraId="36FA45C7"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1.0</w:t>
            </w:r>
          </w:p>
        </w:tc>
        <w:tc>
          <w:tcPr>
            <w:tcW w:w="960" w:type="dxa"/>
            <w:tcBorders>
              <w:top w:val="nil"/>
              <w:left w:val="nil"/>
              <w:bottom w:val="nil"/>
              <w:right w:val="nil"/>
            </w:tcBorders>
            <w:shd w:val="clear" w:color="D9D9D9" w:fill="D9D9D9"/>
            <w:noWrap/>
            <w:vAlign w:val="bottom"/>
            <w:hideMark/>
          </w:tcPr>
          <w:p w14:paraId="3A53C1EE"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31,982</w:t>
            </w:r>
          </w:p>
        </w:tc>
      </w:tr>
      <w:tr w:rsidR="00F70AA0" w:rsidRPr="009F2364" w14:paraId="16E1ADA7" w14:textId="77777777" w:rsidTr="00F70AA0">
        <w:trPr>
          <w:trHeight w:val="295"/>
        </w:trPr>
        <w:tc>
          <w:tcPr>
            <w:tcW w:w="2828" w:type="dxa"/>
            <w:tcBorders>
              <w:top w:val="nil"/>
              <w:left w:val="nil"/>
              <w:bottom w:val="nil"/>
              <w:right w:val="nil"/>
            </w:tcBorders>
            <w:shd w:val="clear" w:color="auto" w:fill="auto"/>
            <w:noWrap/>
            <w:vAlign w:val="center"/>
            <w:hideMark/>
          </w:tcPr>
          <w:p w14:paraId="4C2E9F92" w14:textId="77777777" w:rsidR="00F70AA0" w:rsidRPr="009F2364" w:rsidRDefault="00F70AA0">
            <w:pPr>
              <w:rPr>
                <w:rFonts w:ascii="Calibri" w:hAnsi="Calibri" w:cs="Calibri"/>
                <w:color w:val="000000"/>
                <w:sz w:val="20"/>
                <w:szCs w:val="20"/>
              </w:rPr>
            </w:pPr>
            <w:r w:rsidRPr="009F2364">
              <w:rPr>
                <w:rFonts w:ascii="Calibri" w:hAnsi="Calibri" w:cs="Calibri"/>
                <w:color w:val="000000"/>
                <w:sz w:val="20"/>
                <w:szCs w:val="20"/>
              </w:rPr>
              <w:t>Dist. to FEMA (miles)</w:t>
            </w:r>
          </w:p>
        </w:tc>
        <w:tc>
          <w:tcPr>
            <w:tcW w:w="1200" w:type="dxa"/>
            <w:tcBorders>
              <w:top w:val="nil"/>
              <w:left w:val="nil"/>
              <w:bottom w:val="nil"/>
              <w:right w:val="nil"/>
            </w:tcBorders>
            <w:shd w:val="clear" w:color="auto" w:fill="auto"/>
            <w:noWrap/>
            <w:vAlign w:val="bottom"/>
            <w:hideMark/>
          </w:tcPr>
          <w:p w14:paraId="33AC8A3E"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0.580</w:t>
            </w:r>
          </w:p>
        </w:tc>
        <w:tc>
          <w:tcPr>
            <w:tcW w:w="1360" w:type="dxa"/>
            <w:tcBorders>
              <w:top w:val="nil"/>
              <w:left w:val="nil"/>
              <w:bottom w:val="nil"/>
              <w:right w:val="nil"/>
            </w:tcBorders>
            <w:shd w:val="clear" w:color="auto" w:fill="auto"/>
            <w:noWrap/>
            <w:vAlign w:val="bottom"/>
            <w:hideMark/>
          </w:tcPr>
          <w:p w14:paraId="7D403D11"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0.37</w:t>
            </w:r>
          </w:p>
        </w:tc>
        <w:tc>
          <w:tcPr>
            <w:tcW w:w="1053" w:type="dxa"/>
            <w:tcBorders>
              <w:top w:val="nil"/>
              <w:left w:val="nil"/>
              <w:bottom w:val="nil"/>
              <w:right w:val="nil"/>
            </w:tcBorders>
            <w:shd w:val="clear" w:color="auto" w:fill="auto"/>
            <w:noWrap/>
            <w:vAlign w:val="bottom"/>
            <w:hideMark/>
          </w:tcPr>
          <w:p w14:paraId="2473BF7F"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9.12E-05</w:t>
            </w:r>
          </w:p>
        </w:tc>
        <w:tc>
          <w:tcPr>
            <w:tcW w:w="1380" w:type="dxa"/>
            <w:tcBorders>
              <w:top w:val="nil"/>
              <w:left w:val="nil"/>
              <w:bottom w:val="nil"/>
              <w:right w:val="nil"/>
            </w:tcBorders>
            <w:shd w:val="clear" w:color="auto" w:fill="auto"/>
            <w:noWrap/>
            <w:vAlign w:val="bottom"/>
            <w:hideMark/>
          </w:tcPr>
          <w:p w14:paraId="07862A9B"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2.0</w:t>
            </w:r>
          </w:p>
        </w:tc>
        <w:tc>
          <w:tcPr>
            <w:tcW w:w="960" w:type="dxa"/>
            <w:tcBorders>
              <w:top w:val="nil"/>
              <w:left w:val="nil"/>
              <w:bottom w:val="nil"/>
              <w:right w:val="nil"/>
            </w:tcBorders>
            <w:shd w:val="clear" w:color="auto" w:fill="auto"/>
            <w:noWrap/>
            <w:vAlign w:val="bottom"/>
            <w:hideMark/>
          </w:tcPr>
          <w:p w14:paraId="411D2A04"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31,982</w:t>
            </w:r>
          </w:p>
        </w:tc>
      </w:tr>
      <w:tr w:rsidR="00F70AA0" w:rsidRPr="009F2364" w14:paraId="284822C6" w14:textId="77777777" w:rsidTr="00F70AA0">
        <w:trPr>
          <w:trHeight w:val="295"/>
        </w:trPr>
        <w:tc>
          <w:tcPr>
            <w:tcW w:w="2828" w:type="dxa"/>
            <w:tcBorders>
              <w:top w:val="nil"/>
              <w:left w:val="nil"/>
              <w:bottom w:val="nil"/>
              <w:right w:val="nil"/>
            </w:tcBorders>
            <w:shd w:val="clear" w:color="D9D9D9" w:fill="D9D9D9"/>
            <w:noWrap/>
            <w:vAlign w:val="bottom"/>
            <w:hideMark/>
          </w:tcPr>
          <w:p w14:paraId="6ACF9D1B" w14:textId="77777777" w:rsidR="00F70AA0" w:rsidRPr="009F2364" w:rsidRDefault="00F70AA0">
            <w:pPr>
              <w:rPr>
                <w:rFonts w:ascii="Calibri" w:hAnsi="Calibri" w:cs="Calibri"/>
                <w:color w:val="000000"/>
                <w:sz w:val="20"/>
                <w:szCs w:val="20"/>
              </w:rPr>
            </w:pPr>
            <w:r w:rsidRPr="009F2364">
              <w:rPr>
                <w:rFonts w:ascii="Calibri" w:hAnsi="Calibri" w:cs="Calibri"/>
                <w:color w:val="000000"/>
                <w:sz w:val="20"/>
                <w:szCs w:val="20"/>
              </w:rPr>
              <w:t>Sandy Dist. - FEMA Dist. (Miles)</w:t>
            </w:r>
          </w:p>
        </w:tc>
        <w:tc>
          <w:tcPr>
            <w:tcW w:w="1200" w:type="dxa"/>
            <w:tcBorders>
              <w:top w:val="nil"/>
              <w:left w:val="nil"/>
              <w:bottom w:val="nil"/>
              <w:right w:val="nil"/>
            </w:tcBorders>
            <w:shd w:val="clear" w:color="D9D9D9" w:fill="D9D9D9"/>
            <w:noWrap/>
            <w:vAlign w:val="bottom"/>
            <w:hideMark/>
          </w:tcPr>
          <w:p w14:paraId="39CB12EA"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-0.113</w:t>
            </w:r>
          </w:p>
        </w:tc>
        <w:tc>
          <w:tcPr>
            <w:tcW w:w="1360" w:type="dxa"/>
            <w:tcBorders>
              <w:top w:val="nil"/>
              <w:left w:val="nil"/>
              <w:bottom w:val="nil"/>
              <w:right w:val="nil"/>
            </w:tcBorders>
            <w:shd w:val="clear" w:color="D9D9D9" w:fill="D9D9D9"/>
            <w:noWrap/>
            <w:vAlign w:val="bottom"/>
            <w:hideMark/>
          </w:tcPr>
          <w:p w14:paraId="3EA16975"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0.28</w:t>
            </w:r>
          </w:p>
        </w:tc>
        <w:tc>
          <w:tcPr>
            <w:tcW w:w="1053" w:type="dxa"/>
            <w:tcBorders>
              <w:top w:val="nil"/>
              <w:left w:val="nil"/>
              <w:bottom w:val="nil"/>
              <w:right w:val="nil"/>
            </w:tcBorders>
            <w:shd w:val="clear" w:color="D9D9D9" w:fill="D9D9D9"/>
            <w:noWrap/>
            <w:vAlign w:val="bottom"/>
            <w:hideMark/>
          </w:tcPr>
          <w:p w14:paraId="51578E29"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-1.08788</w:t>
            </w:r>
          </w:p>
        </w:tc>
        <w:tc>
          <w:tcPr>
            <w:tcW w:w="1380" w:type="dxa"/>
            <w:tcBorders>
              <w:top w:val="nil"/>
              <w:left w:val="nil"/>
              <w:bottom w:val="nil"/>
              <w:right w:val="nil"/>
            </w:tcBorders>
            <w:shd w:val="clear" w:color="D9D9D9" w:fill="D9D9D9"/>
            <w:noWrap/>
            <w:vAlign w:val="bottom"/>
            <w:hideMark/>
          </w:tcPr>
          <w:p w14:paraId="26F5A0E0"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1.0</w:t>
            </w:r>
          </w:p>
        </w:tc>
        <w:tc>
          <w:tcPr>
            <w:tcW w:w="960" w:type="dxa"/>
            <w:tcBorders>
              <w:top w:val="nil"/>
              <w:left w:val="nil"/>
              <w:bottom w:val="nil"/>
              <w:right w:val="nil"/>
            </w:tcBorders>
            <w:shd w:val="clear" w:color="D9D9D9" w:fill="D9D9D9"/>
            <w:noWrap/>
            <w:vAlign w:val="bottom"/>
            <w:hideMark/>
          </w:tcPr>
          <w:p w14:paraId="38296D05"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31,982</w:t>
            </w:r>
          </w:p>
        </w:tc>
      </w:tr>
      <w:tr w:rsidR="00F70AA0" w:rsidRPr="009F2364" w14:paraId="0926B0BC" w14:textId="77777777" w:rsidTr="00F70AA0">
        <w:trPr>
          <w:trHeight w:val="295"/>
        </w:trPr>
        <w:tc>
          <w:tcPr>
            <w:tcW w:w="2828" w:type="dxa"/>
            <w:tcBorders>
              <w:top w:val="nil"/>
              <w:left w:val="nil"/>
              <w:bottom w:val="nil"/>
              <w:right w:val="nil"/>
            </w:tcBorders>
            <w:shd w:val="clear" w:color="auto" w:fill="auto"/>
            <w:noWrap/>
            <w:vAlign w:val="center"/>
            <w:hideMark/>
          </w:tcPr>
          <w:p w14:paraId="726AC41E" w14:textId="77777777" w:rsidR="00F70AA0" w:rsidRPr="009F2364" w:rsidRDefault="00F70AA0">
            <w:pPr>
              <w:rPr>
                <w:rFonts w:ascii="Calibri" w:hAnsi="Calibri" w:cs="Calibri"/>
                <w:color w:val="000000"/>
                <w:sz w:val="20"/>
                <w:szCs w:val="20"/>
              </w:rPr>
            </w:pPr>
            <w:r w:rsidRPr="009F2364">
              <w:rPr>
                <w:rFonts w:ascii="Calibri" w:hAnsi="Calibri" w:cs="Calibri"/>
                <w:color w:val="000000"/>
                <w:sz w:val="20"/>
                <w:szCs w:val="20"/>
              </w:rPr>
              <w:t>Dist. to shoreline (miles)</w:t>
            </w:r>
          </w:p>
        </w:tc>
        <w:tc>
          <w:tcPr>
            <w:tcW w:w="1200" w:type="dxa"/>
            <w:tcBorders>
              <w:top w:val="nil"/>
              <w:left w:val="nil"/>
              <w:bottom w:val="nil"/>
              <w:right w:val="nil"/>
            </w:tcBorders>
            <w:shd w:val="clear" w:color="auto" w:fill="auto"/>
            <w:noWrap/>
            <w:vAlign w:val="bottom"/>
            <w:hideMark/>
          </w:tcPr>
          <w:p w14:paraId="04F2A9F7"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0.932</w:t>
            </w:r>
          </w:p>
        </w:tc>
        <w:tc>
          <w:tcPr>
            <w:tcW w:w="1360" w:type="dxa"/>
            <w:tcBorders>
              <w:top w:val="nil"/>
              <w:left w:val="nil"/>
              <w:bottom w:val="nil"/>
              <w:right w:val="nil"/>
            </w:tcBorders>
            <w:shd w:val="clear" w:color="auto" w:fill="auto"/>
            <w:noWrap/>
            <w:vAlign w:val="bottom"/>
            <w:hideMark/>
          </w:tcPr>
          <w:p w14:paraId="6C6F0DF8"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0.65</w:t>
            </w:r>
          </w:p>
        </w:tc>
        <w:tc>
          <w:tcPr>
            <w:tcW w:w="1053" w:type="dxa"/>
            <w:tcBorders>
              <w:top w:val="nil"/>
              <w:left w:val="nil"/>
              <w:bottom w:val="nil"/>
              <w:right w:val="nil"/>
            </w:tcBorders>
            <w:shd w:val="clear" w:color="auto" w:fill="auto"/>
            <w:noWrap/>
            <w:vAlign w:val="bottom"/>
            <w:hideMark/>
          </w:tcPr>
          <w:p w14:paraId="7B77C77F"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0.00324</w:t>
            </w:r>
          </w:p>
        </w:tc>
        <w:tc>
          <w:tcPr>
            <w:tcW w:w="1380" w:type="dxa"/>
            <w:tcBorders>
              <w:top w:val="nil"/>
              <w:left w:val="nil"/>
              <w:bottom w:val="nil"/>
              <w:right w:val="nil"/>
            </w:tcBorders>
            <w:shd w:val="clear" w:color="auto" w:fill="auto"/>
            <w:noWrap/>
            <w:vAlign w:val="bottom"/>
            <w:hideMark/>
          </w:tcPr>
          <w:p w14:paraId="3D2D3C43"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7.2</w:t>
            </w:r>
          </w:p>
        </w:tc>
        <w:tc>
          <w:tcPr>
            <w:tcW w:w="960" w:type="dxa"/>
            <w:tcBorders>
              <w:top w:val="nil"/>
              <w:left w:val="nil"/>
              <w:bottom w:val="nil"/>
              <w:right w:val="nil"/>
            </w:tcBorders>
            <w:shd w:val="clear" w:color="auto" w:fill="auto"/>
            <w:noWrap/>
            <w:vAlign w:val="bottom"/>
            <w:hideMark/>
          </w:tcPr>
          <w:p w14:paraId="0B6DAA30"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30,002</w:t>
            </w:r>
          </w:p>
        </w:tc>
      </w:tr>
      <w:tr w:rsidR="00F70AA0" w:rsidRPr="009F2364" w14:paraId="3C30654F" w14:textId="77777777" w:rsidTr="00F70AA0">
        <w:trPr>
          <w:trHeight w:val="295"/>
        </w:trPr>
        <w:tc>
          <w:tcPr>
            <w:tcW w:w="2828" w:type="dxa"/>
            <w:tcBorders>
              <w:top w:val="nil"/>
              <w:left w:val="nil"/>
              <w:bottom w:val="nil"/>
              <w:right w:val="nil"/>
            </w:tcBorders>
            <w:shd w:val="clear" w:color="D9D9D9" w:fill="D9D9D9"/>
            <w:noWrap/>
            <w:vAlign w:val="center"/>
            <w:hideMark/>
          </w:tcPr>
          <w:p w14:paraId="2C56BFBD" w14:textId="77777777" w:rsidR="00F70AA0" w:rsidRPr="009F2364" w:rsidRDefault="00F70AA0">
            <w:pPr>
              <w:rPr>
                <w:rFonts w:ascii="Calibri" w:hAnsi="Calibri" w:cs="Calibri"/>
                <w:color w:val="000000"/>
                <w:sz w:val="20"/>
                <w:szCs w:val="20"/>
              </w:rPr>
            </w:pPr>
            <w:r w:rsidRPr="009F2364">
              <w:rPr>
                <w:rFonts w:ascii="Calibri" w:hAnsi="Calibri" w:cs="Calibri"/>
                <w:color w:val="000000"/>
                <w:sz w:val="20"/>
                <w:szCs w:val="20"/>
              </w:rPr>
              <w:t># Units</w:t>
            </w:r>
          </w:p>
        </w:tc>
        <w:tc>
          <w:tcPr>
            <w:tcW w:w="1200" w:type="dxa"/>
            <w:tcBorders>
              <w:top w:val="nil"/>
              <w:left w:val="nil"/>
              <w:bottom w:val="nil"/>
              <w:right w:val="nil"/>
            </w:tcBorders>
            <w:shd w:val="clear" w:color="D9D9D9" w:fill="D9D9D9"/>
            <w:noWrap/>
            <w:vAlign w:val="bottom"/>
            <w:hideMark/>
          </w:tcPr>
          <w:p w14:paraId="17068C48"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4.25</w:t>
            </w:r>
          </w:p>
        </w:tc>
        <w:tc>
          <w:tcPr>
            <w:tcW w:w="1360" w:type="dxa"/>
            <w:tcBorders>
              <w:top w:val="nil"/>
              <w:left w:val="nil"/>
              <w:bottom w:val="nil"/>
              <w:right w:val="nil"/>
            </w:tcBorders>
            <w:shd w:val="clear" w:color="D9D9D9" w:fill="D9D9D9"/>
            <w:noWrap/>
            <w:vAlign w:val="bottom"/>
            <w:hideMark/>
          </w:tcPr>
          <w:p w14:paraId="714058BB"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15.33</w:t>
            </w:r>
          </w:p>
        </w:tc>
        <w:tc>
          <w:tcPr>
            <w:tcW w:w="1053" w:type="dxa"/>
            <w:tcBorders>
              <w:top w:val="nil"/>
              <w:left w:val="nil"/>
              <w:bottom w:val="nil"/>
              <w:right w:val="nil"/>
            </w:tcBorders>
            <w:shd w:val="clear" w:color="D9D9D9" w:fill="D9D9D9"/>
            <w:noWrap/>
            <w:vAlign w:val="bottom"/>
            <w:hideMark/>
          </w:tcPr>
          <w:p w14:paraId="4C98EF13"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1</w:t>
            </w:r>
          </w:p>
        </w:tc>
        <w:tc>
          <w:tcPr>
            <w:tcW w:w="1380" w:type="dxa"/>
            <w:tcBorders>
              <w:top w:val="nil"/>
              <w:left w:val="nil"/>
              <w:bottom w:val="nil"/>
              <w:right w:val="nil"/>
            </w:tcBorders>
            <w:shd w:val="clear" w:color="D9D9D9" w:fill="D9D9D9"/>
            <w:noWrap/>
            <w:vAlign w:val="bottom"/>
            <w:hideMark/>
          </w:tcPr>
          <w:p w14:paraId="22189088"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698</w:t>
            </w:r>
          </w:p>
        </w:tc>
        <w:tc>
          <w:tcPr>
            <w:tcW w:w="960" w:type="dxa"/>
            <w:tcBorders>
              <w:top w:val="nil"/>
              <w:left w:val="nil"/>
              <w:bottom w:val="nil"/>
              <w:right w:val="nil"/>
            </w:tcBorders>
            <w:shd w:val="clear" w:color="D9D9D9" w:fill="D9D9D9"/>
            <w:noWrap/>
            <w:vAlign w:val="bottom"/>
            <w:hideMark/>
          </w:tcPr>
          <w:p w14:paraId="236D8913"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31,982</w:t>
            </w:r>
          </w:p>
        </w:tc>
      </w:tr>
      <w:tr w:rsidR="00F70AA0" w:rsidRPr="009F2364" w14:paraId="71661750" w14:textId="77777777" w:rsidTr="00F70AA0">
        <w:trPr>
          <w:trHeight w:val="295"/>
        </w:trPr>
        <w:tc>
          <w:tcPr>
            <w:tcW w:w="2828" w:type="dxa"/>
            <w:tcBorders>
              <w:top w:val="nil"/>
              <w:left w:val="nil"/>
              <w:bottom w:val="nil"/>
              <w:right w:val="nil"/>
            </w:tcBorders>
            <w:shd w:val="clear" w:color="auto" w:fill="auto"/>
            <w:noWrap/>
            <w:vAlign w:val="center"/>
            <w:hideMark/>
          </w:tcPr>
          <w:p w14:paraId="27AB6583" w14:textId="77777777" w:rsidR="00F70AA0" w:rsidRPr="009F2364" w:rsidRDefault="00F70AA0">
            <w:pPr>
              <w:rPr>
                <w:rFonts w:ascii="Calibri" w:hAnsi="Calibri" w:cs="Calibri"/>
                <w:color w:val="000000"/>
                <w:sz w:val="20"/>
                <w:szCs w:val="20"/>
              </w:rPr>
            </w:pPr>
            <w:r w:rsidRPr="009F2364">
              <w:rPr>
                <w:rFonts w:ascii="Calibri" w:hAnsi="Calibri" w:cs="Calibri"/>
                <w:color w:val="000000"/>
                <w:sz w:val="20"/>
                <w:szCs w:val="20"/>
              </w:rPr>
              <w:t>Bldg. Area (ft2)</w:t>
            </w:r>
          </w:p>
        </w:tc>
        <w:tc>
          <w:tcPr>
            <w:tcW w:w="1200" w:type="dxa"/>
            <w:tcBorders>
              <w:top w:val="nil"/>
              <w:left w:val="nil"/>
              <w:bottom w:val="nil"/>
              <w:right w:val="nil"/>
            </w:tcBorders>
            <w:shd w:val="clear" w:color="auto" w:fill="auto"/>
            <w:noWrap/>
            <w:vAlign w:val="bottom"/>
            <w:hideMark/>
          </w:tcPr>
          <w:p w14:paraId="756215F3"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4,259.62</w:t>
            </w:r>
          </w:p>
        </w:tc>
        <w:tc>
          <w:tcPr>
            <w:tcW w:w="1360" w:type="dxa"/>
            <w:tcBorders>
              <w:top w:val="nil"/>
              <w:left w:val="nil"/>
              <w:bottom w:val="nil"/>
              <w:right w:val="nil"/>
            </w:tcBorders>
            <w:shd w:val="clear" w:color="auto" w:fill="auto"/>
            <w:noWrap/>
            <w:vAlign w:val="bottom"/>
            <w:hideMark/>
          </w:tcPr>
          <w:p w14:paraId="4EF0F06E"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14,940.36</w:t>
            </w:r>
          </w:p>
        </w:tc>
        <w:tc>
          <w:tcPr>
            <w:tcW w:w="1053" w:type="dxa"/>
            <w:tcBorders>
              <w:top w:val="nil"/>
              <w:left w:val="nil"/>
              <w:bottom w:val="nil"/>
              <w:right w:val="nil"/>
            </w:tcBorders>
            <w:shd w:val="clear" w:color="auto" w:fill="auto"/>
            <w:noWrap/>
            <w:vAlign w:val="bottom"/>
            <w:hideMark/>
          </w:tcPr>
          <w:p w14:paraId="0C448E32"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356</w:t>
            </w:r>
          </w:p>
        </w:tc>
        <w:tc>
          <w:tcPr>
            <w:tcW w:w="1380" w:type="dxa"/>
            <w:tcBorders>
              <w:top w:val="nil"/>
              <w:left w:val="nil"/>
              <w:bottom w:val="nil"/>
              <w:right w:val="nil"/>
            </w:tcBorders>
            <w:shd w:val="clear" w:color="auto" w:fill="auto"/>
            <w:noWrap/>
            <w:vAlign w:val="bottom"/>
            <w:hideMark/>
          </w:tcPr>
          <w:p w14:paraId="3D0FCCA9"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690,703</w:t>
            </w:r>
          </w:p>
        </w:tc>
        <w:tc>
          <w:tcPr>
            <w:tcW w:w="960" w:type="dxa"/>
            <w:tcBorders>
              <w:top w:val="nil"/>
              <w:left w:val="nil"/>
              <w:bottom w:val="nil"/>
              <w:right w:val="nil"/>
            </w:tcBorders>
            <w:shd w:val="clear" w:color="auto" w:fill="auto"/>
            <w:noWrap/>
            <w:vAlign w:val="bottom"/>
            <w:hideMark/>
          </w:tcPr>
          <w:p w14:paraId="222B4796"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31,982</w:t>
            </w:r>
          </w:p>
        </w:tc>
      </w:tr>
      <w:tr w:rsidR="00F70AA0" w:rsidRPr="009F2364" w14:paraId="61F5D958" w14:textId="77777777" w:rsidTr="00F70AA0">
        <w:trPr>
          <w:trHeight w:val="295"/>
        </w:trPr>
        <w:tc>
          <w:tcPr>
            <w:tcW w:w="2828" w:type="dxa"/>
            <w:tcBorders>
              <w:top w:val="nil"/>
              <w:left w:val="nil"/>
              <w:bottom w:val="nil"/>
              <w:right w:val="nil"/>
            </w:tcBorders>
            <w:shd w:val="clear" w:color="D9D9D9" w:fill="D9D9D9"/>
            <w:noWrap/>
            <w:vAlign w:val="center"/>
            <w:hideMark/>
          </w:tcPr>
          <w:p w14:paraId="74993F63" w14:textId="77777777" w:rsidR="00F70AA0" w:rsidRPr="009F2364" w:rsidRDefault="00F70AA0">
            <w:pPr>
              <w:rPr>
                <w:rFonts w:ascii="Calibri" w:hAnsi="Calibri" w:cs="Calibri"/>
                <w:color w:val="000000"/>
                <w:sz w:val="20"/>
                <w:szCs w:val="20"/>
              </w:rPr>
            </w:pPr>
            <w:r w:rsidRPr="009F2364">
              <w:rPr>
                <w:rFonts w:ascii="Calibri" w:hAnsi="Calibri" w:cs="Calibri"/>
                <w:color w:val="000000"/>
                <w:sz w:val="20"/>
                <w:szCs w:val="20"/>
              </w:rPr>
              <w:t>Lot Area (ft2)</w:t>
            </w:r>
          </w:p>
        </w:tc>
        <w:tc>
          <w:tcPr>
            <w:tcW w:w="1200" w:type="dxa"/>
            <w:tcBorders>
              <w:top w:val="nil"/>
              <w:left w:val="nil"/>
              <w:bottom w:val="nil"/>
              <w:right w:val="nil"/>
            </w:tcBorders>
            <w:shd w:val="clear" w:color="D9D9D9" w:fill="D9D9D9"/>
            <w:noWrap/>
            <w:vAlign w:val="bottom"/>
            <w:hideMark/>
          </w:tcPr>
          <w:p w14:paraId="3621A563"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3,331.72</w:t>
            </w:r>
          </w:p>
        </w:tc>
        <w:tc>
          <w:tcPr>
            <w:tcW w:w="1360" w:type="dxa"/>
            <w:tcBorders>
              <w:top w:val="nil"/>
              <w:left w:val="nil"/>
              <w:bottom w:val="nil"/>
              <w:right w:val="nil"/>
            </w:tcBorders>
            <w:shd w:val="clear" w:color="D9D9D9" w:fill="D9D9D9"/>
            <w:noWrap/>
            <w:vAlign w:val="bottom"/>
            <w:hideMark/>
          </w:tcPr>
          <w:p w14:paraId="43D29A83"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4,146.67</w:t>
            </w:r>
          </w:p>
        </w:tc>
        <w:tc>
          <w:tcPr>
            <w:tcW w:w="1053" w:type="dxa"/>
            <w:tcBorders>
              <w:top w:val="nil"/>
              <w:left w:val="nil"/>
              <w:bottom w:val="nil"/>
              <w:right w:val="nil"/>
            </w:tcBorders>
            <w:shd w:val="clear" w:color="D9D9D9" w:fill="D9D9D9"/>
            <w:noWrap/>
            <w:vAlign w:val="bottom"/>
            <w:hideMark/>
          </w:tcPr>
          <w:p w14:paraId="017E5B60"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353</w:t>
            </w:r>
          </w:p>
        </w:tc>
        <w:tc>
          <w:tcPr>
            <w:tcW w:w="1380" w:type="dxa"/>
            <w:tcBorders>
              <w:top w:val="nil"/>
              <w:left w:val="nil"/>
              <w:bottom w:val="nil"/>
              <w:right w:val="nil"/>
            </w:tcBorders>
            <w:shd w:val="clear" w:color="D9D9D9" w:fill="D9D9D9"/>
            <w:noWrap/>
            <w:vAlign w:val="bottom"/>
            <w:hideMark/>
          </w:tcPr>
          <w:p w14:paraId="678425CC"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273,600</w:t>
            </w:r>
          </w:p>
        </w:tc>
        <w:tc>
          <w:tcPr>
            <w:tcW w:w="960" w:type="dxa"/>
            <w:tcBorders>
              <w:top w:val="nil"/>
              <w:left w:val="nil"/>
              <w:bottom w:val="nil"/>
              <w:right w:val="nil"/>
            </w:tcBorders>
            <w:shd w:val="clear" w:color="D9D9D9" w:fill="D9D9D9"/>
            <w:noWrap/>
            <w:vAlign w:val="bottom"/>
            <w:hideMark/>
          </w:tcPr>
          <w:p w14:paraId="53AAFE97"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31,982</w:t>
            </w:r>
          </w:p>
        </w:tc>
      </w:tr>
      <w:tr w:rsidR="00F70AA0" w:rsidRPr="009F2364" w14:paraId="0BB525B6" w14:textId="77777777" w:rsidTr="00F70AA0">
        <w:trPr>
          <w:trHeight w:val="295"/>
        </w:trPr>
        <w:tc>
          <w:tcPr>
            <w:tcW w:w="2828" w:type="dxa"/>
            <w:tcBorders>
              <w:top w:val="nil"/>
              <w:left w:val="nil"/>
              <w:bottom w:val="nil"/>
              <w:right w:val="nil"/>
            </w:tcBorders>
            <w:shd w:val="clear" w:color="auto" w:fill="auto"/>
            <w:noWrap/>
            <w:vAlign w:val="center"/>
            <w:hideMark/>
          </w:tcPr>
          <w:p w14:paraId="2F9FF3CA" w14:textId="77777777" w:rsidR="00F70AA0" w:rsidRPr="009F2364" w:rsidRDefault="00F70AA0">
            <w:pPr>
              <w:rPr>
                <w:rFonts w:ascii="Calibri" w:hAnsi="Calibri" w:cs="Calibri"/>
                <w:color w:val="000000"/>
                <w:sz w:val="20"/>
                <w:szCs w:val="20"/>
              </w:rPr>
            </w:pPr>
            <w:r w:rsidRPr="009F2364">
              <w:rPr>
                <w:rFonts w:ascii="Calibri" w:hAnsi="Calibri" w:cs="Calibri"/>
                <w:color w:val="000000"/>
                <w:sz w:val="20"/>
                <w:szCs w:val="20"/>
              </w:rPr>
              <w:t>Building Age</w:t>
            </w:r>
          </w:p>
        </w:tc>
        <w:tc>
          <w:tcPr>
            <w:tcW w:w="1200" w:type="dxa"/>
            <w:tcBorders>
              <w:top w:val="nil"/>
              <w:left w:val="nil"/>
              <w:bottom w:val="nil"/>
              <w:right w:val="nil"/>
            </w:tcBorders>
            <w:shd w:val="clear" w:color="auto" w:fill="auto"/>
            <w:noWrap/>
            <w:vAlign w:val="bottom"/>
            <w:hideMark/>
          </w:tcPr>
          <w:p w14:paraId="265858A9"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73.67</w:t>
            </w:r>
          </w:p>
        </w:tc>
        <w:tc>
          <w:tcPr>
            <w:tcW w:w="1360" w:type="dxa"/>
            <w:tcBorders>
              <w:top w:val="nil"/>
              <w:left w:val="nil"/>
              <w:bottom w:val="nil"/>
              <w:right w:val="nil"/>
            </w:tcBorders>
            <w:shd w:val="clear" w:color="auto" w:fill="auto"/>
            <w:noWrap/>
            <w:vAlign w:val="bottom"/>
            <w:hideMark/>
          </w:tcPr>
          <w:p w14:paraId="264E21CA"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29.23</w:t>
            </w:r>
          </w:p>
        </w:tc>
        <w:tc>
          <w:tcPr>
            <w:tcW w:w="1053" w:type="dxa"/>
            <w:tcBorders>
              <w:top w:val="nil"/>
              <w:left w:val="nil"/>
              <w:bottom w:val="nil"/>
              <w:right w:val="nil"/>
            </w:tcBorders>
            <w:shd w:val="clear" w:color="auto" w:fill="auto"/>
            <w:noWrap/>
            <w:vAlign w:val="bottom"/>
            <w:hideMark/>
          </w:tcPr>
          <w:p w14:paraId="1E73066C"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w:t>
            </w:r>
          </w:p>
        </w:tc>
        <w:tc>
          <w:tcPr>
            <w:tcW w:w="1380" w:type="dxa"/>
            <w:tcBorders>
              <w:top w:val="nil"/>
              <w:left w:val="nil"/>
              <w:bottom w:val="nil"/>
              <w:right w:val="nil"/>
            </w:tcBorders>
            <w:shd w:val="clear" w:color="auto" w:fill="auto"/>
            <w:noWrap/>
            <w:vAlign w:val="bottom"/>
            <w:hideMark/>
          </w:tcPr>
          <w:p w14:paraId="3DCA0E03"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213.0</w:t>
            </w:r>
          </w:p>
        </w:tc>
        <w:tc>
          <w:tcPr>
            <w:tcW w:w="960" w:type="dxa"/>
            <w:tcBorders>
              <w:top w:val="nil"/>
              <w:left w:val="nil"/>
              <w:bottom w:val="nil"/>
              <w:right w:val="nil"/>
            </w:tcBorders>
            <w:shd w:val="clear" w:color="auto" w:fill="auto"/>
            <w:noWrap/>
            <w:vAlign w:val="bottom"/>
            <w:hideMark/>
          </w:tcPr>
          <w:p w14:paraId="0B886C73"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31,978</w:t>
            </w:r>
          </w:p>
        </w:tc>
      </w:tr>
      <w:tr w:rsidR="00F70AA0" w:rsidRPr="009F2364" w14:paraId="15B66CD6" w14:textId="77777777" w:rsidTr="00F70AA0">
        <w:trPr>
          <w:trHeight w:val="295"/>
        </w:trPr>
        <w:tc>
          <w:tcPr>
            <w:tcW w:w="2828" w:type="dxa"/>
            <w:tcBorders>
              <w:top w:val="nil"/>
              <w:left w:val="nil"/>
              <w:bottom w:val="nil"/>
              <w:right w:val="nil"/>
            </w:tcBorders>
            <w:shd w:val="clear" w:color="D9D9D9" w:fill="D9D9D9"/>
            <w:noWrap/>
            <w:vAlign w:val="center"/>
            <w:hideMark/>
          </w:tcPr>
          <w:p w14:paraId="3F7477DB" w14:textId="77777777" w:rsidR="00F70AA0" w:rsidRPr="009F2364" w:rsidRDefault="00F70AA0">
            <w:pPr>
              <w:rPr>
                <w:rFonts w:ascii="Calibri" w:hAnsi="Calibri" w:cs="Calibri"/>
                <w:color w:val="000000"/>
                <w:sz w:val="20"/>
                <w:szCs w:val="20"/>
              </w:rPr>
            </w:pPr>
            <w:r w:rsidRPr="009F2364">
              <w:rPr>
                <w:rFonts w:ascii="Calibri" w:hAnsi="Calibri" w:cs="Calibri"/>
                <w:color w:val="000000"/>
                <w:sz w:val="20"/>
                <w:szCs w:val="20"/>
              </w:rPr>
              <w:t># floors</w:t>
            </w:r>
          </w:p>
        </w:tc>
        <w:tc>
          <w:tcPr>
            <w:tcW w:w="1200" w:type="dxa"/>
            <w:tcBorders>
              <w:top w:val="nil"/>
              <w:left w:val="nil"/>
              <w:bottom w:val="nil"/>
              <w:right w:val="nil"/>
            </w:tcBorders>
            <w:shd w:val="clear" w:color="D9D9D9" w:fill="D9D9D9"/>
            <w:noWrap/>
            <w:vAlign w:val="bottom"/>
            <w:hideMark/>
          </w:tcPr>
          <w:p w14:paraId="7226E3FF"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2.37</w:t>
            </w:r>
          </w:p>
        </w:tc>
        <w:tc>
          <w:tcPr>
            <w:tcW w:w="1360" w:type="dxa"/>
            <w:tcBorders>
              <w:top w:val="nil"/>
              <w:left w:val="nil"/>
              <w:bottom w:val="nil"/>
              <w:right w:val="nil"/>
            </w:tcBorders>
            <w:shd w:val="clear" w:color="D9D9D9" w:fill="D9D9D9"/>
            <w:noWrap/>
            <w:vAlign w:val="bottom"/>
            <w:hideMark/>
          </w:tcPr>
          <w:p w14:paraId="5905ACDD"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1.18</w:t>
            </w:r>
          </w:p>
        </w:tc>
        <w:tc>
          <w:tcPr>
            <w:tcW w:w="1053" w:type="dxa"/>
            <w:tcBorders>
              <w:top w:val="nil"/>
              <w:left w:val="nil"/>
              <w:bottom w:val="nil"/>
              <w:right w:val="nil"/>
            </w:tcBorders>
            <w:shd w:val="clear" w:color="D9D9D9" w:fill="D9D9D9"/>
            <w:noWrap/>
            <w:vAlign w:val="bottom"/>
            <w:hideMark/>
          </w:tcPr>
          <w:p w14:paraId="49C5849C"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w:t>
            </w:r>
          </w:p>
        </w:tc>
        <w:tc>
          <w:tcPr>
            <w:tcW w:w="1380" w:type="dxa"/>
            <w:tcBorders>
              <w:top w:val="nil"/>
              <w:left w:val="nil"/>
              <w:bottom w:val="nil"/>
              <w:right w:val="nil"/>
            </w:tcBorders>
            <w:shd w:val="clear" w:color="D9D9D9" w:fill="D9D9D9"/>
            <w:noWrap/>
            <w:vAlign w:val="bottom"/>
            <w:hideMark/>
          </w:tcPr>
          <w:p w14:paraId="397D24D9"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36.0</w:t>
            </w:r>
          </w:p>
        </w:tc>
        <w:tc>
          <w:tcPr>
            <w:tcW w:w="960" w:type="dxa"/>
            <w:tcBorders>
              <w:top w:val="nil"/>
              <w:left w:val="nil"/>
              <w:bottom w:val="nil"/>
              <w:right w:val="nil"/>
            </w:tcBorders>
            <w:shd w:val="clear" w:color="D9D9D9" w:fill="D9D9D9"/>
            <w:noWrap/>
            <w:vAlign w:val="bottom"/>
            <w:hideMark/>
          </w:tcPr>
          <w:p w14:paraId="10FB59F3"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31,982</w:t>
            </w:r>
          </w:p>
        </w:tc>
      </w:tr>
      <w:tr w:rsidR="00F70AA0" w:rsidRPr="009F2364" w14:paraId="12471985" w14:textId="77777777" w:rsidTr="00F70AA0">
        <w:trPr>
          <w:trHeight w:val="295"/>
        </w:trPr>
        <w:tc>
          <w:tcPr>
            <w:tcW w:w="2828" w:type="dxa"/>
            <w:tcBorders>
              <w:top w:val="nil"/>
              <w:left w:val="nil"/>
              <w:bottom w:val="nil"/>
              <w:right w:val="nil"/>
            </w:tcBorders>
            <w:shd w:val="clear" w:color="auto" w:fill="auto"/>
            <w:noWrap/>
            <w:vAlign w:val="center"/>
            <w:hideMark/>
          </w:tcPr>
          <w:p w14:paraId="127A1201" w14:textId="77777777" w:rsidR="00F70AA0" w:rsidRPr="009F2364" w:rsidRDefault="00F70AA0">
            <w:pPr>
              <w:rPr>
                <w:rFonts w:ascii="Calibri" w:hAnsi="Calibri" w:cs="Calibri"/>
                <w:color w:val="000000"/>
                <w:sz w:val="20"/>
                <w:szCs w:val="20"/>
              </w:rPr>
            </w:pPr>
            <w:r w:rsidRPr="009F2364">
              <w:rPr>
                <w:rFonts w:ascii="Calibri" w:hAnsi="Calibri" w:cs="Calibri"/>
                <w:color w:val="000000"/>
                <w:sz w:val="20"/>
                <w:szCs w:val="20"/>
              </w:rPr>
              <w:t>Manhattan</w:t>
            </w:r>
          </w:p>
        </w:tc>
        <w:tc>
          <w:tcPr>
            <w:tcW w:w="1200" w:type="dxa"/>
            <w:tcBorders>
              <w:top w:val="nil"/>
              <w:left w:val="nil"/>
              <w:bottom w:val="nil"/>
              <w:right w:val="nil"/>
            </w:tcBorders>
            <w:shd w:val="clear" w:color="auto" w:fill="auto"/>
            <w:noWrap/>
            <w:vAlign w:val="bottom"/>
            <w:hideMark/>
          </w:tcPr>
          <w:p w14:paraId="7011760B"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0.04</w:t>
            </w:r>
          </w:p>
        </w:tc>
        <w:tc>
          <w:tcPr>
            <w:tcW w:w="1360" w:type="dxa"/>
            <w:tcBorders>
              <w:top w:val="nil"/>
              <w:left w:val="nil"/>
              <w:bottom w:val="nil"/>
              <w:right w:val="nil"/>
            </w:tcBorders>
            <w:shd w:val="clear" w:color="auto" w:fill="auto"/>
            <w:noWrap/>
            <w:vAlign w:val="bottom"/>
            <w:hideMark/>
          </w:tcPr>
          <w:p w14:paraId="68EA8159"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0.20</w:t>
            </w:r>
          </w:p>
        </w:tc>
        <w:tc>
          <w:tcPr>
            <w:tcW w:w="1053" w:type="dxa"/>
            <w:tcBorders>
              <w:top w:val="nil"/>
              <w:left w:val="nil"/>
              <w:bottom w:val="nil"/>
              <w:right w:val="nil"/>
            </w:tcBorders>
            <w:shd w:val="clear" w:color="auto" w:fill="auto"/>
            <w:noWrap/>
            <w:vAlign w:val="bottom"/>
            <w:hideMark/>
          </w:tcPr>
          <w:p w14:paraId="07712F31"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w:t>
            </w:r>
          </w:p>
        </w:tc>
        <w:tc>
          <w:tcPr>
            <w:tcW w:w="1380" w:type="dxa"/>
            <w:tcBorders>
              <w:top w:val="nil"/>
              <w:left w:val="nil"/>
              <w:bottom w:val="nil"/>
              <w:right w:val="nil"/>
            </w:tcBorders>
            <w:shd w:val="clear" w:color="auto" w:fill="auto"/>
            <w:noWrap/>
            <w:vAlign w:val="bottom"/>
            <w:hideMark/>
          </w:tcPr>
          <w:p w14:paraId="1C2C27F2"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1.0</w:t>
            </w:r>
          </w:p>
        </w:tc>
        <w:tc>
          <w:tcPr>
            <w:tcW w:w="960" w:type="dxa"/>
            <w:tcBorders>
              <w:top w:val="nil"/>
              <w:left w:val="nil"/>
              <w:bottom w:val="nil"/>
              <w:right w:val="nil"/>
            </w:tcBorders>
            <w:shd w:val="clear" w:color="auto" w:fill="auto"/>
            <w:noWrap/>
            <w:vAlign w:val="bottom"/>
            <w:hideMark/>
          </w:tcPr>
          <w:p w14:paraId="65052AC8"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31,982</w:t>
            </w:r>
          </w:p>
        </w:tc>
      </w:tr>
      <w:tr w:rsidR="00F70AA0" w:rsidRPr="009F2364" w14:paraId="613F2274" w14:textId="77777777" w:rsidTr="00F70AA0">
        <w:trPr>
          <w:trHeight w:val="295"/>
        </w:trPr>
        <w:tc>
          <w:tcPr>
            <w:tcW w:w="2828" w:type="dxa"/>
            <w:tcBorders>
              <w:top w:val="nil"/>
              <w:left w:val="nil"/>
              <w:bottom w:val="nil"/>
              <w:right w:val="nil"/>
            </w:tcBorders>
            <w:shd w:val="clear" w:color="D9D9D9" w:fill="D9D9D9"/>
            <w:noWrap/>
            <w:vAlign w:val="center"/>
            <w:hideMark/>
          </w:tcPr>
          <w:p w14:paraId="4CAAB525" w14:textId="77777777" w:rsidR="00F70AA0" w:rsidRPr="009F2364" w:rsidRDefault="00F70AA0">
            <w:pPr>
              <w:rPr>
                <w:rFonts w:ascii="Calibri" w:hAnsi="Calibri" w:cs="Calibri"/>
                <w:color w:val="000000"/>
                <w:sz w:val="20"/>
                <w:szCs w:val="20"/>
              </w:rPr>
            </w:pPr>
            <w:r w:rsidRPr="009F2364">
              <w:rPr>
                <w:rFonts w:ascii="Calibri" w:hAnsi="Calibri" w:cs="Calibri"/>
                <w:color w:val="000000"/>
                <w:sz w:val="20"/>
                <w:szCs w:val="20"/>
              </w:rPr>
              <w:t>Bronx</w:t>
            </w:r>
          </w:p>
        </w:tc>
        <w:tc>
          <w:tcPr>
            <w:tcW w:w="1200" w:type="dxa"/>
            <w:tcBorders>
              <w:top w:val="nil"/>
              <w:left w:val="nil"/>
              <w:bottom w:val="nil"/>
              <w:right w:val="nil"/>
            </w:tcBorders>
            <w:shd w:val="clear" w:color="D9D9D9" w:fill="D9D9D9"/>
            <w:noWrap/>
            <w:vAlign w:val="bottom"/>
            <w:hideMark/>
          </w:tcPr>
          <w:p w14:paraId="4BF41E43"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0.16</w:t>
            </w:r>
          </w:p>
        </w:tc>
        <w:tc>
          <w:tcPr>
            <w:tcW w:w="1360" w:type="dxa"/>
            <w:tcBorders>
              <w:top w:val="nil"/>
              <w:left w:val="nil"/>
              <w:bottom w:val="nil"/>
              <w:right w:val="nil"/>
            </w:tcBorders>
            <w:shd w:val="clear" w:color="D9D9D9" w:fill="D9D9D9"/>
            <w:noWrap/>
            <w:vAlign w:val="bottom"/>
            <w:hideMark/>
          </w:tcPr>
          <w:p w14:paraId="6F39D7AA"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0.36</w:t>
            </w:r>
          </w:p>
        </w:tc>
        <w:tc>
          <w:tcPr>
            <w:tcW w:w="1053" w:type="dxa"/>
            <w:tcBorders>
              <w:top w:val="nil"/>
              <w:left w:val="nil"/>
              <w:bottom w:val="nil"/>
              <w:right w:val="nil"/>
            </w:tcBorders>
            <w:shd w:val="clear" w:color="D9D9D9" w:fill="D9D9D9"/>
            <w:noWrap/>
            <w:vAlign w:val="bottom"/>
            <w:hideMark/>
          </w:tcPr>
          <w:p w14:paraId="1913811B"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w:t>
            </w:r>
          </w:p>
        </w:tc>
        <w:tc>
          <w:tcPr>
            <w:tcW w:w="1380" w:type="dxa"/>
            <w:tcBorders>
              <w:top w:val="nil"/>
              <w:left w:val="nil"/>
              <w:bottom w:val="nil"/>
              <w:right w:val="nil"/>
            </w:tcBorders>
            <w:shd w:val="clear" w:color="D9D9D9" w:fill="D9D9D9"/>
            <w:noWrap/>
            <w:vAlign w:val="bottom"/>
            <w:hideMark/>
          </w:tcPr>
          <w:p w14:paraId="1C4CB576"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1.0</w:t>
            </w:r>
          </w:p>
        </w:tc>
        <w:tc>
          <w:tcPr>
            <w:tcW w:w="960" w:type="dxa"/>
            <w:tcBorders>
              <w:top w:val="nil"/>
              <w:left w:val="nil"/>
              <w:bottom w:val="nil"/>
              <w:right w:val="nil"/>
            </w:tcBorders>
            <w:shd w:val="clear" w:color="D9D9D9" w:fill="D9D9D9"/>
            <w:noWrap/>
            <w:vAlign w:val="bottom"/>
            <w:hideMark/>
          </w:tcPr>
          <w:p w14:paraId="45DA42BD"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31,982</w:t>
            </w:r>
          </w:p>
        </w:tc>
      </w:tr>
      <w:tr w:rsidR="00F70AA0" w:rsidRPr="009F2364" w14:paraId="3BB15C0F" w14:textId="77777777" w:rsidTr="00F70AA0">
        <w:trPr>
          <w:trHeight w:val="295"/>
        </w:trPr>
        <w:tc>
          <w:tcPr>
            <w:tcW w:w="2828" w:type="dxa"/>
            <w:tcBorders>
              <w:top w:val="nil"/>
              <w:left w:val="nil"/>
              <w:bottom w:val="nil"/>
              <w:right w:val="nil"/>
            </w:tcBorders>
            <w:shd w:val="clear" w:color="auto" w:fill="auto"/>
            <w:noWrap/>
            <w:vAlign w:val="center"/>
            <w:hideMark/>
          </w:tcPr>
          <w:p w14:paraId="4E199528" w14:textId="77777777" w:rsidR="00F70AA0" w:rsidRPr="009F2364" w:rsidRDefault="00F70AA0">
            <w:pPr>
              <w:rPr>
                <w:rFonts w:ascii="Calibri" w:hAnsi="Calibri" w:cs="Calibri"/>
                <w:color w:val="000000"/>
                <w:sz w:val="20"/>
                <w:szCs w:val="20"/>
              </w:rPr>
            </w:pPr>
            <w:r w:rsidRPr="009F2364">
              <w:rPr>
                <w:rFonts w:ascii="Calibri" w:hAnsi="Calibri" w:cs="Calibri"/>
                <w:color w:val="000000"/>
                <w:sz w:val="20"/>
                <w:szCs w:val="20"/>
              </w:rPr>
              <w:t>Brooklyn</w:t>
            </w:r>
          </w:p>
        </w:tc>
        <w:tc>
          <w:tcPr>
            <w:tcW w:w="1200" w:type="dxa"/>
            <w:tcBorders>
              <w:top w:val="nil"/>
              <w:left w:val="nil"/>
              <w:bottom w:val="nil"/>
              <w:right w:val="nil"/>
            </w:tcBorders>
            <w:shd w:val="clear" w:color="auto" w:fill="auto"/>
            <w:noWrap/>
            <w:vAlign w:val="bottom"/>
            <w:hideMark/>
          </w:tcPr>
          <w:p w14:paraId="467BF147"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0.28</w:t>
            </w:r>
          </w:p>
        </w:tc>
        <w:tc>
          <w:tcPr>
            <w:tcW w:w="1360" w:type="dxa"/>
            <w:tcBorders>
              <w:top w:val="nil"/>
              <w:left w:val="nil"/>
              <w:bottom w:val="nil"/>
              <w:right w:val="nil"/>
            </w:tcBorders>
            <w:shd w:val="clear" w:color="auto" w:fill="auto"/>
            <w:noWrap/>
            <w:vAlign w:val="bottom"/>
            <w:hideMark/>
          </w:tcPr>
          <w:p w14:paraId="1BE41127"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0.45</w:t>
            </w:r>
          </w:p>
        </w:tc>
        <w:tc>
          <w:tcPr>
            <w:tcW w:w="1053" w:type="dxa"/>
            <w:tcBorders>
              <w:top w:val="nil"/>
              <w:left w:val="nil"/>
              <w:bottom w:val="nil"/>
              <w:right w:val="nil"/>
            </w:tcBorders>
            <w:shd w:val="clear" w:color="auto" w:fill="auto"/>
            <w:noWrap/>
            <w:vAlign w:val="bottom"/>
            <w:hideMark/>
          </w:tcPr>
          <w:p w14:paraId="1772CF46"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w:t>
            </w:r>
          </w:p>
        </w:tc>
        <w:tc>
          <w:tcPr>
            <w:tcW w:w="1380" w:type="dxa"/>
            <w:tcBorders>
              <w:top w:val="nil"/>
              <w:left w:val="nil"/>
              <w:bottom w:val="nil"/>
              <w:right w:val="nil"/>
            </w:tcBorders>
            <w:shd w:val="clear" w:color="auto" w:fill="auto"/>
            <w:noWrap/>
            <w:vAlign w:val="bottom"/>
            <w:hideMark/>
          </w:tcPr>
          <w:p w14:paraId="2A867C8F"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1.0</w:t>
            </w:r>
          </w:p>
        </w:tc>
        <w:tc>
          <w:tcPr>
            <w:tcW w:w="960" w:type="dxa"/>
            <w:tcBorders>
              <w:top w:val="nil"/>
              <w:left w:val="nil"/>
              <w:bottom w:val="nil"/>
              <w:right w:val="nil"/>
            </w:tcBorders>
            <w:shd w:val="clear" w:color="auto" w:fill="auto"/>
            <w:noWrap/>
            <w:vAlign w:val="bottom"/>
            <w:hideMark/>
          </w:tcPr>
          <w:p w14:paraId="04654269"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31,982</w:t>
            </w:r>
          </w:p>
        </w:tc>
      </w:tr>
      <w:tr w:rsidR="00F70AA0" w:rsidRPr="009F2364" w14:paraId="3383853D" w14:textId="77777777" w:rsidTr="00F70AA0">
        <w:trPr>
          <w:trHeight w:val="295"/>
        </w:trPr>
        <w:tc>
          <w:tcPr>
            <w:tcW w:w="2828" w:type="dxa"/>
            <w:tcBorders>
              <w:top w:val="nil"/>
              <w:left w:val="nil"/>
              <w:bottom w:val="nil"/>
              <w:right w:val="nil"/>
            </w:tcBorders>
            <w:shd w:val="clear" w:color="D9D9D9" w:fill="D9D9D9"/>
            <w:noWrap/>
            <w:vAlign w:val="center"/>
            <w:hideMark/>
          </w:tcPr>
          <w:p w14:paraId="1E2581D8" w14:textId="77777777" w:rsidR="00F70AA0" w:rsidRPr="009F2364" w:rsidRDefault="00F70AA0">
            <w:pPr>
              <w:rPr>
                <w:rFonts w:ascii="Calibri" w:hAnsi="Calibri" w:cs="Calibri"/>
                <w:color w:val="000000"/>
                <w:sz w:val="20"/>
                <w:szCs w:val="20"/>
              </w:rPr>
            </w:pPr>
            <w:r w:rsidRPr="009F2364">
              <w:rPr>
                <w:rFonts w:ascii="Calibri" w:hAnsi="Calibri" w:cs="Calibri"/>
                <w:color w:val="000000"/>
                <w:sz w:val="20"/>
                <w:szCs w:val="20"/>
              </w:rPr>
              <w:t>Queens</w:t>
            </w:r>
          </w:p>
        </w:tc>
        <w:tc>
          <w:tcPr>
            <w:tcW w:w="1200" w:type="dxa"/>
            <w:tcBorders>
              <w:top w:val="nil"/>
              <w:left w:val="nil"/>
              <w:bottom w:val="nil"/>
              <w:right w:val="nil"/>
            </w:tcBorders>
            <w:shd w:val="clear" w:color="D9D9D9" w:fill="D9D9D9"/>
            <w:noWrap/>
            <w:vAlign w:val="bottom"/>
            <w:hideMark/>
          </w:tcPr>
          <w:p w14:paraId="1FF2FF82"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0.34</w:t>
            </w:r>
          </w:p>
        </w:tc>
        <w:tc>
          <w:tcPr>
            <w:tcW w:w="1360" w:type="dxa"/>
            <w:tcBorders>
              <w:top w:val="nil"/>
              <w:left w:val="nil"/>
              <w:bottom w:val="nil"/>
              <w:right w:val="nil"/>
            </w:tcBorders>
            <w:shd w:val="clear" w:color="D9D9D9" w:fill="D9D9D9"/>
            <w:noWrap/>
            <w:vAlign w:val="bottom"/>
            <w:hideMark/>
          </w:tcPr>
          <w:p w14:paraId="4840CF01"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0.47</w:t>
            </w:r>
          </w:p>
        </w:tc>
        <w:tc>
          <w:tcPr>
            <w:tcW w:w="1053" w:type="dxa"/>
            <w:tcBorders>
              <w:top w:val="nil"/>
              <w:left w:val="nil"/>
              <w:bottom w:val="nil"/>
              <w:right w:val="nil"/>
            </w:tcBorders>
            <w:shd w:val="clear" w:color="D9D9D9" w:fill="D9D9D9"/>
            <w:noWrap/>
            <w:vAlign w:val="bottom"/>
            <w:hideMark/>
          </w:tcPr>
          <w:p w14:paraId="79523CB7"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w:t>
            </w:r>
          </w:p>
        </w:tc>
        <w:tc>
          <w:tcPr>
            <w:tcW w:w="1380" w:type="dxa"/>
            <w:tcBorders>
              <w:top w:val="nil"/>
              <w:left w:val="nil"/>
              <w:bottom w:val="nil"/>
              <w:right w:val="nil"/>
            </w:tcBorders>
            <w:shd w:val="clear" w:color="D9D9D9" w:fill="D9D9D9"/>
            <w:noWrap/>
            <w:vAlign w:val="bottom"/>
            <w:hideMark/>
          </w:tcPr>
          <w:p w14:paraId="62F03323"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1.0</w:t>
            </w:r>
          </w:p>
        </w:tc>
        <w:tc>
          <w:tcPr>
            <w:tcW w:w="960" w:type="dxa"/>
            <w:tcBorders>
              <w:top w:val="nil"/>
              <w:left w:val="nil"/>
              <w:bottom w:val="nil"/>
              <w:right w:val="nil"/>
            </w:tcBorders>
            <w:shd w:val="clear" w:color="D9D9D9" w:fill="D9D9D9"/>
            <w:noWrap/>
            <w:vAlign w:val="bottom"/>
            <w:hideMark/>
          </w:tcPr>
          <w:p w14:paraId="33E6ACE4"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31,982</w:t>
            </w:r>
          </w:p>
        </w:tc>
      </w:tr>
      <w:tr w:rsidR="00F70AA0" w:rsidRPr="009F2364" w14:paraId="353D6ED6" w14:textId="77777777" w:rsidTr="00F70AA0">
        <w:trPr>
          <w:trHeight w:val="310"/>
        </w:trPr>
        <w:tc>
          <w:tcPr>
            <w:tcW w:w="2828" w:type="dxa"/>
            <w:tcBorders>
              <w:top w:val="nil"/>
              <w:left w:val="nil"/>
              <w:bottom w:val="single" w:sz="8" w:space="0" w:color="000000"/>
              <w:right w:val="nil"/>
            </w:tcBorders>
            <w:shd w:val="clear" w:color="auto" w:fill="auto"/>
            <w:noWrap/>
            <w:vAlign w:val="center"/>
            <w:hideMark/>
          </w:tcPr>
          <w:p w14:paraId="579B49E7" w14:textId="77777777" w:rsidR="00F70AA0" w:rsidRPr="009F2364" w:rsidRDefault="00F70AA0">
            <w:pPr>
              <w:rPr>
                <w:rFonts w:ascii="Calibri" w:hAnsi="Calibri" w:cs="Calibri"/>
                <w:color w:val="000000"/>
                <w:sz w:val="20"/>
                <w:szCs w:val="20"/>
              </w:rPr>
            </w:pPr>
            <w:r w:rsidRPr="009F2364">
              <w:rPr>
                <w:rFonts w:ascii="Calibri" w:hAnsi="Calibri" w:cs="Calibri"/>
                <w:color w:val="000000"/>
                <w:sz w:val="20"/>
                <w:szCs w:val="20"/>
              </w:rPr>
              <w:t>Staten Island</w:t>
            </w:r>
          </w:p>
        </w:tc>
        <w:tc>
          <w:tcPr>
            <w:tcW w:w="1200" w:type="dxa"/>
            <w:tcBorders>
              <w:top w:val="nil"/>
              <w:left w:val="nil"/>
              <w:bottom w:val="single" w:sz="4" w:space="0" w:color="000000"/>
              <w:right w:val="nil"/>
            </w:tcBorders>
            <w:shd w:val="clear" w:color="auto" w:fill="auto"/>
            <w:noWrap/>
            <w:vAlign w:val="bottom"/>
            <w:hideMark/>
          </w:tcPr>
          <w:p w14:paraId="7B6F0D76"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0.19</w:t>
            </w:r>
          </w:p>
        </w:tc>
        <w:tc>
          <w:tcPr>
            <w:tcW w:w="1360" w:type="dxa"/>
            <w:tcBorders>
              <w:top w:val="nil"/>
              <w:left w:val="nil"/>
              <w:bottom w:val="single" w:sz="4" w:space="0" w:color="000000"/>
              <w:right w:val="nil"/>
            </w:tcBorders>
            <w:shd w:val="clear" w:color="auto" w:fill="auto"/>
            <w:noWrap/>
            <w:vAlign w:val="bottom"/>
            <w:hideMark/>
          </w:tcPr>
          <w:p w14:paraId="6E64734E"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0.39</w:t>
            </w:r>
          </w:p>
        </w:tc>
        <w:tc>
          <w:tcPr>
            <w:tcW w:w="1053" w:type="dxa"/>
            <w:tcBorders>
              <w:top w:val="nil"/>
              <w:left w:val="nil"/>
              <w:bottom w:val="single" w:sz="4" w:space="0" w:color="000000"/>
              <w:right w:val="nil"/>
            </w:tcBorders>
            <w:shd w:val="clear" w:color="auto" w:fill="auto"/>
            <w:noWrap/>
            <w:vAlign w:val="bottom"/>
            <w:hideMark/>
          </w:tcPr>
          <w:p w14:paraId="1EA878E4"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0</w:t>
            </w:r>
          </w:p>
        </w:tc>
        <w:tc>
          <w:tcPr>
            <w:tcW w:w="1380" w:type="dxa"/>
            <w:tcBorders>
              <w:top w:val="nil"/>
              <w:left w:val="nil"/>
              <w:bottom w:val="single" w:sz="4" w:space="0" w:color="000000"/>
              <w:right w:val="nil"/>
            </w:tcBorders>
            <w:shd w:val="clear" w:color="auto" w:fill="auto"/>
            <w:noWrap/>
            <w:vAlign w:val="bottom"/>
            <w:hideMark/>
          </w:tcPr>
          <w:p w14:paraId="4032788D"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1.0</w:t>
            </w:r>
          </w:p>
        </w:tc>
        <w:tc>
          <w:tcPr>
            <w:tcW w:w="960" w:type="dxa"/>
            <w:tcBorders>
              <w:top w:val="nil"/>
              <w:left w:val="nil"/>
              <w:bottom w:val="single" w:sz="4" w:space="0" w:color="000000"/>
              <w:right w:val="nil"/>
            </w:tcBorders>
            <w:shd w:val="clear" w:color="auto" w:fill="auto"/>
            <w:noWrap/>
            <w:vAlign w:val="bottom"/>
            <w:hideMark/>
          </w:tcPr>
          <w:p w14:paraId="6B479C20" w14:textId="77777777" w:rsidR="00F70AA0" w:rsidRPr="009F2364" w:rsidRDefault="00F70AA0">
            <w:pPr>
              <w:jc w:val="right"/>
              <w:rPr>
                <w:rFonts w:ascii="Calibri" w:hAnsi="Calibri" w:cs="Calibri"/>
                <w:color w:val="000000"/>
                <w:sz w:val="20"/>
                <w:szCs w:val="20"/>
              </w:rPr>
            </w:pPr>
            <w:r w:rsidRPr="009F2364">
              <w:rPr>
                <w:rFonts w:ascii="Calibri" w:hAnsi="Calibri" w:cs="Calibri"/>
                <w:color w:val="000000"/>
                <w:sz w:val="20"/>
                <w:szCs w:val="20"/>
              </w:rPr>
              <w:t>31,982</w:t>
            </w:r>
          </w:p>
        </w:tc>
      </w:tr>
    </w:tbl>
    <w:p w14:paraId="3EE25237" w14:textId="77777777" w:rsidR="002D4FEC" w:rsidRPr="00F3779D" w:rsidRDefault="002D4FEC" w:rsidP="002D4FEC">
      <w:pPr>
        <w:pStyle w:val="NoSpacing"/>
        <w:rPr>
          <w:rFonts w:ascii="Times New Roman" w:hAnsi="Times New Roman" w:cs="Times New Roman"/>
          <w:sz w:val="20"/>
          <w:szCs w:val="20"/>
        </w:rPr>
      </w:pPr>
      <w:r w:rsidRPr="00F3779D">
        <w:rPr>
          <w:rFonts w:ascii="Times New Roman" w:hAnsi="Times New Roman" w:cs="Times New Roman"/>
          <w:sz w:val="20"/>
          <w:szCs w:val="20"/>
        </w:rPr>
        <w:t>Note</w:t>
      </w:r>
      <w:r>
        <w:rPr>
          <w:rFonts w:ascii="Times New Roman" w:hAnsi="Times New Roman" w:cs="Times New Roman"/>
          <w:sz w:val="20"/>
          <w:szCs w:val="20"/>
        </w:rPr>
        <w:t>s</w:t>
      </w:r>
      <w:r w:rsidRPr="00F3779D">
        <w:rPr>
          <w:rFonts w:ascii="Times New Roman" w:hAnsi="Times New Roman" w:cs="Times New Roman"/>
          <w:sz w:val="20"/>
          <w:szCs w:val="20"/>
        </w:rPr>
        <w:t xml:space="preserve">: Statistics given for residential properties sold between </w:t>
      </w:r>
      <w:r>
        <w:rPr>
          <w:rFonts w:ascii="Times New Roman" w:hAnsi="Times New Roman" w:cs="Times New Roman"/>
          <w:sz w:val="20"/>
          <w:szCs w:val="20"/>
        </w:rPr>
        <w:t>January 1, 2011 and December 31, 2014</w:t>
      </w:r>
      <w:r w:rsidRPr="00F3779D">
        <w:rPr>
          <w:rFonts w:ascii="Times New Roman" w:hAnsi="Times New Roman" w:cs="Times New Roman"/>
          <w:sz w:val="20"/>
          <w:szCs w:val="20"/>
        </w:rPr>
        <w:t>, within one mile of Sandy flood zone (on dry side)</w:t>
      </w:r>
      <w:r>
        <w:rPr>
          <w:rFonts w:ascii="Times New Roman" w:hAnsi="Times New Roman" w:cs="Times New Roman"/>
          <w:sz w:val="20"/>
          <w:szCs w:val="20"/>
        </w:rPr>
        <w:t>, but more than 0.03 miles from the flood and outside the FEMA floodplain</w:t>
      </w:r>
      <w:r w:rsidRPr="00F3779D">
        <w:rPr>
          <w:rFonts w:ascii="Times New Roman" w:hAnsi="Times New Roman" w:cs="Times New Roman"/>
          <w:sz w:val="20"/>
          <w:szCs w:val="20"/>
        </w:rPr>
        <w:t>. Information about additional variables used in regressions is given in the Appendix.</w:t>
      </w:r>
    </w:p>
    <w:p w14:paraId="0B78E8B7" w14:textId="77777777" w:rsidR="002D4FEC" w:rsidRDefault="002D4FEC" w:rsidP="002D4FEC">
      <w:pPr>
        <w:rPr>
          <w:rFonts w:ascii="Times New Roman" w:hAnsi="Times New Roman" w:cs="Times New Roman"/>
          <w:b/>
          <w:bCs/>
          <w:sz w:val="24"/>
          <w:szCs w:val="24"/>
        </w:rPr>
      </w:pPr>
    </w:p>
    <w:p w14:paraId="61732CF5" w14:textId="77777777" w:rsidR="0025491C" w:rsidRDefault="0025491C" w:rsidP="00B85118">
      <w:pPr>
        <w:pStyle w:val="NoSpacing"/>
        <w:rPr>
          <w:rFonts w:ascii="Times New Roman" w:hAnsi="Times New Roman" w:cs="Times New Roman"/>
          <w:sz w:val="20"/>
          <w:szCs w:val="20"/>
        </w:rPr>
      </w:pPr>
    </w:p>
    <w:p w14:paraId="250DAFCD" w14:textId="77777777" w:rsidR="00B85118" w:rsidRDefault="00B85118" w:rsidP="00B85118">
      <w:pPr>
        <w:rPr>
          <w:rFonts w:ascii="Courier New" w:hAnsi="Courier New" w:cs="Courier New"/>
          <w:sz w:val="20"/>
          <w:szCs w:val="20"/>
        </w:rPr>
      </w:pPr>
      <w:r>
        <w:rPr>
          <w:rFonts w:ascii="Courier New" w:hAnsi="Courier New" w:cs="Courier New"/>
          <w:sz w:val="20"/>
          <w:szCs w:val="20"/>
        </w:rPr>
        <w:br w:type="page"/>
      </w:r>
    </w:p>
    <w:p w14:paraId="191E010D" w14:textId="77777777" w:rsidR="00B85118" w:rsidRDefault="00B85118" w:rsidP="00B85118">
      <w:pPr>
        <w:pStyle w:val="NoSpacing"/>
        <w:rPr>
          <w:rFonts w:ascii="Courier New" w:hAnsi="Courier New" w:cs="Courier New"/>
          <w:sz w:val="20"/>
          <w:szCs w:val="20"/>
        </w:rPr>
      </w:pPr>
    </w:p>
    <w:p w14:paraId="2F1AFE54" w14:textId="77777777" w:rsidR="00B85118" w:rsidRDefault="00B85118" w:rsidP="00B85118">
      <w:pPr>
        <w:pStyle w:val="NoSpacing"/>
        <w:rPr>
          <w:rFonts w:ascii="Courier New" w:hAnsi="Courier New" w:cs="Courier New"/>
          <w:sz w:val="20"/>
          <w:szCs w:val="20"/>
        </w:rPr>
      </w:pPr>
    </w:p>
    <w:p w14:paraId="479EC4B0" w14:textId="03725F19" w:rsidR="002D4FEC" w:rsidRPr="00F3779D" w:rsidRDefault="002D4FEC" w:rsidP="002D4FEC">
      <w:pPr>
        <w:pStyle w:val="NoSpacing"/>
        <w:rPr>
          <w:rFonts w:ascii="Times New Roman" w:hAnsi="Times New Roman" w:cs="Times New Roman"/>
          <w:b/>
          <w:bCs/>
          <w:sz w:val="24"/>
          <w:szCs w:val="24"/>
        </w:rPr>
      </w:pPr>
      <w:r w:rsidRPr="00F3779D">
        <w:rPr>
          <w:rFonts w:ascii="Times New Roman" w:hAnsi="Times New Roman" w:cs="Times New Roman"/>
          <w:b/>
          <w:bCs/>
          <w:sz w:val="24"/>
          <w:szCs w:val="24"/>
        </w:rPr>
        <w:t xml:space="preserve">Table 2: </w:t>
      </w:r>
      <w:r>
        <w:rPr>
          <w:rFonts w:ascii="Times New Roman" w:hAnsi="Times New Roman" w:cs="Times New Roman"/>
          <w:b/>
          <w:bCs/>
          <w:sz w:val="24"/>
          <w:szCs w:val="24"/>
        </w:rPr>
        <w:t>Diff</w:t>
      </w:r>
      <w:r w:rsidR="00152F43">
        <w:rPr>
          <w:rFonts w:ascii="Times New Roman" w:hAnsi="Times New Roman" w:cs="Times New Roman"/>
          <w:b/>
          <w:bCs/>
          <w:sz w:val="24"/>
          <w:szCs w:val="24"/>
        </w:rPr>
        <w:t>erence</w:t>
      </w:r>
      <w:r>
        <w:rPr>
          <w:rFonts w:ascii="Times New Roman" w:hAnsi="Times New Roman" w:cs="Times New Roman"/>
          <w:b/>
          <w:bCs/>
          <w:sz w:val="24"/>
          <w:szCs w:val="24"/>
        </w:rPr>
        <w:t>-In-Diff</w:t>
      </w:r>
      <w:r w:rsidR="00152F43">
        <w:rPr>
          <w:rFonts w:ascii="Times New Roman" w:hAnsi="Times New Roman" w:cs="Times New Roman"/>
          <w:b/>
          <w:bCs/>
          <w:sz w:val="24"/>
          <w:szCs w:val="24"/>
        </w:rPr>
        <w:t>erence</w:t>
      </w:r>
      <w:r>
        <w:rPr>
          <w:rFonts w:ascii="Times New Roman" w:hAnsi="Times New Roman" w:cs="Times New Roman"/>
          <w:b/>
          <w:bCs/>
          <w:sz w:val="24"/>
          <w:szCs w:val="24"/>
        </w:rPr>
        <w:t xml:space="preserve"> Regression for</w:t>
      </w:r>
      <w:r w:rsidRPr="00F3779D">
        <w:rPr>
          <w:rFonts w:ascii="Times New Roman" w:hAnsi="Times New Roman" w:cs="Times New Roman"/>
          <w:b/>
          <w:bCs/>
          <w:sz w:val="24"/>
          <w:szCs w:val="24"/>
        </w:rPr>
        <w:t xml:space="preserve"> Sandy within 1 mile. Dep. Var.: Ln(Price per square foot)</w:t>
      </w:r>
      <w:r>
        <w:rPr>
          <w:rFonts w:ascii="Times New Roman" w:hAnsi="Times New Roman" w:cs="Times New Roman"/>
          <w:b/>
          <w:bCs/>
          <w:sz w:val="24"/>
          <w:szCs w:val="24"/>
        </w:rPr>
        <w:t>, 2011-2013</w:t>
      </w:r>
    </w:p>
    <w:tbl>
      <w:tblPr>
        <w:tblW w:w="6635" w:type="dxa"/>
        <w:tblLook w:val="04A0" w:firstRow="1" w:lastRow="0" w:firstColumn="1" w:lastColumn="0" w:noHBand="0" w:noVBand="1"/>
      </w:tblPr>
      <w:tblGrid>
        <w:gridCol w:w="3035"/>
        <w:gridCol w:w="1100"/>
        <w:gridCol w:w="1260"/>
        <w:gridCol w:w="1240"/>
      </w:tblGrid>
      <w:tr w:rsidR="002D4FEC" w:rsidRPr="00416770" w14:paraId="23DFD716" w14:textId="77777777" w:rsidTr="003B6893">
        <w:trPr>
          <w:trHeight w:val="295"/>
        </w:trPr>
        <w:tc>
          <w:tcPr>
            <w:tcW w:w="3035" w:type="dxa"/>
            <w:tcBorders>
              <w:top w:val="single" w:sz="4" w:space="0" w:color="000000"/>
              <w:left w:val="nil"/>
              <w:bottom w:val="single" w:sz="4" w:space="0" w:color="auto"/>
              <w:right w:val="nil"/>
            </w:tcBorders>
            <w:shd w:val="clear" w:color="auto" w:fill="auto"/>
            <w:noWrap/>
            <w:vAlign w:val="bottom"/>
            <w:hideMark/>
          </w:tcPr>
          <w:p w14:paraId="30EC69F5" w14:textId="77777777" w:rsidR="002D4FEC" w:rsidRPr="00416770" w:rsidRDefault="002D4FEC" w:rsidP="003B6893">
            <w:pPr>
              <w:spacing w:after="0" w:line="240" w:lineRule="auto"/>
              <w:jc w:val="center"/>
              <w:rPr>
                <w:rFonts w:ascii="Calibri" w:eastAsia="Times New Roman" w:hAnsi="Calibri" w:cs="Calibri"/>
                <w:b/>
                <w:bCs/>
                <w:color w:val="000000"/>
              </w:rPr>
            </w:pPr>
            <w:r w:rsidRPr="00416770">
              <w:rPr>
                <w:rFonts w:ascii="Calibri" w:eastAsia="Times New Roman" w:hAnsi="Calibri" w:cs="Calibri"/>
                <w:b/>
                <w:bCs/>
                <w:color w:val="000000"/>
              </w:rPr>
              <w:t>Variable</w:t>
            </w:r>
          </w:p>
        </w:tc>
        <w:tc>
          <w:tcPr>
            <w:tcW w:w="1100" w:type="dxa"/>
            <w:tcBorders>
              <w:top w:val="single" w:sz="4" w:space="0" w:color="000000"/>
              <w:left w:val="nil"/>
              <w:bottom w:val="single" w:sz="4" w:space="0" w:color="auto"/>
              <w:right w:val="nil"/>
            </w:tcBorders>
            <w:shd w:val="clear" w:color="auto" w:fill="auto"/>
            <w:noWrap/>
            <w:vAlign w:val="bottom"/>
            <w:hideMark/>
          </w:tcPr>
          <w:p w14:paraId="78A9A38F" w14:textId="77777777" w:rsidR="002D4FEC" w:rsidRPr="00416770" w:rsidRDefault="002D4FEC" w:rsidP="003B6893">
            <w:pPr>
              <w:spacing w:after="0" w:line="240" w:lineRule="auto"/>
              <w:jc w:val="center"/>
              <w:rPr>
                <w:rFonts w:ascii="Calibri" w:eastAsia="Times New Roman" w:hAnsi="Calibri" w:cs="Calibri"/>
                <w:b/>
                <w:bCs/>
                <w:color w:val="000000"/>
              </w:rPr>
            </w:pPr>
            <w:r w:rsidRPr="00416770">
              <w:rPr>
                <w:rFonts w:ascii="Calibri" w:eastAsia="Times New Roman" w:hAnsi="Calibri" w:cs="Calibri"/>
                <w:b/>
                <w:bCs/>
                <w:color w:val="000000"/>
              </w:rPr>
              <w:t>(1)</w:t>
            </w:r>
          </w:p>
        </w:tc>
        <w:tc>
          <w:tcPr>
            <w:tcW w:w="1260" w:type="dxa"/>
            <w:tcBorders>
              <w:top w:val="single" w:sz="4" w:space="0" w:color="000000"/>
              <w:left w:val="nil"/>
              <w:bottom w:val="single" w:sz="4" w:space="0" w:color="auto"/>
              <w:right w:val="nil"/>
            </w:tcBorders>
            <w:shd w:val="clear" w:color="auto" w:fill="auto"/>
            <w:noWrap/>
            <w:vAlign w:val="bottom"/>
            <w:hideMark/>
          </w:tcPr>
          <w:p w14:paraId="1EF490B3" w14:textId="77777777" w:rsidR="002D4FEC" w:rsidRPr="00416770" w:rsidRDefault="002D4FEC" w:rsidP="003B6893">
            <w:pPr>
              <w:spacing w:after="0" w:line="240" w:lineRule="auto"/>
              <w:jc w:val="center"/>
              <w:rPr>
                <w:rFonts w:ascii="Calibri" w:eastAsia="Times New Roman" w:hAnsi="Calibri" w:cs="Calibri"/>
                <w:b/>
                <w:bCs/>
                <w:color w:val="000000"/>
              </w:rPr>
            </w:pPr>
            <w:r w:rsidRPr="00416770">
              <w:rPr>
                <w:rFonts w:ascii="Calibri" w:eastAsia="Times New Roman" w:hAnsi="Calibri" w:cs="Calibri"/>
                <w:b/>
                <w:bCs/>
                <w:color w:val="000000"/>
              </w:rPr>
              <w:t>(2)</w:t>
            </w:r>
          </w:p>
        </w:tc>
        <w:tc>
          <w:tcPr>
            <w:tcW w:w="1240" w:type="dxa"/>
            <w:tcBorders>
              <w:top w:val="single" w:sz="4" w:space="0" w:color="000000"/>
              <w:left w:val="nil"/>
              <w:bottom w:val="single" w:sz="4" w:space="0" w:color="auto"/>
              <w:right w:val="nil"/>
            </w:tcBorders>
            <w:shd w:val="clear" w:color="auto" w:fill="auto"/>
            <w:noWrap/>
            <w:vAlign w:val="bottom"/>
            <w:hideMark/>
          </w:tcPr>
          <w:p w14:paraId="275FDE4C" w14:textId="77777777" w:rsidR="002D4FEC" w:rsidRPr="00416770" w:rsidRDefault="002D4FEC" w:rsidP="003B6893">
            <w:pPr>
              <w:spacing w:after="0" w:line="240" w:lineRule="auto"/>
              <w:jc w:val="center"/>
              <w:rPr>
                <w:rFonts w:ascii="Calibri" w:eastAsia="Times New Roman" w:hAnsi="Calibri" w:cs="Calibri"/>
                <w:b/>
                <w:bCs/>
                <w:color w:val="000000"/>
              </w:rPr>
            </w:pPr>
            <w:r w:rsidRPr="00416770">
              <w:rPr>
                <w:rFonts w:ascii="Calibri" w:eastAsia="Times New Roman" w:hAnsi="Calibri" w:cs="Calibri"/>
                <w:b/>
                <w:bCs/>
                <w:color w:val="000000"/>
              </w:rPr>
              <w:t>(3)</w:t>
            </w:r>
          </w:p>
        </w:tc>
      </w:tr>
      <w:tr w:rsidR="002D4FEC" w:rsidRPr="00416770" w14:paraId="1FEADAE9" w14:textId="77777777" w:rsidTr="003B6893">
        <w:trPr>
          <w:trHeight w:val="295"/>
        </w:trPr>
        <w:tc>
          <w:tcPr>
            <w:tcW w:w="3035" w:type="dxa"/>
            <w:tcBorders>
              <w:top w:val="nil"/>
              <w:left w:val="nil"/>
              <w:bottom w:val="nil"/>
              <w:right w:val="nil"/>
            </w:tcBorders>
            <w:shd w:val="clear" w:color="D9D9D9" w:fill="D9D9D9"/>
            <w:noWrap/>
            <w:vAlign w:val="bottom"/>
            <w:hideMark/>
          </w:tcPr>
          <w:p w14:paraId="5D4B39C9" w14:textId="77777777" w:rsidR="002D4FEC" w:rsidRPr="00416770" w:rsidRDefault="002D4FEC" w:rsidP="003B689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D</w:t>
            </w:r>
            <w:r w:rsidRPr="00416770">
              <w:rPr>
                <w:rFonts w:ascii="Calibri" w:eastAsia="Times New Roman" w:hAnsi="Calibri" w:cs="Calibri"/>
                <w:color w:val="000000"/>
              </w:rPr>
              <w:t>ist</w:t>
            </w:r>
            <w:proofErr w:type="spellEnd"/>
            <w:r w:rsidRPr="00416770">
              <w:rPr>
                <w:rFonts w:ascii="Calibri" w:eastAsia="Times New Roman" w:hAnsi="Calibri" w:cs="Calibri"/>
                <w:color w:val="000000"/>
              </w:rPr>
              <w:t xml:space="preserve"> Sandy (miles) </w:t>
            </w:r>
            <w:r>
              <w:rPr>
                <w:rFonts w:ascii="Calibri" w:eastAsia="Times New Roman" w:hAnsi="Calibri" w:cs="Calibri"/>
                <w:color w:val="000000"/>
              </w:rPr>
              <w:t>x</w:t>
            </w:r>
            <w:r w:rsidRPr="00416770">
              <w:rPr>
                <w:rFonts w:ascii="Calibri" w:eastAsia="Times New Roman" w:hAnsi="Calibri" w:cs="Calibri"/>
                <w:color w:val="000000"/>
              </w:rPr>
              <w:t xml:space="preserve"> </w:t>
            </w:r>
            <w:proofErr w:type="spellStart"/>
            <w:r w:rsidRPr="00416770">
              <w:rPr>
                <w:rFonts w:ascii="Calibri" w:eastAsia="Times New Roman" w:hAnsi="Calibri" w:cs="Calibri"/>
                <w:color w:val="000000"/>
              </w:rPr>
              <w:t>PostSandy</w:t>
            </w:r>
            <w:proofErr w:type="spellEnd"/>
          </w:p>
        </w:tc>
        <w:tc>
          <w:tcPr>
            <w:tcW w:w="1100" w:type="dxa"/>
            <w:tcBorders>
              <w:top w:val="nil"/>
              <w:left w:val="nil"/>
              <w:bottom w:val="nil"/>
              <w:right w:val="nil"/>
            </w:tcBorders>
            <w:shd w:val="clear" w:color="D9D9D9" w:fill="D9D9D9"/>
            <w:noWrap/>
            <w:vAlign w:val="bottom"/>
            <w:hideMark/>
          </w:tcPr>
          <w:p w14:paraId="29F4C936"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0.0405**</w:t>
            </w:r>
          </w:p>
        </w:tc>
        <w:tc>
          <w:tcPr>
            <w:tcW w:w="1260" w:type="dxa"/>
            <w:tcBorders>
              <w:top w:val="nil"/>
              <w:left w:val="nil"/>
              <w:bottom w:val="nil"/>
              <w:right w:val="nil"/>
            </w:tcBorders>
            <w:shd w:val="clear" w:color="D9D9D9" w:fill="D9D9D9"/>
            <w:noWrap/>
            <w:vAlign w:val="bottom"/>
            <w:hideMark/>
          </w:tcPr>
          <w:p w14:paraId="2ED7D364"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0.0537***</w:t>
            </w:r>
          </w:p>
        </w:tc>
        <w:tc>
          <w:tcPr>
            <w:tcW w:w="1240" w:type="dxa"/>
            <w:tcBorders>
              <w:top w:val="nil"/>
              <w:left w:val="nil"/>
              <w:bottom w:val="nil"/>
              <w:right w:val="nil"/>
            </w:tcBorders>
            <w:shd w:val="clear" w:color="D9D9D9" w:fill="D9D9D9"/>
            <w:noWrap/>
            <w:vAlign w:val="bottom"/>
            <w:hideMark/>
          </w:tcPr>
          <w:p w14:paraId="28D574B4"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0.0424***</w:t>
            </w:r>
          </w:p>
        </w:tc>
      </w:tr>
      <w:tr w:rsidR="002D4FEC" w:rsidRPr="00416770" w14:paraId="158D5FFE" w14:textId="77777777" w:rsidTr="003B6893">
        <w:trPr>
          <w:trHeight w:val="295"/>
        </w:trPr>
        <w:tc>
          <w:tcPr>
            <w:tcW w:w="3035" w:type="dxa"/>
            <w:tcBorders>
              <w:top w:val="nil"/>
              <w:left w:val="nil"/>
              <w:bottom w:val="nil"/>
              <w:right w:val="nil"/>
            </w:tcBorders>
            <w:shd w:val="clear" w:color="auto" w:fill="auto"/>
            <w:noWrap/>
            <w:vAlign w:val="bottom"/>
            <w:hideMark/>
          </w:tcPr>
          <w:p w14:paraId="0FDCD4FE" w14:textId="77777777" w:rsidR="002D4FEC" w:rsidRPr="00416770" w:rsidRDefault="002D4FEC" w:rsidP="003B6893">
            <w:pPr>
              <w:spacing w:after="0" w:line="240" w:lineRule="auto"/>
              <w:jc w:val="right"/>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14:paraId="25E3DE87"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(2.92)</w:t>
            </w:r>
          </w:p>
        </w:tc>
        <w:tc>
          <w:tcPr>
            <w:tcW w:w="1260" w:type="dxa"/>
            <w:tcBorders>
              <w:top w:val="nil"/>
              <w:left w:val="nil"/>
              <w:bottom w:val="nil"/>
              <w:right w:val="nil"/>
            </w:tcBorders>
            <w:shd w:val="clear" w:color="auto" w:fill="auto"/>
            <w:noWrap/>
            <w:vAlign w:val="bottom"/>
            <w:hideMark/>
          </w:tcPr>
          <w:p w14:paraId="31DCBB1C"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(4.72)</w:t>
            </w:r>
          </w:p>
        </w:tc>
        <w:tc>
          <w:tcPr>
            <w:tcW w:w="1240" w:type="dxa"/>
            <w:tcBorders>
              <w:top w:val="nil"/>
              <w:left w:val="nil"/>
              <w:bottom w:val="nil"/>
              <w:right w:val="nil"/>
            </w:tcBorders>
            <w:shd w:val="clear" w:color="auto" w:fill="auto"/>
            <w:noWrap/>
            <w:vAlign w:val="bottom"/>
            <w:hideMark/>
          </w:tcPr>
          <w:p w14:paraId="7C02E162"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(4.88)</w:t>
            </w:r>
          </w:p>
        </w:tc>
      </w:tr>
      <w:tr w:rsidR="002D4FEC" w:rsidRPr="00416770" w14:paraId="6F731A7E" w14:textId="77777777" w:rsidTr="003B6893">
        <w:trPr>
          <w:trHeight w:val="295"/>
        </w:trPr>
        <w:tc>
          <w:tcPr>
            <w:tcW w:w="3035" w:type="dxa"/>
            <w:tcBorders>
              <w:top w:val="nil"/>
              <w:left w:val="nil"/>
              <w:bottom w:val="nil"/>
              <w:right w:val="nil"/>
            </w:tcBorders>
            <w:shd w:val="clear" w:color="D9D9D9" w:fill="D9D9D9"/>
            <w:noWrap/>
            <w:vAlign w:val="bottom"/>
            <w:hideMark/>
          </w:tcPr>
          <w:p w14:paraId="6BA8629F" w14:textId="6D966317" w:rsidR="002D4FEC" w:rsidRPr="00416770" w:rsidRDefault="002D4FEC" w:rsidP="003B6893">
            <w:pPr>
              <w:spacing w:after="0" w:line="240" w:lineRule="auto"/>
              <w:rPr>
                <w:rFonts w:ascii="Calibri" w:eastAsia="Times New Roman" w:hAnsi="Calibri" w:cs="Calibri"/>
                <w:color w:val="000000"/>
              </w:rPr>
            </w:pPr>
            <w:r>
              <w:rPr>
                <w:rFonts w:ascii="Calibri" w:eastAsia="Times New Roman" w:hAnsi="Calibri" w:cs="Calibri"/>
                <w:color w:val="000000"/>
              </w:rPr>
              <w:t>D</w:t>
            </w:r>
            <w:r w:rsidRPr="00416770">
              <w:rPr>
                <w:rFonts w:ascii="Calibri" w:eastAsia="Times New Roman" w:hAnsi="Calibri" w:cs="Calibri"/>
                <w:color w:val="000000"/>
              </w:rPr>
              <w:t>ist. to FEMA (miles</w:t>
            </w:r>
            <w:r w:rsidR="0044602D">
              <w:rPr>
                <w:rFonts w:ascii="Calibri" w:eastAsia="Times New Roman" w:hAnsi="Calibri" w:cs="Calibri"/>
                <w:color w:val="000000"/>
              </w:rPr>
              <w:t>)</w:t>
            </w:r>
          </w:p>
        </w:tc>
        <w:tc>
          <w:tcPr>
            <w:tcW w:w="1100" w:type="dxa"/>
            <w:tcBorders>
              <w:top w:val="nil"/>
              <w:left w:val="nil"/>
              <w:bottom w:val="nil"/>
              <w:right w:val="nil"/>
            </w:tcBorders>
            <w:shd w:val="clear" w:color="D9D9D9" w:fill="D9D9D9"/>
            <w:noWrap/>
            <w:vAlign w:val="bottom"/>
            <w:hideMark/>
          </w:tcPr>
          <w:p w14:paraId="35DC5550"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-0.0358*</w:t>
            </w:r>
          </w:p>
        </w:tc>
        <w:tc>
          <w:tcPr>
            <w:tcW w:w="1260" w:type="dxa"/>
            <w:tcBorders>
              <w:top w:val="nil"/>
              <w:left w:val="nil"/>
              <w:bottom w:val="nil"/>
              <w:right w:val="nil"/>
            </w:tcBorders>
            <w:shd w:val="clear" w:color="D9D9D9" w:fill="D9D9D9"/>
            <w:noWrap/>
            <w:vAlign w:val="bottom"/>
            <w:hideMark/>
          </w:tcPr>
          <w:p w14:paraId="60C1B919"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-0.028</w:t>
            </w:r>
          </w:p>
        </w:tc>
        <w:tc>
          <w:tcPr>
            <w:tcW w:w="1240" w:type="dxa"/>
            <w:tcBorders>
              <w:top w:val="nil"/>
              <w:left w:val="nil"/>
              <w:bottom w:val="nil"/>
              <w:right w:val="nil"/>
            </w:tcBorders>
            <w:shd w:val="clear" w:color="D9D9D9" w:fill="D9D9D9"/>
            <w:noWrap/>
            <w:vAlign w:val="bottom"/>
            <w:hideMark/>
          </w:tcPr>
          <w:p w14:paraId="02E6E886"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 xml:space="preserve">-0.0728** </w:t>
            </w:r>
          </w:p>
        </w:tc>
      </w:tr>
      <w:tr w:rsidR="002D4FEC" w:rsidRPr="00416770" w14:paraId="2CDFD994" w14:textId="77777777" w:rsidTr="003B6893">
        <w:trPr>
          <w:trHeight w:val="295"/>
        </w:trPr>
        <w:tc>
          <w:tcPr>
            <w:tcW w:w="3035" w:type="dxa"/>
            <w:tcBorders>
              <w:top w:val="nil"/>
              <w:left w:val="nil"/>
              <w:bottom w:val="nil"/>
              <w:right w:val="nil"/>
            </w:tcBorders>
            <w:shd w:val="clear" w:color="auto" w:fill="auto"/>
            <w:noWrap/>
            <w:vAlign w:val="bottom"/>
            <w:hideMark/>
          </w:tcPr>
          <w:p w14:paraId="2DCC4E5C" w14:textId="77777777" w:rsidR="002D4FEC" w:rsidRPr="00416770" w:rsidRDefault="002D4FEC" w:rsidP="003B6893">
            <w:pPr>
              <w:spacing w:after="0" w:line="240" w:lineRule="auto"/>
              <w:jc w:val="right"/>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14:paraId="11E6F046"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(2.22)</w:t>
            </w:r>
          </w:p>
        </w:tc>
        <w:tc>
          <w:tcPr>
            <w:tcW w:w="1260" w:type="dxa"/>
            <w:tcBorders>
              <w:top w:val="nil"/>
              <w:left w:val="nil"/>
              <w:bottom w:val="nil"/>
              <w:right w:val="nil"/>
            </w:tcBorders>
            <w:shd w:val="clear" w:color="auto" w:fill="auto"/>
            <w:noWrap/>
            <w:vAlign w:val="bottom"/>
            <w:hideMark/>
          </w:tcPr>
          <w:p w14:paraId="639C6087"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(1.58)</w:t>
            </w:r>
          </w:p>
        </w:tc>
        <w:tc>
          <w:tcPr>
            <w:tcW w:w="1240" w:type="dxa"/>
            <w:tcBorders>
              <w:top w:val="nil"/>
              <w:left w:val="nil"/>
              <w:bottom w:val="nil"/>
              <w:right w:val="nil"/>
            </w:tcBorders>
            <w:shd w:val="clear" w:color="auto" w:fill="auto"/>
            <w:noWrap/>
            <w:vAlign w:val="bottom"/>
            <w:hideMark/>
          </w:tcPr>
          <w:p w14:paraId="0130169B"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(2.78)</w:t>
            </w:r>
          </w:p>
        </w:tc>
      </w:tr>
      <w:tr w:rsidR="002D4FEC" w:rsidRPr="00416770" w14:paraId="269F6EE9" w14:textId="77777777" w:rsidTr="003B6893">
        <w:trPr>
          <w:trHeight w:val="295"/>
        </w:trPr>
        <w:tc>
          <w:tcPr>
            <w:tcW w:w="3035" w:type="dxa"/>
            <w:tcBorders>
              <w:top w:val="nil"/>
              <w:left w:val="nil"/>
              <w:bottom w:val="nil"/>
              <w:right w:val="nil"/>
            </w:tcBorders>
            <w:shd w:val="clear" w:color="D9D9D9" w:fill="D9D9D9"/>
            <w:noWrap/>
            <w:vAlign w:val="bottom"/>
            <w:hideMark/>
          </w:tcPr>
          <w:p w14:paraId="22AACF1F" w14:textId="77777777" w:rsidR="002D4FEC" w:rsidRPr="00416770" w:rsidRDefault="002D4FEC" w:rsidP="003B6893">
            <w:pPr>
              <w:spacing w:after="0" w:line="240" w:lineRule="auto"/>
              <w:rPr>
                <w:rFonts w:ascii="Calibri" w:eastAsia="Times New Roman" w:hAnsi="Calibri" w:cs="Calibri"/>
                <w:color w:val="000000"/>
              </w:rPr>
            </w:pPr>
            <w:r w:rsidRPr="00416770">
              <w:rPr>
                <w:rFonts w:ascii="Calibri" w:eastAsia="Times New Roman" w:hAnsi="Calibri" w:cs="Calibri"/>
                <w:color w:val="000000"/>
              </w:rPr>
              <w:t>ln(# units)</w:t>
            </w:r>
          </w:p>
        </w:tc>
        <w:tc>
          <w:tcPr>
            <w:tcW w:w="1100" w:type="dxa"/>
            <w:tcBorders>
              <w:top w:val="nil"/>
              <w:left w:val="nil"/>
              <w:bottom w:val="nil"/>
              <w:right w:val="nil"/>
            </w:tcBorders>
            <w:shd w:val="clear" w:color="D9D9D9" w:fill="D9D9D9"/>
            <w:noWrap/>
            <w:vAlign w:val="bottom"/>
            <w:hideMark/>
          </w:tcPr>
          <w:p w14:paraId="0DD89AC4" w14:textId="77777777" w:rsidR="002D4FEC" w:rsidRPr="00416770" w:rsidRDefault="002D4FEC" w:rsidP="003B6893">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D9D9D9" w:fill="D9D9D9"/>
            <w:noWrap/>
            <w:vAlign w:val="bottom"/>
            <w:hideMark/>
          </w:tcPr>
          <w:p w14:paraId="49B5F967"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0.128***</w:t>
            </w:r>
          </w:p>
        </w:tc>
        <w:tc>
          <w:tcPr>
            <w:tcW w:w="1240" w:type="dxa"/>
            <w:tcBorders>
              <w:top w:val="nil"/>
              <w:left w:val="nil"/>
              <w:bottom w:val="nil"/>
              <w:right w:val="nil"/>
            </w:tcBorders>
            <w:shd w:val="clear" w:color="D9D9D9" w:fill="D9D9D9"/>
            <w:noWrap/>
            <w:vAlign w:val="bottom"/>
            <w:hideMark/>
          </w:tcPr>
          <w:p w14:paraId="652DBC58"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0.376***</w:t>
            </w:r>
          </w:p>
        </w:tc>
      </w:tr>
      <w:tr w:rsidR="002D4FEC" w:rsidRPr="00416770" w14:paraId="4165F74D" w14:textId="77777777" w:rsidTr="003B6893">
        <w:trPr>
          <w:trHeight w:val="295"/>
        </w:trPr>
        <w:tc>
          <w:tcPr>
            <w:tcW w:w="3035" w:type="dxa"/>
            <w:tcBorders>
              <w:top w:val="nil"/>
              <w:left w:val="nil"/>
              <w:bottom w:val="nil"/>
              <w:right w:val="nil"/>
            </w:tcBorders>
            <w:shd w:val="clear" w:color="auto" w:fill="auto"/>
            <w:noWrap/>
            <w:vAlign w:val="bottom"/>
            <w:hideMark/>
          </w:tcPr>
          <w:p w14:paraId="4D6EAC8C" w14:textId="77777777" w:rsidR="002D4FEC" w:rsidRPr="00416770" w:rsidRDefault="002D4FEC" w:rsidP="003B6893">
            <w:pPr>
              <w:spacing w:after="0" w:line="240" w:lineRule="auto"/>
              <w:jc w:val="right"/>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14:paraId="29DE50C6" w14:textId="77777777" w:rsidR="002D4FEC" w:rsidRPr="00416770" w:rsidRDefault="002D4FEC" w:rsidP="003B6893">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CD9492"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(5.61)</w:t>
            </w:r>
          </w:p>
        </w:tc>
        <w:tc>
          <w:tcPr>
            <w:tcW w:w="1240" w:type="dxa"/>
            <w:tcBorders>
              <w:top w:val="nil"/>
              <w:left w:val="nil"/>
              <w:bottom w:val="nil"/>
              <w:right w:val="nil"/>
            </w:tcBorders>
            <w:shd w:val="clear" w:color="auto" w:fill="auto"/>
            <w:noWrap/>
            <w:vAlign w:val="bottom"/>
            <w:hideMark/>
          </w:tcPr>
          <w:p w14:paraId="79C97A4E"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(15.65)</w:t>
            </w:r>
          </w:p>
        </w:tc>
      </w:tr>
      <w:tr w:rsidR="002D4FEC" w:rsidRPr="00416770" w14:paraId="312E2A0A" w14:textId="77777777" w:rsidTr="003B6893">
        <w:trPr>
          <w:trHeight w:val="295"/>
        </w:trPr>
        <w:tc>
          <w:tcPr>
            <w:tcW w:w="3035" w:type="dxa"/>
            <w:tcBorders>
              <w:top w:val="nil"/>
              <w:left w:val="nil"/>
              <w:bottom w:val="nil"/>
              <w:right w:val="nil"/>
            </w:tcBorders>
            <w:shd w:val="clear" w:color="D9D9D9" w:fill="D9D9D9"/>
            <w:noWrap/>
            <w:vAlign w:val="bottom"/>
            <w:hideMark/>
          </w:tcPr>
          <w:p w14:paraId="7FCD0D46" w14:textId="77777777" w:rsidR="002D4FEC" w:rsidRPr="00416770" w:rsidRDefault="002D4FEC" w:rsidP="003B6893">
            <w:pPr>
              <w:spacing w:after="0" w:line="240" w:lineRule="auto"/>
              <w:rPr>
                <w:rFonts w:ascii="Calibri" w:eastAsia="Times New Roman" w:hAnsi="Calibri" w:cs="Calibri"/>
                <w:color w:val="000000"/>
              </w:rPr>
            </w:pPr>
            <w:r w:rsidRPr="00416770">
              <w:rPr>
                <w:rFonts w:ascii="Calibri" w:eastAsia="Times New Roman" w:hAnsi="Calibri" w:cs="Calibri"/>
                <w:color w:val="000000"/>
              </w:rPr>
              <w:t>ln(land area)</w:t>
            </w:r>
          </w:p>
        </w:tc>
        <w:tc>
          <w:tcPr>
            <w:tcW w:w="1100" w:type="dxa"/>
            <w:tcBorders>
              <w:top w:val="nil"/>
              <w:left w:val="nil"/>
              <w:bottom w:val="nil"/>
              <w:right w:val="nil"/>
            </w:tcBorders>
            <w:shd w:val="clear" w:color="D9D9D9" w:fill="D9D9D9"/>
            <w:noWrap/>
            <w:vAlign w:val="bottom"/>
            <w:hideMark/>
          </w:tcPr>
          <w:p w14:paraId="7883417E" w14:textId="77777777" w:rsidR="002D4FEC" w:rsidRPr="00416770" w:rsidRDefault="002D4FEC" w:rsidP="003B6893">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D9D9D9" w:fill="D9D9D9"/>
            <w:noWrap/>
            <w:vAlign w:val="bottom"/>
            <w:hideMark/>
          </w:tcPr>
          <w:p w14:paraId="5E7483C5"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0.250***</w:t>
            </w:r>
          </w:p>
        </w:tc>
        <w:tc>
          <w:tcPr>
            <w:tcW w:w="1240" w:type="dxa"/>
            <w:tcBorders>
              <w:top w:val="nil"/>
              <w:left w:val="nil"/>
              <w:bottom w:val="nil"/>
              <w:right w:val="nil"/>
            </w:tcBorders>
            <w:shd w:val="clear" w:color="D9D9D9" w:fill="D9D9D9"/>
            <w:noWrap/>
            <w:vAlign w:val="bottom"/>
            <w:hideMark/>
          </w:tcPr>
          <w:p w14:paraId="36F0064B"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0.188***</w:t>
            </w:r>
          </w:p>
        </w:tc>
      </w:tr>
      <w:tr w:rsidR="002D4FEC" w:rsidRPr="00416770" w14:paraId="52ADB925" w14:textId="77777777" w:rsidTr="003B6893">
        <w:trPr>
          <w:trHeight w:val="295"/>
        </w:trPr>
        <w:tc>
          <w:tcPr>
            <w:tcW w:w="3035" w:type="dxa"/>
            <w:tcBorders>
              <w:top w:val="nil"/>
              <w:left w:val="nil"/>
              <w:bottom w:val="nil"/>
              <w:right w:val="nil"/>
            </w:tcBorders>
            <w:shd w:val="clear" w:color="auto" w:fill="auto"/>
            <w:noWrap/>
            <w:vAlign w:val="bottom"/>
            <w:hideMark/>
          </w:tcPr>
          <w:p w14:paraId="530F7D5A" w14:textId="77777777" w:rsidR="002D4FEC" w:rsidRPr="00416770" w:rsidRDefault="002D4FEC" w:rsidP="003B6893">
            <w:pPr>
              <w:spacing w:after="0" w:line="240" w:lineRule="auto"/>
              <w:jc w:val="right"/>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14:paraId="1448B69F" w14:textId="77777777" w:rsidR="002D4FEC" w:rsidRPr="00416770" w:rsidRDefault="002D4FEC" w:rsidP="003B6893">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92ABD5"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(16.84)</w:t>
            </w:r>
          </w:p>
        </w:tc>
        <w:tc>
          <w:tcPr>
            <w:tcW w:w="1240" w:type="dxa"/>
            <w:tcBorders>
              <w:top w:val="nil"/>
              <w:left w:val="nil"/>
              <w:bottom w:val="nil"/>
              <w:right w:val="nil"/>
            </w:tcBorders>
            <w:shd w:val="clear" w:color="auto" w:fill="auto"/>
            <w:noWrap/>
            <w:vAlign w:val="bottom"/>
            <w:hideMark/>
          </w:tcPr>
          <w:p w14:paraId="49D6DB73"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(32.18)</w:t>
            </w:r>
          </w:p>
        </w:tc>
      </w:tr>
      <w:tr w:rsidR="002D4FEC" w:rsidRPr="00416770" w14:paraId="5A1F6988" w14:textId="77777777" w:rsidTr="003B6893">
        <w:trPr>
          <w:trHeight w:val="295"/>
        </w:trPr>
        <w:tc>
          <w:tcPr>
            <w:tcW w:w="3035" w:type="dxa"/>
            <w:tcBorders>
              <w:top w:val="nil"/>
              <w:left w:val="nil"/>
              <w:bottom w:val="nil"/>
              <w:right w:val="nil"/>
            </w:tcBorders>
            <w:shd w:val="clear" w:color="D9D9D9" w:fill="D9D9D9"/>
            <w:noWrap/>
            <w:vAlign w:val="bottom"/>
            <w:hideMark/>
          </w:tcPr>
          <w:p w14:paraId="6DA4AFA2" w14:textId="77777777" w:rsidR="002D4FEC" w:rsidRPr="00416770" w:rsidRDefault="002D4FEC" w:rsidP="003B6893">
            <w:pPr>
              <w:spacing w:after="0" w:line="240" w:lineRule="auto"/>
              <w:rPr>
                <w:rFonts w:ascii="Calibri" w:eastAsia="Times New Roman" w:hAnsi="Calibri" w:cs="Calibri"/>
                <w:color w:val="000000"/>
              </w:rPr>
            </w:pPr>
            <w:r w:rsidRPr="00416770">
              <w:rPr>
                <w:rFonts w:ascii="Calibri" w:eastAsia="Times New Roman" w:hAnsi="Calibri" w:cs="Calibri"/>
                <w:color w:val="000000"/>
              </w:rPr>
              <w:t>ln(age)</w:t>
            </w:r>
          </w:p>
        </w:tc>
        <w:tc>
          <w:tcPr>
            <w:tcW w:w="1100" w:type="dxa"/>
            <w:tcBorders>
              <w:top w:val="nil"/>
              <w:left w:val="nil"/>
              <w:bottom w:val="nil"/>
              <w:right w:val="nil"/>
            </w:tcBorders>
            <w:shd w:val="clear" w:color="D9D9D9" w:fill="D9D9D9"/>
            <w:noWrap/>
            <w:vAlign w:val="bottom"/>
            <w:hideMark/>
          </w:tcPr>
          <w:p w14:paraId="61F2C8F8" w14:textId="77777777" w:rsidR="002D4FEC" w:rsidRPr="00416770" w:rsidRDefault="002D4FEC" w:rsidP="003B6893">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D9D9D9" w:fill="D9D9D9"/>
            <w:noWrap/>
            <w:vAlign w:val="bottom"/>
            <w:hideMark/>
          </w:tcPr>
          <w:p w14:paraId="3A14BA52"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-0.0654***</w:t>
            </w:r>
          </w:p>
        </w:tc>
        <w:tc>
          <w:tcPr>
            <w:tcW w:w="1240" w:type="dxa"/>
            <w:tcBorders>
              <w:top w:val="nil"/>
              <w:left w:val="nil"/>
              <w:bottom w:val="nil"/>
              <w:right w:val="nil"/>
            </w:tcBorders>
            <w:shd w:val="clear" w:color="D9D9D9" w:fill="D9D9D9"/>
            <w:noWrap/>
            <w:vAlign w:val="bottom"/>
            <w:hideMark/>
          </w:tcPr>
          <w:p w14:paraId="483CA8AA"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-0.0843***</w:t>
            </w:r>
          </w:p>
        </w:tc>
      </w:tr>
      <w:tr w:rsidR="002D4FEC" w:rsidRPr="00416770" w14:paraId="0C65328C" w14:textId="77777777" w:rsidTr="003B6893">
        <w:trPr>
          <w:trHeight w:val="295"/>
        </w:trPr>
        <w:tc>
          <w:tcPr>
            <w:tcW w:w="3035" w:type="dxa"/>
            <w:tcBorders>
              <w:top w:val="nil"/>
              <w:left w:val="nil"/>
              <w:bottom w:val="nil"/>
              <w:right w:val="nil"/>
            </w:tcBorders>
            <w:shd w:val="clear" w:color="auto" w:fill="auto"/>
            <w:noWrap/>
            <w:vAlign w:val="bottom"/>
            <w:hideMark/>
          </w:tcPr>
          <w:p w14:paraId="02207634" w14:textId="77777777" w:rsidR="002D4FEC" w:rsidRPr="00416770" w:rsidRDefault="002D4FEC" w:rsidP="003B6893">
            <w:pPr>
              <w:spacing w:after="0" w:line="240" w:lineRule="auto"/>
              <w:jc w:val="right"/>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14:paraId="32635CAB" w14:textId="77777777" w:rsidR="002D4FEC" w:rsidRPr="00416770" w:rsidRDefault="002D4FEC" w:rsidP="003B6893">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E6D34F"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(8.10)</w:t>
            </w:r>
          </w:p>
        </w:tc>
        <w:tc>
          <w:tcPr>
            <w:tcW w:w="1240" w:type="dxa"/>
            <w:tcBorders>
              <w:top w:val="nil"/>
              <w:left w:val="nil"/>
              <w:bottom w:val="nil"/>
              <w:right w:val="nil"/>
            </w:tcBorders>
            <w:shd w:val="clear" w:color="auto" w:fill="auto"/>
            <w:noWrap/>
            <w:vAlign w:val="bottom"/>
            <w:hideMark/>
          </w:tcPr>
          <w:p w14:paraId="3A45373F"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(7.57)</w:t>
            </w:r>
          </w:p>
        </w:tc>
      </w:tr>
      <w:tr w:rsidR="002D4FEC" w:rsidRPr="00416770" w14:paraId="6E7B3226" w14:textId="77777777" w:rsidTr="003B6893">
        <w:trPr>
          <w:trHeight w:val="295"/>
        </w:trPr>
        <w:tc>
          <w:tcPr>
            <w:tcW w:w="3035" w:type="dxa"/>
            <w:tcBorders>
              <w:top w:val="nil"/>
              <w:left w:val="nil"/>
              <w:bottom w:val="nil"/>
              <w:right w:val="nil"/>
            </w:tcBorders>
            <w:shd w:val="clear" w:color="D9D9D9" w:fill="D9D9D9"/>
            <w:noWrap/>
            <w:vAlign w:val="bottom"/>
            <w:hideMark/>
          </w:tcPr>
          <w:p w14:paraId="2150E35A" w14:textId="77777777" w:rsidR="002D4FEC" w:rsidRPr="00416770" w:rsidRDefault="002D4FEC" w:rsidP="003B6893">
            <w:pPr>
              <w:spacing w:after="0" w:line="240" w:lineRule="auto"/>
              <w:rPr>
                <w:rFonts w:ascii="Calibri" w:eastAsia="Times New Roman" w:hAnsi="Calibri" w:cs="Calibri"/>
                <w:color w:val="000000"/>
              </w:rPr>
            </w:pPr>
            <w:r w:rsidRPr="00416770">
              <w:rPr>
                <w:rFonts w:ascii="Calibri" w:eastAsia="Times New Roman" w:hAnsi="Calibri" w:cs="Calibri"/>
                <w:color w:val="000000"/>
              </w:rPr>
              <w:t>ln(building area)</w:t>
            </w:r>
          </w:p>
        </w:tc>
        <w:tc>
          <w:tcPr>
            <w:tcW w:w="1100" w:type="dxa"/>
            <w:tcBorders>
              <w:top w:val="nil"/>
              <w:left w:val="nil"/>
              <w:bottom w:val="nil"/>
              <w:right w:val="nil"/>
            </w:tcBorders>
            <w:shd w:val="clear" w:color="D9D9D9" w:fill="D9D9D9"/>
            <w:noWrap/>
            <w:vAlign w:val="bottom"/>
            <w:hideMark/>
          </w:tcPr>
          <w:p w14:paraId="372EB9E7" w14:textId="77777777" w:rsidR="002D4FEC" w:rsidRPr="00416770" w:rsidRDefault="002D4FEC" w:rsidP="003B6893">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D9D9D9" w:fill="D9D9D9"/>
            <w:noWrap/>
            <w:vAlign w:val="bottom"/>
            <w:hideMark/>
          </w:tcPr>
          <w:p w14:paraId="169EB454"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-0.543***</w:t>
            </w:r>
          </w:p>
        </w:tc>
        <w:tc>
          <w:tcPr>
            <w:tcW w:w="1240" w:type="dxa"/>
            <w:tcBorders>
              <w:top w:val="nil"/>
              <w:left w:val="nil"/>
              <w:bottom w:val="nil"/>
              <w:right w:val="nil"/>
            </w:tcBorders>
            <w:shd w:val="clear" w:color="D9D9D9" w:fill="D9D9D9"/>
            <w:noWrap/>
            <w:vAlign w:val="bottom"/>
            <w:hideMark/>
          </w:tcPr>
          <w:p w14:paraId="6178B316"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-0.609***</w:t>
            </w:r>
          </w:p>
        </w:tc>
      </w:tr>
      <w:tr w:rsidR="002D4FEC" w:rsidRPr="00416770" w14:paraId="3FBFC0C2" w14:textId="77777777" w:rsidTr="003B6893">
        <w:trPr>
          <w:trHeight w:val="295"/>
        </w:trPr>
        <w:tc>
          <w:tcPr>
            <w:tcW w:w="3035" w:type="dxa"/>
            <w:tcBorders>
              <w:top w:val="nil"/>
              <w:left w:val="nil"/>
              <w:bottom w:val="nil"/>
              <w:right w:val="nil"/>
            </w:tcBorders>
            <w:shd w:val="clear" w:color="auto" w:fill="auto"/>
            <w:noWrap/>
            <w:vAlign w:val="bottom"/>
            <w:hideMark/>
          </w:tcPr>
          <w:p w14:paraId="073FCFDF" w14:textId="77777777" w:rsidR="002D4FEC" w:rsidRPr="00416770" w:rsidRDefault="002D4FEC" w:rsidP="003B6893">
            <w:pPr>
              <w:spacing w:after="0" w:line="240" w:lineRule="auto"/>
              <w:jc w:val="right"/>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14:paraId="36165F6D" w14:textId="77777777" w:rsidR="002D4FEC" w:rsidRPr="00416770" w:rsidRDefault="002D4FEC" w:rsidP="003B6893">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57A208"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(23.29)</w:t>
            </w:r>
          </w:p>
        </w:tc>
        <w:tc>
          <w:tcPr>
            <w:tcW w:w="1240" w:type="dxa"/>
            <w:tcBorders>
              <w:top w:val="nil"/>
              <w:left w:val="nil"/>
              <w:bottom w:val="nil"/>
              <w:right w:val="nil"/>
            </w:tcBorders>
            <w:shd w:val="clear" w:color="auto" w:fill="auto"/>
            <w:noWrap/>
            <w:vAlign w:val="bottom"/>
            <w:hideMark/>
          </w:tcPr>
          <w:p w14:paraId="23EFC0AF"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 xml:space="preserve">(-37.63)   </w:t>
            </w:r>
          </w:p>
        </w:tc>
      </w:tr>
      <w:tr w:rsidR="002D4FEC" w:rsidRPr="00416770" w14:paraId="71C97295" w14:textId="77777777" w:rsidTr="003B6893">
        <w:trPr>
          <w:trHeight w:val="295"/>
        </w:trPr>
        <w:tc>
          <w:tcPr>
            <w:tcW w:w="3035" w:type="dxa"/>
            <w:tcBorders>
              <w:top w:val="nil"/>
              <w:left w:val="nil"/>
              <w:bottom w:val="nil"/>
              <w:right w:val="nil"/>
            </w:tcBorders>
            <w:shd w:val="clear" w:color="D9D9D9" w:fill="D9D9D9"/>
            <w:noWrap/>
            <w:vAlign w:val="bottom"/>
            <w:hideMark/>
          </w:tcPr>
          <w:p w14:paraId="3A529B62" w14:textId="77777777" w:rsidR="002D4FEC" w:rsidRPr="00416770" w:rsidRDefault="002D4FEC" w:rsidP="003B6893">
            <w:pPr>
              <w:spacing w:after="0" w:line="240" w:lineRule="auto"/>
              <w:rPr>
                <w:rFonts w:ascii="Calibri" w:eastAsia="Times New Roman" w:hAnsi="Calibri" w:cs="Calibri"/>
                <w:color w:val="000000"/>
              </w:rPr>
            </w:pPr>
            <w:r w:rsidRPr="00416770">
              <w:rPr>
                <w:rFonts w:ascii="Calibri" w:eastAsia="Times New Roman" w:hAnsi="Calibri" w:cs="Calibri"/>
                <w:color w:val="000000"/>
              </w:rPr>
              <w:t>ln(# floors)</w:t>
            </w:r>
          </w:p>
        </w:tc>
        <w:tc>
          <w:tcPr>
            <w:tcW w:w="1100" w:type="dxa"/>
            <w:tcBorders>
              <w:top w:val="nil"/>
              <w:left w:val="nil"/>
              <w:bottom w:val="nil"/>
              <w:right w:val="nil"/>
            </w:tcBorders>
            <w:shd w:val="clear" w:color="D9D9D9" w:fill="D9D9D9"/>
            <w:noWrap/>
            <w:vAlign w:val="bottom"/>
            <w:hideMark/>
          </w:tcPr>
          <w:p w14:paraId="0E1FCE54" w14:textId="77777777" w:rsidR="002D4FEC" w:rsidRPr="00416770" w:rsidRDefault="002D4FEC" w:rsidP="003B6893">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D9D9D9" w:fill="D9D9D9"/>
            <w:noWrap/>
            <w:vAlign w:val="bottom"/>
            <w:hideMark/>
          </w:tcPr>
          <w:p w14:paraId="753B2A2E"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0.0764</w:t>
            </w:r>
          </w:p>
        </w:tc>
        <w:tc>
          <w:tcPr>
            <w:tcW w:w="1240" w:type="dxa"/>
            <w:tcBorders>
              <w:top w:val="nil"/>
              <w:left w:val="nil"/>
              <w:bottom w:val="nil"/>
              <w:right w:val="nil"/>
            </w:tcBorders>
            <w:shd w:val="clear" w:color="D9D9D9" w:fill="D9D9D9"/>
            <w:noWrap/>
            <w:vAlign w:val="bottom"/>
            <w:hideMark/>
          </w:tcPr>
          <w:p w14:paraId="79CE135B"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0.0244</w:t>
            </w:r>
          </w:p>
        </w:tc>
      </w:tr>
      <w:tr w:rsidR="002D4FEC" w:rsidRPr="00416770" w14:paraId="5EB6BA3E" w14:textId="77777777" w:rsidTr="003B6893">
        <w:trPr>
          <w:trHeight w:val="295"/>
        </w:trPr>
        <w:tc>
          <w:tcPr>
            <w:tcW w:w="3035" w:type="dxa"/>
            <w:tcBorders>
              <w:top w:val="nil"/>
              <w:left w:val="nil"/>
              <w:bottom w:val="nil"/>
              <w:right w:val="nil"/>
            </w:tcBorders>
            <w:shd w:val="clear" w:color="auto" w:fill="auto"/>
            <w:noWrap/>
            <w:vAlign w:val="bottom"/>
            <w:hideMark/>
          </w:tcPr>
          <w:p w14:paraId="583DA6F4" w14:textId="77777777" w:rsidR="002D4FEC" w:rsidRPr="00416770" w:rsidRDefault="002D4FEC" w:rsidP="003B6893">
            <w:pPr>
              <w:spacing w:after="0" w:line="240" w:lineRule="auto"/>
              <w:jc w:val="right"/>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14:paraId="503ABCFA" w14:textId="77777777" w:rsidR="002D4FEC" w:rsidRPr="00416770" w:rsidRDefault="002D4FEC" w:rsidP="003B6893">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709098"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(1.88)</w:t>
            </w:r>
          </w:p>
        </w:tc>
        <w:tc>
          <w:tcPr>
            <w:tcW w:w="1240" w:type="dxa"/>
            <w:tcBorders>
              <w:top w:val="nil"/>
              <w:left w:val="nil"/>
              <w:bottom w:val="nil"/>
              <w:right w:val="nil"/>
            </w:tcBorders>
            <w:shd w:val="clear" w:color="auto" w:fill="auto"/>
            <w:noWrap/>
            <w:vAlign w:val="bottom"/>
            <w:hideMark/>
          </w:tcPr>
          <w:p w14:paraId="116805E4"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(0.81)</w:t>
            </w:r>
          </w:p>
        </w:tc>
      </w:tr>
      <w:tr w:rsidR="002D4FEC" w:rsidRPr="00416770" w14:paraId="748FB0A1" w14:textId="77777777" w:rsidTr="003B6893">
        <w:trPr>
          <w:trHeight w:val="295"/>
        </w:trPr>
        <w:tc>
          <w:tcPr>
            <w:tcW w:w="3035" w:type="dxa"/>
            <w:tcBorders>
              <w:top w:val="nil"/>
              <w:left w:val="nil"/>
              <w:bottom w:val="nil"/>
              <w:right w:val="nil"/>
            </w:tcBorders>
            <w:shd w:val="clear" w:color="D9D9D9" w:fill="D9D9D9"/>
            <w:noWrap/>
            <w:vAlign w:val="bottom"/>
            <w:hideMark/>
          </w:tcPr>
          <w:p w14:paraId="2313C221" w14:textId="77777777" w:rsidR="002D4FEC" w:rsidRPr="00416770" w:rsidRDefault="002D4FEC" w:rsidP="003B6893">
            <w:pPr>
              <w:spacing w:after="0" w:line="240" w:lineRule="auto"/>
              <w:rPr>
                <w:rFonts w:ascii="Calibri" w:eastAsia="Times New Roman" w:hAnsi="Calibri" w:cs="Calibri"/>
                <w:color w:val="000000"/>
              </w:rPr>
            </w:pPr>
            <w:r>
              <w:rPr>
                <w:rFonts w:ascii="Calibri" w:eastAsia="Times New Roman" w:hAnsi="Calibri" w:cs="Calibri"/>
                <w:color w:val="000000"/>
              </w:rPr>
              <w:t>D</w:t>
            </w:r>
            <w:r w:rsidRPr="00416770">
              <w:rPr>
                <w:rFonts w:ascii="Calibri" w:eastAsia="Times New Roman" w:hAnsi="Calibri" w:cs="Calibri"/>
                <w:color w:val="000000"/>
              </w:rPr>
              <w:t>ist. to shore (miles)</w:t>
            </w:r>
          </w:p>
        </w:tc>
        <w:tc>
          <w:tcPr>
            <w:tcW w:w="1100" w:type="dxa"/>
            <w:tcBorders>
              <w:top w:val="nil"/>
              <w:left w:val="nil"/>
              <w:bottom w:val="nil"/>
              <w:right w:val="nil"/>
            </w:tcBorders>
            <w:shd w:val="clear" w:color="D9D9D9" w:fill="D9D9D9"/>
            <w:noWrap/>
            <w:vAlign w:val="bottom"/>
            <w:hideMark/>
          </w:tcPr>
          <w:p w14:paraId="480B2B27" w14:textId="77777777" w:rsidR="002D4FEC" w:rsidRPr="00416770" w:rsidRDefault="002D4FEC" w:rsidP="003B6893">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D9D9D9" w:fill="D9D9D9"/>
            <w:noWrap/>
            <w:vAlign w:val="bottom"/>
            <w:hideMark/>
          </w:tcPr>
          <w:p w14:paraId="6F8355BA" w14:textId="77777777" w:rsidR="002D4FEC" w:rsidRPr="00416770" w:rsidRDefault="002D4FEC" w:rsidP="003B6893">
            <w:pPr>
              <w:spacing w:after="0" w:line="240" w:lineRule="auto"/>
              <w:jc w:val="right"/>
              <w:rPr>
                <w:rFonts w:ascii="Times New Roman" w:eastAsia="Times New Roman" w:hAnsi="Times New Roman" w:cs="Times New Roman"/>
                <w:sz w:val="20"/>
                <w:szCs w:val="20"/>
              </w:rPr>
            </w:pPr>
          </w:p>
        </w:tc>
        <w:tc>
          <w:tcPr>
            <w:tcW w:w="1240" w:type="dxa"/>
            <w:tcBorders>
              <w:top w:val="nil"/>
              <w:left w:val="nil"/>
              <w:bottom w:val="nil"/>
              <w:right w:val="nil"/>
            </w:tcBorders>
            <w:shd w:val="clear" w:color="D9D9D9" w:fill="D9D9D9"/>
            <w:noWrap/>
            <w:vAlign w:val="bottom"/>
            <w:hideMark/>
          </w:tcPr>
          <w:p w14:paraId="1C7CA341"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 xml:space="preserve">0.0699** </w:t>
            </w:r>
          </w:p>
        </w:tc>
      </w:tr>
      <w:tr w:rsidR="002D4FEC" w:rsidRPr="00416770" w14:paraId="19F741B6" w14:textId="77777777" w:rsidTr="003B6893">
        <w:trPr>
          <w:trHeight w:val="295"/>
        </w:trPr>
        <w:tc>
          <w:tcPr>
            <w:tcW w:w="3035" w:type="dxa"/>
            <w:tcBorders>
              <w:top w:val="nil"/>
              <w:left w:val="nil"/>
              <w:bottom w:val="nil"/>
              <w:right w:val="nil"/>
            </w:tcBorders>
            <w:shd w:val="clear" w:color="auto" w:fill="auto"/>
            <w:noWrap/>
            <w:vAlign w:val="bottom"/>
            <w:hideMark/>
          </w:tcPr>
          <w:p w14:paraId="4777FD49" w14:textId="77777777" w:rsidR="002D4FEC" w:rsidRPr="00416770" w:rsidRDefault="002D4FEC" w:rsidP="003B6893">
            <w:pPr>
              <w:spacing w:after="0" w:line="240" w:lineRule="auto"/>
              <w:jc w:val="right"/>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14:paraId="613CA977" w14:textId="77777777" w:rsidR="002D4FEC" w:rsidRPr="00416770" w:rsidRDefault="002D4FEC" w:rsidP="003B6893">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3E332A" w14:textId="77777777" w:rsidR="002D4FEC" w:rsidRPr="00416770" w:rsidRDefault="002D4FEC" w:rsidP="003B6893">
            <w:pPr>
              <w:spacing w:after="0" w:line="240" w:lineRule="auto"/>
              <w:jc w:val="right"/>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403DB28A"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(4.02)</w:t>
            </w:r>
          </w:p>
        </w:tc>
      </w:tr>
      <w:tr w:rsidR="002D4FEC" w:rsidRPr="00416770" w14:paraId="0408F6E1" w14:textId="77777777" w:rsidTr="003B6893">
        <w:trPr>
          <w:trHeight w:val="295"/>
        </w:trPr>
        <w:tc>
          <w:tcPr>
            <w:tcW w:w="3035" w:type="dxa"/>
            <w:tcBorders>
              <w:top w:val="nil"/>
              <w:left w:val="nil"/>
              <w:bottom w:val="nil"/>
              <w:right w:val="nil"/>
            </w:tcBorders>
            <w:shd w:val="clear" w:color="D9D9D9" w:fill="D9D9D9"/>
            <w:noWrap/>
            <w:vAlign w:val="bottom"/>
            <w:hideMark/>
          </w:tcPr>
          <w:p w14:paraId="3DA093F9" w14:textId="77777777" w:rsidR="002D4FEC" w:rsidRPr="00416770" w:rsidRDefault="002D4FEC" w:rsidP="003B6893">
            <w:pPr>
              <w:spacing w:after="0" w:line="240" w:lineRule="auto"/>
              <w:rPr>
                <w:rFonts w:ascii="Calibri" w:eastAsia="Times New Roman" w:hAnsi="Calibri" w:cs="Calibri"/>
                <w:color w:val="000000"/>
              </w:rPr>
            </w:pPr>
            <w:r>
              <w:rPr>
                <w:rFonts w:ascii="Calibri" w:eastAsia="Times New Roman" w:hAnsi="Calibri" w:cs="Calibri"/>
                <w:color w:val="000000"/>
              </w:rPr>
              <w:t>C</w:t>
            </w:r>
            <w:r w:rsidRPr="00416770">
              <w:rPr>
                <w:rFonts w:ascii="Calibri" w:eastAsia="Times New Roman" w:hAnsi="Calibri" w:cs="Calibri"/>
                <w:color w:val="000000"/>
              </w:rPr>
              <w:t>onstant</w:t>
            </w:r>
          </w:p>
        </w:tc>
        <w:tc>
          <w:tcPr>
            <w:tcW w:w="1100" w:type="dxa"/>
            <w:tcBorders>
              <w:top w:val="nil"/>
              <w:left w:val="nil"/>
              <w:bottom w:val="nil"/>
              <w:right w:val="nil"/>
            </w:tcBorders>
            <w:shd w:val="clear" w:color="D9D9D9" w:fill="D9D9D9"/>
            <w:noWrap/>
            <w:vAlign w:val="bottom"/>
            <w:hideMark/>
          </w:tcPr>
          <w:p w14:paraId="54597B6B"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5.417***</w:t>
            </w:r>
          </w:p>
        </w:tc>
        <w:tc>
          <w:tcPr>
            <w:tcW w:w="1260" w:type="dxa"/>
            <w:tcBorders>
              <w:top w:val="nil"/>
              <w:left w:val="nil"/>
              <w:bottom w:val="nil"/>
              <w:right w:val="nil"/>
            </w:tcBorders>
            <w:shd w:val="clear" w:color="D9D9D9" w:fill="D9D9D9"/>
            <w:noWrap/>
            <w:vAlign w:val="bottom"/>
            <w:hideMark/>
          </w:tcPr>
          <w:p w14:paraId="07E0880C"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7.727***</w:t>
            </w:r>
          </w:p>
        </w:tc>
        <w:tc>
          <w:tcPr>
            <w:tcW w:w="1240" w:type="dxa"/>
            <w:tcBorders>
              <w:top w:val="nil"/>
              <w:left w:val="nil"/>
              <w:bottom w:val="nil"/>
              <w:right w:val="nil"/>
            </w:tcBorders>
            <w:shd w:val="clear" w:color="D9D9D9" w:fill="D9D9D9"/>
            <w:noWrap/>
            <w:vAlign w:val="bottom"/>
            <w:hideMark/>
          </w:tcPr>
          <w:p w14:paraId="4BCFF579"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9.038***</w:t>
            </w:r>
          </w:p>
        </w:tc>
      </w:tr>
      <w:tr w:rsidR="002D4FEC" w:rsidRPr="00416770" w14:paraId="7A6D2840" w14:textId="77777777" w:rsidTr="003B6893">
        <w:trPr>
          <w:trHeight w:val="295"/>
        </w:trPr>
        <w:tc>
          <w:tcPr>
            <w:tcW w:w="3035" w:type="dxa"/>
            <w:tcBorders>
              <w:top w:val="nil"/>
              <w:left w:val="nil"/>
              <w:bottom w:val="single" w:sz="4" w:space="0" w:color="auto"/>
              <w:right w:val="nil"/>
            </w:tcBorders>
            <w:shd w:val="clear" w:color="auto" w:fill="auto"/>
            <w:noWrap/>
            <w:vAlign w:val="bottom"/>
            <w:hideMark/>
          </w:tcPr>
          <w:p w14:paraId="66F3D9FF" w14:textId="77777777" w:rsidR="002D4FEC" w:rsidRPr="00416770" w:rsidRDefault="002D4FEC" w:rsidP="003B6893">
            <w:pPr>
              <w:spacing w:after="0" w:line="240" w:lineRule="auto"/>
              <w:rPr>
                <w:rFonts w:ascii="Calibri" w:eastAsia="Times New Roman" w:hAnsi="Calibri" w:cs="Calibri"/>
                <w:color w:val="000000"/>
              </w:rPr>
            </w:pPr>
            <w:r w:rsidRPr="00416770">
              <w:rPr>
                <w:rFonts w:ascii="Calibri" w:eastAsia="Times New Roman" w:hAnsi="Calibri" w:cs="Calibri"/>
                <w:color w:val="000000"/>
              </w:rPr>
              <w:t> </w:t>
            </w:r>
          </w:p>
        </w:tc>
        <w:tc>
          <w:tcPr>
            <w:tcW w:w="1100" w:type="dxa"/>
            <w:tcBorders>
              <w:top w:val="nil"/>
              <w:left w:val="nil"/>
              <w:bottom w:val="single" w:sz="4" w:space="0" w:color="auto"/>
              <w:right w:val="nil"/>
            </w:tcBorders>
            <w:shd w:val="clear" w:color="auto" w:fill="auto"/>
            <w:noWrap/>
            <w:vAlign w:val="bottom"/>
            <w:hideMark/>
          </w:tcPr>
          <w:p w14:paraId="33FEF7AF"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(318.31)</w:t>
            </w:r>
          </w:p>
        </w:tc>
        <w:tc>
          <w:tcPr>
            <w:tcW w:w="1260" w:type="dxa"/>
            <w:tcBorders>
              <w:top w:val="nil"/>
              <w:left w:val="nil"/>
              <w:bottom w:val="single" w:sz="4" w:space="0" w:color="auto"/>
              <w:right w:val="nil"/>
            </w:tcBorders>
            <w:shd w:val="clear" w:color="auto" w:fill="auto"/>
            <w:noWrap/>
            <w:vAlign w:val="bottom"/>
            <w:hideMark/>
          </w:tcPr>
          <w:p w14:paraId="5770CB91"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(27.49)</w:t>
            </w:r>
          </w:p>
        </w:tc>
        <w:tc>
          <w:tcPr>
            <w:tcW w:w="1240" w:type="dxa"/>
            <w:tcBorders>
              <w:top w:val="nil"/>
              <w:left w:val="nil"/>
              <w:bottom w:val="single" w:sz="4" w:space="0" w:color="auto"/>
              <w:right w:val="nil"/>
            </w:tcBorders>
            <w:shd w:val="clear" w:color="auto" w:fill="auto"/>
            <w:noWrap/>
            <w:vAlign w:val="bottom"/>
            <w:hideMark/>
          </w:tcPr>
          <w:p w14:paraId="1D3E4F19"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(67.42)</w:t>
            </w:r>
          </w:p>
        </w:tc>
      </w:tr>
      <w:tr w:rsidR="002D4FEC" w:rsidRPr="00416770" w14:paraId="6728C76D" w14:textId="77777777" w:rsidTr="003B6893">
        <w:trPr>
          <w:trHeight w:val="295"/>
        </w:trPr>
        <w:tc>
          <w:tcPr>
            <w:tcW w:w="3035" w:type="dxa"/>
            <w:tcBorders>
              <w:top w:val="nil"/>
              <w:left w:val="nil"/>
              <w:bottom w:val="nil"/>
              <w:right w:val="nil"/>
            </w:tcBorders>
            <w:shd w:val="clear" w:color="D9D9D9" w:fill="D9D9D9"/>
            <w:noWrap/>
            <w:vAlign w:val="bottom"/>
            <w:hideMark/>
          </w:tcPr>
          <w:p w14:paraId="48AE2BF7" w14:textId="77777777" w:rsidR="002D4FEC" w:rsidRPr="00416770" w:rsidRDefault="002D4FEC" w:rsidP="003B6893">
            <w:pPr>
              <w:spacing w:after="0" w:line="240" w:lineRule="auto"/>
              <w:rPr>
                <w:rFonts w:ascii="Calibri" w:eastAsia="Times New Roman" w:hAnsi="Calibri" w:cs="Calibri"/>
                <w:color w:val="000000"/>
              </w:rPr>
            </w:pPr>
            <w:r w:rsidRPr="00416770">
              <w:rPr>
                <w:rFonts w:ascii="Calibri" w:eastAsia="Times New Roman" w:hAnsi="Calibri" w:cs="Calibri"/>
                <w:color w:val="000000"/>
              </w:rPr>
              <w:t>N</w:t>
            </w:r>
          </w:p>
        </w:tc>
        <w:tc>
          <w:tcPr>
            <w:tcW w:w="1100" w:type="dxa"/>
            <w:tcBorders>
              <w:top w:val="nil"/>
              <w:left w:val="nil"/>
              <w:bottom w:val="nil"/>
              <w:right w:val="nil"/>
            </w:tcBorders>
            <w:shd w:val="clear" w:color="D9D9D9" w:fill="D9D9D9"/>
            <w:noWrap/>
            <w:vAlign w:val="bottom"/>
            <w:hideMark/>
          </w:tcPr>
          <w:p w14:paraId="5CD9815D"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23223</w:t>
            </w:r>
          </w:p>
        </w:tc>
        <w:tc>
          <w:tcPr>
            <w:tcW w:w="1260" w:type="dxa"/>
            <w:tcBorders>
              <w:top w:val="nil"/>
              <w:left w:val="nil"/>
              <w:bottom w:val="nil"/>
              <w:right w:val="nil"/>
            </w:tcBorders>
            <w:shd w:val="clear" w:color="D9D9D9" w:fill="D9D9D9"/>
            <w:noWrap/>
            <w:vAlign w:val="bottom"/>
            <w:hideMark/>
          </w:tcPr>
          <w:p w14:paraId="1F44B670"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23135</w:t>
            </w:r>
          </w:p>
        </w:tc>
        <w:tc>
          <w:tcPr>
            <w:tcW w:w="1240" w:type="dxa"/>
            <w:tcBorders>
              <w:top w:val="nil"/>
              <w:left w:val="nil"/>
              <w:bottom w:val="nil"/>
              <w:right w:val="nil"/>
            </w:tcBorders>
            <w:shd w:val="clear" w:color="D9D9D9" w:fill="D9D9D9"/>
            <w:noWrap/>
            <w:vAlign w:val="bottom"/>
            <w:hideMark/>
          </w:tcPr>
          <w:p w14:paraId="2A179E83"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23135</w:t>
            </w:r>
          </w:p>
        </w:tc>
      </w:tr>
      <w:tr w:rsidR="002D4FEC" w:rsidRPr="00416770" w14:paraId="67E8BF4E" w14:textId="77777777" w:rsidTr="003B6893">
        <w:trPr>
          <w:trHeight w:val="295"/>
        </w:trPr>
        <w:tc>
          <w:tcPr>
            <w:tcW w:w="3035" w:type="dxa"/>
            <w:tcBorders>
              <w:top w:val="nil"/>
              <w:left w:val="nil"/>
              <w:bottom w:val="nil"/>
              <w:right w:val="nil"/>
            </w:tcBorders>
            <w:shd w:val="clear" w:color="auto" w:fill="auto"/>
            <w:noWrap/>
            <w:vAlign w:val="bottom"/>
            <w:hideMark/>
          </w:tcPr>
          <w:p w14:paraId="22779783" w14:textId="77777777" w:rsidR="002D4FEC" w:rsidRPr="00416770" w:rsidRDefault="002D4FEC" w:rsidP="003B6893">
            <w:pPr>
              <w:spacing w:after="0" w:line="240" w:lineRule="auto"/>
              <w:rPr>
                <w:rFonts w:ascii="Calibri" w:eastAsia="Times New Roman" w:hAnsi="Calibri" w:cs="Calibri"/>
                <w:color w:val="000000"/>
              </w:rPr>
            </w:pPr>
            <w:r w:rsidRPr="00416770">
              <w:rPr>
                <w:rFonts w:ascii="Calibri" w:eastAsia="Times New Roman" w:hAnsi="Calibri" w:cs="Calibri"/>
                <w:color w:val="000000"/>
              </w:rPr>
              <w:t>R-sq</w:t>
            </w:r>
          </w:p>
        </w:tc>
        <w:tc>
          <w:tcPr>
            <w:tcW w:w="1100" w:type="dxa"/>
            <w:tcBorders>
              <w:top w:val="nil"/>
              <w:left w:val="nil"/>
              <w:bottom w:val="nil"/>
              <w:right w:val="nil"/>
            </w:tcBorders>
            <w:shd w:val="clear" w:color="auto" w:fill="auto"/>
            <w:noWrap/>
            <w:vAlign w:val="bottom"/>
            <w:hideMark/>
          </w:tcPr>
          <w:p w14:paraId="60FC3A2E"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0.457</w:t>
            </w:r>
          </w:p>
        </w:tc>
        <w:tc>
          <w:tcPr>
            <w:tcW w:w="1260" w:type="dxa"/>
            <w:tcBorders>
              <w:top w:val="nil"/>
              <w:left w:val="nil"/>
              <w:bottom w:val="nil"/>
              <w:right w:val="nil"/>
            </w:tcBorders>
            <w:shd w:val="clear" w:color="auto" w:fill="auto"/>
            <w:noWrap/>
            <w:vAlign w:val="bottom"/>
            <w:hideMark/>
          </w:tcPr>
          <w:p w14:paraId="4750DC63"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0.546</w:t>
            </w:r>
          </w:p>
        </w:tc>
        <w:tc>
          <w:tcPr>
            <w:tcW w:w="1240" w:type="dxa"/>
            <w:tcBorders>
              <w:top w:val="nil"/>
              <w:left w:val="nil"/>
              <w:bottom w:val="nil"/>
              <w:right w:val="nil"/>
            </w:tcBorders>
            <w:shd w:val="clear" w:color="auto" w:fill="auto"/>
            <w:noWrap/>
            <w:vAlign w:val="bottom"/>
            <w:hideMark/>
          </w:tcPr>
          <w:p w14:paraId="0423AE77"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0.568</w:t>
            </w:r>
          </w:p>
        </w:tc>
      </w:tr>
      <w:tr w:rsidR="002D4FEC" w:rsidRPr="00416770" w14:paraId="531985E6" w14:textId="77777777" w:rsidTr="003B6893">
        <w:trPr>
          <w:trHeight w:val="295"/>
        </w:trPr>
        <w:tc>
          <w:tcPr>
            <w:tcW w:w="3035" w:type="dxa"/>
            <w:tcBorders>
              <w:top w:val="nil"/>
              <w:left w:val="nil"/>
              <w:bottom w:val="nil"/>
              <w:right w:val="nil"/>
            </w:tcBorders>
            <w:shd w:val="clear" w:color="D9D9D9" w:fill="D9D9D9"/>
            <w:noWrap/>
            <w:vAlign w:val="bottom"/>
            <w:hideMark/>
          </w:tcPr>
          <w:p w14:paraId="66FFF664" w14:textId="77777777" w:rsidR="002D4FEC" w:rsidRPr="00416770" w:rsidRDefault="002D4FEC" w:rsidP="003B6893">
            <w:pPr>
              <w:spacing w:after="0" w:line="240" w:lineRule="auto"/>
              <w:rPr>
                <w:rFonts w:ascii="Calibri" w:eastAsia="Times New Roman" w:hAnsi="Calibri" w:cs="Calibri"/>
                <w:color w:val="000000"/>
              </w:rPr>
            </w:pPr>
            <w:r w:rsidRPr="00416770">
              <w:rPr>
                <w:rFonts w:ascii="Calibri" w:eastAsia="Times New Roman" w:hAnsi="Calibri" w:cs="Calibri"/>
                <w:color w:val="000000"/>
              </w:rPr>
              <w:t>adj. R-sq</w:t>
            </w:r>
          </w:p>
        </w:tc>
        <w:tc>
          <w:tcPr>
            <w:tcW w:w="1100" w:type="dxa"/>
            <w:tcBorders>
              <w:top w:val="nil"/>
              <w:left w:val="nil"/>
              <w:bottom w:val="nil"/>
              <w:right w:val="nil"/>
            </w:tcBorders>
            <w:shd w:val="clear" w:color="D9D9D9" w:fill="D9D9D9"/>
            <w:noWrap/>
            <w:vAlign w:val="bottom"/>
            <w:hideMark/>
          </w:tcPr>
          <w:p w14:paraId="049C391E"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0.423</w:t>
            </w:r>
          </w:p>
        </w:tc>
        <w:tc>
          <w:tcPr>
            <w:tcW w:w="1260" w:type="dxa"/>
            <w:tcBorders>
              <w:top w:val="nil"/>
              <w:left w:val="nil"/>
              <w:bottom w:val="nil"/>
              <w:right w:val="nil"/>
            </w:tcBorders>
            <w:shd w:val="clear" w:color="D9D9D9" w:fill="D9D9D9"/>
            <w:noWrap/>
            <w:vAlign w:val="bottom"/>
            <w:hideMark/>
          </w:tcPr>
          <w:p w14:paraId="7847DEC1"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0.518</w:t>
            </w:r>
          </w:p>
        </w:tc>
        <w:tc>
          <w:tcPr>
            <w:tcW w:w="1240" w:type="dxa"/>
            <w:tcBorders>
              <w:top w:val="nil"/>
              <w:left w:val="nil"/>
              <w:bottom w:val="nil"/>
              <w:right w:val="nil"/>
            </w:tcBorders>
            <w:shd w:val="clear" w:color="D9D9D9" w:fill="D9D9D9"/>
            <w:noWrap/>
            <w:vAlign w:val="bottom"/>
            <w:hideMark/>
          </w:tcPr>
          <w:p w14:paraId="78398E6B"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0.54</w:t>
            </w:r>
          </w:p>
        </w:tc>
      </w:tr>
      <w:tr w:rsidR="002D4FEC" w:rsidRPr="00416770" w14:paraId="0F393467" w14:textId="77777777" w:rsidTr="003B6893">
        <w:trPr>
          <w:trHeight w:val="295"/>
        </w:trPr>
        <w:tc>
          <w:tcPr>
            <w:tcW w:w="3035" w:type="dxa"/>
            <w:tcBorders>
              <w:top w:val="nil"/>
              <w:left w:val="nil"/>
              <w:bottom w:val="nil"/>
              <w:right w:val="nil"/>
            </w:tcBorders>
            <w:shd w:val="clear" w:color="auto" w:fill="auto"/>
            <w:noWrap/>
            <w:vAlign w:val="bottom"/>
            <w:hideMark/>
          </w:tcPr>
          <w:p w14:paraId="1532991B" w14:textId="77777777" w:rsidR="002D4FEC" w:rsidRPr="00416770" w:rsidRDefault="002D4FEC" w:rsidP="003B6893">
            <w:pPr>
              <w:spacing w:after="0" w:line="240" w:lineRule="auto"/>
              <w:rPr>
                <w:rFonts w:ascii="Calibri" w:eastAsia="Times New Roman" w:hAnsi="Calibri" w:cs="Calibri"/>
                <w:color w:val="000000"/>
              </w:rPr>
            </w:pPr>
            <w:r w:rsidRPr="00416770">
              <w:rPr>
                <w:rFonts w:ascii="Calibri" w:eastAsia="Times New Roman" w:hAnsi="Calibri" w:cs="Calibri"/>
                <w:color w:val="000000"/>
              </w:rPr>
              <w:t>AIC</w:t>
            </w:r>
          </w:p>
        </w:tc>
        <w:tc>
          <w:tcPr>
            <w:tcW w:w="1100" w:type="dxa"/>
            <w:tcBorders>
              <w:top w:val="nil"/>
              <w:left w:val="nil"/>
              <w:bottom w:val="nil"/>
              <w:right w:val="nil"/>
            </w:tcBorders>
            <w:shd w:val="clear" w:color="auto" w:fill="auto"/>
            <w:noWrap/>
            <w:vAlign w:val="bottom"/>
            <w:hideMark/>
          </w:tcPr>
          <w:p w14:paraId="51285E66"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22350.7</w:t>
            </w:r>
          </w:p>
        </w:tc>
        <w:tc>
          <w:tcPr>
            <w:tcW w:w="1260" w:type="dxa"/>
            <w:tcBorders>
              <w:top w:val="nil"/>
              <w:left w:val="nil"/>
              <w:bottom w:val="nil"/>
              <w:right w:val="nil"/>
            </w:tcBorders>
            <w:shd w:val="clear" w:color="auto" w:fill="auto"/>
            <w:noWrap/>
            <w:vAlign w:val="bottom"/>
            <w:hideMark/>
          </w:tcPr>
          <w:p w14:paraId="14BA54BC"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18141.6</w:t>
            </w:r>
          </w:p>
        </w:tc>
        <w:tc>
          <w:tcPr>
            <w:tcW w:w="1240" w:type="dxa"/>
            <w:tcBorders>
              <w:top w:val="nil"/>
              <w:left w:val="nil"/>
              <w:bottom w:val="nil"/>
              <w:right w:val="nil"/>
            </w:tcBorders>
            <w:shd w:val="clear" w:color="auto" w:fill="auto"/>
            <w:noWrap/>
            <w:vAlign w:val="bottom"/>
            <w:hideMark/>
          </w:tcPr>
          <w:p w14:paraId="4B51766E"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17027.7</w:t>
            </w:r>
          </w:p>
        </w:tc>
      </w:tr>
      <w:tr w:rsidR="002D4FEC" w:rsidRPr="00416770" w14:paraId="7CE38D0A" w14:textId="77777777" w:rsidTr="003B6893">
        <w:trPr>
          <w:trHeight w:val="295"/>
        </w:trPr>
        <w:tc>
          <w:tcPr>
            <w:tcW w:w="3035" w:type="dxa"/>
            <w:tcBorders>
              <w:top w:val="nil"/>
              <w:left w:val="nil"/>
              <w:bottom w:val="single" w:sz="4" w:space="0" w:color="000000"/>
              <w:right w:val="nil"/>
            </w:tcBorders>
            <w:shd w:val="clear" w:color="D9D9D9" w:fill="D9D9D9"/>
            <w:noWrap/>
            <w:vAlign w:val="bottom"/>
            <w:hideMark/>
          </w:tcPr>
          <w:p w14:paraId="209C101D" w14:textId="77777777" w:rsidR="002D4FEC" w:rsidRPr="00416770" w:rsidRDefault="002D4FEC" w:rsidP="003B6893">
            <w:pPr>
              <w:spacing w:after="0" w:line="240" w:lineRule="auto"/>
              <w:rPr>
                <w:rFonts w:ascii="Calibri" w:eastAsia="Times New Roman" w:hAnsi="Calibri" w:cs="Calibri"/>
                <w:color w:val="000000"/>
              </w:rPr>
            </w:pPr>
            <w:r w:rsidRPr="00416770">
              <w:rPr>
                <w:rFonts w:ascii="Calibri" w:eastAsia="Times New Roman" w:hAnsi="Calibri" w:cs="Calibri"/>
                <w:color w:val="000000"/>
              </w:rPr>
              <w:t>BIC</w:t>
            </w:r>
          </w:p>
        </w:tc>
        <w:tc>
          <w:tcPr>
            <w:tcW w:w="1100" w:type="dxa"/>
            <w:tcBorders>
              <w:top w:val="nil"/>
              <w:left w:val="nil"/>
              <w:bottom w:val="single" w:sz="4" w:space="0" w:color="000000"/>
              <w:right w:val="nil"/>
            </w:tcBorders>
            <w:shd w:val="clear" w:color="D9D9D9" w:fill="D9D9D9"/>
            <w:noWrap/>
            <w:vAlign w:val="bottom"/>
            <w:hideMark/>
          </w:tcPr>
          <w:p w14:paraId="1E22E0F5"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22382.9</w:t>
            </w:r>
          </w:p>
        </w:tc>
        <w:tc>
          <w:tcPr>
            <w:tcW w:w="1260" w:type="dxa"/>
            <w:tcBorders>
              <w:top w:val="nil"/>
              <w:left w:val="nil"/>
              <w:bottom w:val="single" w:sz="4" w:space="0" w:color="000000"/>
              <w:right w:val="nil"/>
            </w:tcBorders>
            <w:shd w:val="clear" w:color="D9D9D9" w:fill="D9D9D9"/>
            <w:noWrap/>
            <w:vAlign w:val="bottom"/>
            <w:hideMark/>
          </w:tcPr>
          <w:p w14:paraId="3B1CE83A"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18173.8</w:t>
            </w:r>
          </w:p>
        </w:tc>
        <w:tc>
          <w:tcPr>
            <w:tcW w:w="1240" w:type="dxa"/>
            <w:tcBorders>
              <w:top w:val="nil"/>
              <w:left w:val="nil"/>
              <w:bottom w:val="single" w:sz="4" w:space="0" w:color="000000"/>
              <w:right w:val="nil"/>
            </w:tcBorders>
            <w:shd w:val="clear" w:color="D9D9D9" w:fill="D9D9D9"/>
            <w:noWrap/>
            <w:vAlign w:val="bottom"/>
            <w:hideMark/>
          </w:tcPr>
          <w:p w14:paraId="5F05CF03" w14:textId="77777777" w:rsidR="002D4FEC" w:rsidRPr="00416770" w:rsidRDefault="002D4FEC" w:rsidP="003B6893">
            <w:pPr>
              <w:spacing w:after="0" w:line="240" w:lineRule="auto"/>
              <w:jc w:val="right"/>
              <w:rPr>
                <w:rFonts w:ascii="Calibri" w:eastAsia="Times New Roman" w:hAnsi="Calibri" w:cs="Calibri"/>
                <w:color w:val="000000"/>
              </w:rPr>
            </w:pPr>
            <w:r w:rsidRPr="00416770">
              <w:rPr>
                <w:rFonts w:ascii="Calibri" w:eastAsia="Times New Roman" w:hAnsi="Calibri" w:cs="Calibri"/>
                <w:color w:val="000000"/>
              </w:rPr>
              <w:t>17076</w:t>
            </w:r>
          </w:p>
        </w:tc>
      </w:tr>
    </w:tbl>
    <w:p w14:paraId="40A6A880" w14:textId="77777777" w:rsidR="002D4FEC" w:rsidRDefault="002D4FEC" w:rsidP="002D4FEC">
      <w:pPr>
        <w:pStyle w:val="NoSpacing"/>
        <w:rPr>
          <w:rFonts w:ascii="Times New Roman" w:hAnsi="Times New Roman" w:cs="Times New Roman"/>
          <w:sz w:val="20"/>
          <w:szCs w:val="20"/>
        </w:rPr>
      </w:pPr>
      <w:r w:rsidRPr="00F3779D">
        <w:rPr>
          <w:rFonts w:ascii="Times New Roman" w:hAnsi="Times New Roman" w:cs="Times New Roman"/>
          <w:sz w:val="20"/>
          <w:szCs w:val="20"/>
        </w:rPr>
        <w:t>Note</w:t>
      </w:r>
      <w:r>
        <w:rPr>
          <w:rFonts w:ascii="Times New Roman" w:hAnsi="Times New Roman" w:cs="Times New Roman"/>
          <w:sz w:val="20"/>
          <w:szCs w:val="20"/>
        </w:rPr>
        <w:t>s:</w:t>
      </w:r>
      <w:r w:rsidRPr="00F3779D">
        <w:rPr>
          <w:rFonts w:ascii="Times New Roman" w:hAnsi="Times New Roman" w:cs="Times New Roman"/>
          <w:sz w:val="20"/>
          <w:szCs w:val="20"/>
        </w:rPr>
        <w:t xml:space="preserve"> </w:t>
      </w:r>
      <w:r>
        <w:rPr>
          <w:rFonts w:ascii="Times New Roman" w:hAnsi="Times New Roman" w:cs="Times New Roman"/>
          <w:sz w:val="20"/>
          <w:szCs w:val="20"/>
        </w:rPr>
        <w:t>Column</w:t>
      </w:r>
      <w:r w:rsidRPr="00F3779D">
        <w:rPr>
          <w:rFonts w:ascii="Times New Roman" w:hAnsi="Times New Roman" w:cs="Times New Roman"/>
          <w:sz w:val="20"/>
          <w:szCs w:val="20"/>
        </w:rPr>
        <w:t xml:space="preserve"> (3) has additional building-level controls not shown. t statistics in parentheses.  </w:t>
      </w:r>
    </w:p>
    <w:p w14:paraId="549B17AE" w14:textId="77777777" w:rsidR="002D4FEC" w:rsidRDefault="002D4FEC" w:rsidP="002D4FEC">
      <w:pPr>
        <w:pStyle w:val="NoSpacing"/>
        <w:rPr>
          <w:rFonts w:ascii="Times New Roman" w:hAnsi="Times New Roman" w:cs="Times New Roman"/>
          <w:sz w:val="20"/>
          <w:szCs w:val="20"/>
        </w:rPr>
      </w:pPr>
      <w:r w:rsidRPr="00F3779D">
        <w:rPr>
          <w:rFonts w:ascii="Times New Roman" w:hAnsi="Times New Roman" w:cs="Times New Roman"/>
          <w:sz w:val="20"/>
          <w:szCs w:val="20"/>
        </w:rPr>
        <w:t>* p&lt;0.10, ** p&lt;0.05, *** p&lt;0.01. Standard errors clustered by borough.</w:t>
      </w:r>
      <w:r>
        <w:rPr>
          <w:rFonts w:ascii="Times New Roman" w:hAnsi="Times New Roman" w:cs="Times New Roman"/>
          <w:sz w:val="20"/>
          <w:szCs w:val="20"/>
        </w:rPr>
        <w:t xml:space="preserve"> All regressions contain year-quarter dummies and census tract fixed effects.</w:t>
      </w:r>
    </w:p>
    <w:p w14:paraId="5CE85E9A" w14:textId="77777777" w:rsidR="002D4FEC" w:rsidRDefault="002D4FEC" w:rsidP="002D4FEC">
      <w:pPr>
        <w:pStyle w:val="NoSpacing"/>
        <w:rPr>
          <w:rFonts w:ascii="Times New Roman" w:hAnsi="Times New Roman" w:cs="Times New Roman"/>
          <w:sz w:val="20"/>
          <w:szCs w:val="20"/>
        </w:rPr>
      </w:pPr>
    </w:p>
    <w:p w14:paraId="2B87C931" w14:textId="77777777" w:rsidR="00B85118" w:rsidRDefault="00B85118" w:rsidP="00B85118">
      <w:pPr>
        <w:pStyle w:val="NoSpacing"/>
        <w:rPr>
          <w:rFonts w:ascii="Times New Roman" w:hAnsi="Times New Roman" w:cs="Times New Roman"/>
          <w:sz w:val="20"/>
          <w:szCs w:val="20"/>
        </w:rPr>
      </w:pPr>
    </w:p>
    <w:p w14:paraId="133E2B07" w14:textId="77777777" w:rsidR="00B85118" w:rsidRDefault="00B85118" w:rsidP="00B85118">
      <w:pPr>
        <w:pStyle w:val="NoSpacing"/>
        <w:rPr>
          <w:rFonts w:ascii="Times New Roman" w:hAnsi="Times New Roman" w:cs="Times New Roman"/>
          <w:sz w:val="20"/>
          <w:szCs w:val="20"/>
        </w:rPr>
      </w:pPr>
    </w:p>
    <w:p w14:paraId="5305774B" w14:textId="77777777" w:rsidR="00B85118" w:rsidRDefault="00B85118" w:rsidP="00B85118">
      <w:pPr>
        <w:pStyle w:val="NoSpacing"/>
        <w:rPr>
          <w:rFonts w:ascii="Times New Roman" w:hAnsi="Times New Roman" w:cs="Times New Roman"/>
          <w:sz w:val="20"/>
          <w:szCs w:val="20"/>
        </w:rPr>
      </w:pPr>
    </w:p>
    <w:p w14:paraId="13BE6A97" w14:textId="77777777" w:rsidR="00B85118" w:rsidRDefault="00B85118" w:rsidP="00B85118">
      <w:pPr>
        <w:pStyle w:val="NoSpacing"/>
        <w:rPr>
          <w:rFonts w:ascii="Times New Roman" w:hAnsi="Times New Roman" w:cs="Times New Roman"/>
          <w:sz w:val="20"/>
          <w:szCs w:val="20"/>
        </w:rPr>
      </w:pPr>
    </w:p>
    <w:p w14:paraId="0B0BDD61" w14:textId="77777777" w:rsidR="00B85118" w:rsidRDefault="00B85118" w:rsidP="00B85118">
      <w:pPr>
        <w:pStyle w:val="NoSpacing"/>
        <w:rPr>
          <w:rFonts w:ascii="Times New Roman" w:hAnsi="Times New Roman" w:cs="Times New Roman"/>
          <w:sz w:val="20"/>
          <w:szCs w:val="20"/>
        </w:rPr>
      </w:pPr>
    </w:p>
    <w:p w14:paraId="61388064" w14:textId="77777777" w:rsidR="00B85118" w:rsidRDefault="00B85118" w:rsidP="00B85118">
      <w:pPr>
        <w:pStyle w:val="NoSpacing"/>
        <w:rPr>
          <w:rFonts w:ascii="Times New Roman" w:hAnsi="Times New Roman" w:cs="Times New Roman"/>
          <w:sz w:val="20"/>
          <w:szCs w:val="20"/>
        </w:rPr>
      </w:pPr>
    </w:p>
    <w:p w14:paraId="4FA27855" w14:textId="77777777" w:rsidR="00B85118" w:rsidRDefault="00B85118" w:rsidP="00B85118">
      <w:pPr>
        <w:pStyle w:val="NoSpacing"/>
        <w:rPr>
          <w:rFonts w:ascii="Times New Roman" w:hAnsi="Times New Roman" w:cs="Times New Roman"/>
          <w:sz w:val="20"/>
          <w:szCs w:val="20"/>
        </w:rPr>
      </w:pPr>
    </w:p>
    <w:p w14:paraId="26EF4652" w14:textId="77777777" w:rsidR="00B85118" w:rsidRDefault="00B85118" w:rsidP="00B85118">
      <w:pPr>
        <w:pStyle w:val="NoSpacing"/>
        <w:rPr>
          <w:rFonts w:ascii="Times New Roman" w:hAnsi="Times New Roman" w:cs="Times New Roman"/>
          <w:sz w:val="20"/>
          <w:szCs w:val="20"/>
        </w:rPr>
      </w:pPr>
    </w:p>
    <w:p w14:paraId="446991C7" w14:textId="77777777" w:rsidR="00B85118" w:rsidRDefault="00B85118" w:rsidP="00B85118">
      <w:pPr>
        <w:pStyle w:val="NoSpacing"/>
        <w:rPr>
          <w:rFonts w:ascii="Times New Roman" w:hAnsi="Times New Roman" w:cs="Times New Roman"/>
          <w:sz w:val="20"/>
          <w:szCs w:val="20"/>
        </w:rPr>
      </w:pPr>
    </w:p>
    <w:p w14:paraId="210A5EE7" w14:textId="77777777" w:rsidR="00B85118" w:rsidRDefault="00B85118" w:rsidP="00B85118">
      <w:pPr>
        <w:pStyle w:val="NoSpacing"/>
        <w:rPr>
          <w:rFonts w:ascii="Times New Roman" w:hAnsi="Times New Roman" w:cs="Times New Roman"/>
          <w:sz w:val="20"/>
          <w:szCs w:val="20"/>
        </w:rPr>
      </w:pPr>
    </w:p>
    <w:p w14:paraId="25E79511" w14:textId="77777777" w:rsidR="00B85118" w:rsidRDefault="00B85118" w:rsidP="00B85118">
      <w:pPr>
        <w:pStyle w:val="NoSpacing"/>
        <w:rPr>
          <w:rFonts w:ascii="Times New Roman" w:hAnsi="Times New Roman" w:cs="Times New Roman"/>
          <w:sz w:val="20"/>
          <w:szCs w:val="20"/>
        </w:rPr>
      </w:pPr>
    </w:p>
    <w:p w14:paraId="404E7C27" w14:textId="77777777" w:rsidR="00B85118" w:rsidRPr="00F3779D" w:rsidRDefault="00B85118" w:rsidP="00B85118">
      <w:pPr>
        <w:pStyle w:val="NoSpacing"/>
        <w:rPr>
          <w:rFonts w:ascii="Times New Roman" w:hAnsi="Times New Roman" w:cs="Times New Roman"/>
          <w:sz w:val="20"/>
          <w:szCs w:val="20"/>
        </w:rPr>
      </w:pPr>
    </w:p>
    <w:p w14:paraId="1DFDA8E1" w14:textId="21B6EBE2" w:rsidR="00B85118" w:rsidRDefault="00B85118" w:rsidP="00B85118">
      <w:pPr>
        <w:pStyle w:val="NoSpacing"/>
        <w:rPr>
          <w:rFonts w:ascii="Courier New" w:hAnsi="Courier New" w:cs="Courier New"/>
          <w:sz w:val="20"/>
          <w:szCs w:val="20"/>
        </w:rPr>
      </w:pPr>
    </w:p>
    <w:p w14:paraId="01840377" w14:textId="40858ED9" w:rsidR="000D23E7" w:rsidRDefault="000D23E7" w:rsidP="00B85118">
      <w:pPr>
        <w:pStyle w:val="NoSpacing"/>
        <w:rPr>
          <w:rFonts w:ascii="Courier New" w:hAnsi="Courier New" w:cs="Courier New"/>
          <w:sz w:val="20"/>
          <w:szCs w:val="20"/>
        </w:rPr>
      </w:pPr>
    </w:p>
    <w:p w14:paraId="5EC5F186" w14:textId="6ACF8D0D" w:rsidR="000D23E7" w:rsidRDefault="000D23E7" w:rsidP="00B85118">
      <w:pPr>
        <w:pStyle w:val="NoSpacing"/>
        <w:rPr>
          <w:rFonts w:ascii="Courier New" w:hAnsi="Courier New" w:cs="Courier New"/>
          <w:sz w:val="20"/>
          <w:szCs w:val="20"/>
        </w:rPr>
      </w:pPr>
    </w:p>
    <w:p w14:paraId="376310BA" w14:textId="6E8583B6" w:rsidR="000D23E7" w:rsidRDefault="000D23E7" w:rsidP="00B85118">
      <w:pPr>
        <w:pStyle w:val="NoSpacing"/>
        <w:rPr>
          <w:rFonts w:ascii="Courier New" w:hAnsi="Courier New" w:cs="Courier New"/>
          <w:sz w:val="20"/>
          <w:szCs w:val="20"/>
        </w:rPr>
      </w:pPr>
    </w:p>
    <w:p w14:paraId="131ADCA6" w14:textId="088F85C7" w:rsidR="000D23E7" w:rsidRDefault="000D23E7" w:rsidP="00B85118">
      <w:pPr>
        <w:pStyle w:val="NoSpacing"/>
        <w:rPr>
          <w:rFonts w:ascii="Courier New" w:hAnsi="Courier New" w:cs="Courier New"/>
          <w:sz w:val="20"/>
          <w:szCs w:val="20"/>
        </w:rPr>
      </w:pPr>
    </w:p>
    <w:p w14:paraId="050BE2FC" w14:textId="340FA029" w:rsidR="000D23E7" w:rsidRDefault="000D23E7" w:rsidP="00B85118">
      <w:pPr>
        <w:pStyle w:val="NoSpacing"/>
        <w:rPr>
          <w:rFonts w:ascii="Courier New" w:hAnsi="Courier New" w:cs="Courier New"/>
          <w:sz w:val="20"/>
          <w:szCs w:val="20"/>
        </w:rPr>
      </w:pPr>
    </w:p>
    <w:p w14:paraId="56800ABA" w14:textId="77777777" w:rsidR="000D23E7" w:rsidRDefault="000D23E7" w:rsidP="00B85118">
      <w:pPr>
        <w:pStyle w:val="NoSpacing"/>
        <w:rPr>
          <w:rFonts w:ascii="Courier New" w:hAnsi="Courier New" w:cs="Courier New"/>
          <w:sz w:val="20"/>
          <w:szCs w:val="20"/>
        </w:rPr>
      </w:pPr>
    </w:p>
    <w:p w14:paraId="56312551" w14:textId="77777777" w:rsidR="002D4FEC" w:rsidRPr="00F3779D" w:rsidRDefault="002D4FEC" w:rsidP="002D4FEC">
      <w:pPr>
        <w:pStyle w:val="NoSpacing"/>
        <w:rPr>
          <w:rFonts w:ascii="Times New Roman" w:hAnsi="Times New Roman" w:cs="Times New Roman"/>
          <w:b/>
          <w:bCs/>
          <w:sz w:val="24"/>
          <w:szCs w:val="24"/>
        </w:rPr>
      </w:pPr>
      <w:r w:rsidRPr="00F3779D">
        <w:rPr>
          <w:rFonts w:ascii="Times New Roman" w:hAnsi="Times New Roman" w:cs="Times New Roman"/>
          <w:b/>
          <w:bCs/>
          <w:sz w:val="24"/>
          <w:szCs w:val="24"/>
        </w:rPr>
        <w:t xml:space="preserve">Table </w:t>
      </w:r>
      <w:r>
        <w:rPr>
          <w:rFonts w:ascii="Times New Roman" w:hAnsi="Times New Roman" w:cs="Times New Roman"/>
          <w:b/>
          <w:bCs/>
          <w:sz w:val="24"/>
          <w:szCs w:val="24"/>
        </w:rPr>
        <w:t>3</w:t>
      </w:r>
      <w:r w:rsidRPr="00F3779D">
        <w:rPr>
          <w:rFonts w:ascii="Times New Roman" w:hAnsi="Times New Roman" w:cs="Times New Roman"/>
          <w:b/>
          <w:bCs/>
          <w:sz w:val="24"/>
          <w:szCs w:val="24"/>
        </w:rPr>
        <w:t xml:space="preserve">: </w:t>
      </w:r>
      <w:r>
        <w:rPr>
          <w:rFonts w:ascii="Times New Roman" w:hAnsi="Times New Roman" w:cs="Times New Roman"/>
          <w:b/>
          <w:bCs/>
          <w:sz w:val="24"/>
          <w:szCs w:val="24"/>
        </w:rPr>
        <w:t>Diff-In-Diff Regression for</w:t>
      </w:r>
      <w:r w:rsidRPr="00F3779D">
        <w:rPr>
          <w:rFonts w:ascii="Times New Roman" w:hAnsi="Times New Roman" w:cs="Times New Roman"/>
          <w:b/>
          <w:bCs/>
          <w:sz w:val="24"/>
          <w:szCs w:val="24"/>
        </w:rPr>
        <w:t xml:space="preserve"> Sandy within 1 mile. Dep. Var.: Ln(Price per square foot)</w:t>
      </w:r>
      <w:r>
        <w:rPr>
          <w:rFonts w:ascii="Times New Roman" w:hAnsi="Times New Roman" w:cs="Times New Roman"/>
          <w:b/>
          <w:bCs/>
          <w:sz w:val="24"/>
          <w:szCs w:val="24"/>
        </w:rPr>
        <w:t>, 2011-2014</w:t>
      </w:r>
    </w:p>
    <w:tbl>
      <w:tblPr>
        <w:tblW w:w="6733" w:type="dxa"/>
        <w:tblLook w:val="04A0" w:firstRow="1" w:lastRow="0" w:firstColumn="1" w:lastColumn="0" w:noHBand="0" w:noVBand="1"/>
      </w:tblPr>
      <w:tblGrid>
        <w:gridCol w:w="3016"/>
        <w:gridCol w:w="1047"/>
        <w:gridCol w:w="1335"/>
        <w:gridCol w:w="1335"/>
      </w:tblGrid>
      <w:tr w:rsidR="002D4FEC" w:rsidRPr="00784867" w14:paraId="4175E151" w14:textId="77777777" w:rsidTr="002263EA">
        <w:trPr>
          <w:trHeight w:val="295"/>
        </w:trPr>
        <w:tc>
          <w:tcPr>
            <w:tcW w:w="3016" w:type="dxa"/>
            <w:tcBorders>
              <w:top w:val="single" w:sz="4" w:space="0" w:color="000000"/>
              <w:left w:val="nil"/>
              <w:bottom w:val="single" w:sz="4" w:space="0" w:color="auto"/>
              <w:right w:val="nil"/>
            </w:tcBorders>
            <w:shd w:val="clear" w:color="auto" w:fill="auto"/>
            <w:noWrap/>
            <w:vAlign w:val="bottom"/>
            <w:hideMark/>
          </w:tcPr>
          <w:p w14:paraId="367174C9" w14:textId="77777777" w:rsidR="002D4FEC" w:rsidRPr="00784867" w:rsidRDefault="002D4FEC" w:rsidP="003B6893">
            <w:pPr>
              <w:spacing w:after="0" w:line="240" w:lineRule="auto"/>
              <w:jc w:val="center"/>
              <w:rPr>
                <w:rFonts w:ascii="Calibri" w:eastAsia="Times New Roman" w:hAnsi="Calibri" w:cs="Calibri"/>
                <w:b/>
                <w:bCs/>
                <w:color w:val="000000"/>
              </w:rPr>
            </w:pPr>
            <w:r w:rsidRPr="00784867">
              <w:rPr>
                <w:rFonts w:ascii="Calibri" w:eastAsia="Times New Roman" w:hAnsi="Calibri" w:cs="Calibri"/>
                <w:b/>
                <w:bCs/>
                <w:color w:val="000000"/>
              </w:rPr>
              <w:t>Variable</w:t>
            </w:r>
          </w:p>
        </w:tc>
        <w:tc>
          <w:tcPr>
            <w:tcW w:w="1047" w:type="dxa"/>
            <w:tcBorders>
              <w:top w:val="single" w:sz="4" w:space="0" w:color="000000"/>
              <w:left w:val="nil"/>
              <w:bottom w:val="single" w:sz="4" w:space="0" w:color="auto"/>
              <w:right w:val="nil"/>
            </w:tcBorders>
            <w:shd w:val="clear" w:color="auto" w:fill="auto"/>
            <w:noWrap/>
            <w:vAlign w:val="bottom"/>
            <w:hideMark/>
          </w:tcPr>
          <w:p w14:paraId="399A0D20" w14:textId="77777777" w:rsidR="002D4FEC" w:rsidRPr="00784867" w:rsidRDefault="002D4FEC" w:rsidP="003B6893">
            <w:pPr>
              <w:spacing w:after="0" w:line="240" w:lineRule="auto"/>
              <w:jc w:val="center"/>
              <w:rPr>
                <w:rFonts w:ascii="Calibri" w:eastAsia="Times New Roman" w:hAnsi="Calibri" w:cs="Calibri"/>
                <w:b/>
                <w:bCs/>
                <w:color w:val="000000"/>
              </w:rPr>
            </w:pPr>
            <w:r w:rsidRPr="00784867">
              <w:rPr>
                <w:rFonts w:ascii="Calibri" w:eastAsia="Times New Roman" w:hAnsi="Calibri" w:cs="Calibri"/>
                <w:b/>
                <w:bCs/>
                <w:color w:val="000000"/>
              </w:rPr>
              <w:t>(1)</w:t>
            </w:r>
          </w:p>
        </w:tc>
        <w:tc>
          <w:tcPr>
            <w:tcW w:w="1335" w:type="dxa"/>
            <w:tcBorders>
              <w:top w:val="single" w:sz="4" w:space="0" w:color="000000"/>
              <w:left w:val="nil"/>
              <w:bottom w:val="single" w:sz="4" w:space="0" w:color="auto"/>
              <w:right w:val="nil"/>
            </w:tcBorders>
            <w:shd w:val="clear" w:color="auto" w:fill="auto"/>
            <w:noWrap/>
            <w:vAlign w:val="bottom"/>
            <w:hideMark/>
          </w:tcPr>
          <w:p w14:paraId="65F650C0" w14:textId="77777777" w:rsidR="002D4FEC" w:rsidRPr="00784867" w:rsidRDefault="002D4FEC" w:rsidP="003B6893">
            <w:pPr>
              <w:spacing w:after="0" w:line="240" w:lineRule="auto"/>
              <w:jc w:val="center"/>
              <w:rPr>
                <w:rFonts w:ascii="Calibri" w:eastAsia="Times New Roman" w:hAnsi="Calibri" w:cs="Calibri"/>
                <w:b/>
                <w:bCs/>
                <w:color w:val="000000"/>
              </w:rPr>
            </w:pPr>
            <w:r w:rsidRPr="00784867">
              <w:rPr>
                <w:rFonts w:ascii="Calibri" w:eastAsia="Times New Roman" w:hAnsi="Calibri" w:cs="Calibri"/>
                <w:b/>
                <w:bCs/>
                <w:color w:val="000000"/>
              </w:rPr>
              <w:t>(2)</w:t>
            </w:r>
          </w:p>
        </w:tc>
        <w:tc>
          <w:tcPr>
            <w:tcW w:w="1335" w:type="dxa"/>
            <w:tcBorders>
              <w:top w:val="single" w:sz="4" w:space="0" w:color="000000"/>
              <w:left w:val="nil"/>
              <w:bottom w:val="single" w:sz="4" w:space="0" w:color="auto"/>
              <w:right w:val="nil"/>
            </w:tcBorders>
            <w:shd w:val="clear" w:color="auto" w:fill="auto"/>
            <w:noWrap/>
            <w:vAlign w:val="bottom"/>
            <w:hideMark/>
          </w:tcPr>
          <w:p w14:paraId="3584C492" w14:textId="77777777" w:rsidR="002D4FEC" w:rsidRPr="00784867" w:rsidRDefault="002D4FEC" w:rsidP="003B6893">
            <w:pPr>
              <w:spacing w:after="0" w:line="240" w:lineRule="auto"/>
              <w:jc w:val="center"/>
              <w:rPr>
                <w:rFonts w:ascii="Calibri" w:eastAsia="Times New Roman" w:hAnsi="Calibri" w:cs="Calibri"/>
                <w:b/>
                <w:bCs/>
                <w:color w:val="000000"/>
              </w:rPr>
            </w:pPr>
            <w:r w:rsidRPr="00784867">
              <w:rPr>
                <w:rFonts w:ascii="Calibri" w:eastAsia="Times New Roman" w:hAnsi="Calibri" w:cs="Calibri"/>
                <w:b/>
                <w:bCs/>
                <w:color w:val="000000"/>
              </w:rPr>
              <w:t>(3)</w:t>
            </w:r>
          </w:p>
        </w:tc>
      </w:tr>
      <w:tr w:rsidR="002D4FEC" w:rsidRPr="00784867" w14:paraId="609AE91C" w14:textId="77777777" w:rsidTr="002263EA">
        <w:trPr>
          <w:trHeight w:val="295"/>
        </w:trPr>
        <w:tc>
          <w:tcPr>
            <w:tcW w:w="3016" w:type="dxa"/>
            <w:tcBorders>
              <w:top w:val="nil"/>
              <w:left w:val="nil"/>
              <w:bottom w:val="nil"/>
              <w:right w:val="nil"/>
            </w:tcBorders>
            <w:shd w:val="clear" w:color="D9D9D9" w:fill="D9D9D9"/>
            <w:noWrap/>
            <w:vAlign w:val="bottom"/>
            <w:hideMark/>
          </w:tcPr>
          <w:p w14:paraId="6251B6D1" w14:textId="77777777" w:rsidR="002D4FEC" w:rsidRPr="00784867" w:rsidRDefault="002D4FEC" w:rsidP="003B6893">
            <w:pPr>
              <w:spacing w:after="0" w:line="240" w:lineRule="auto"/>
              <w:rPr>
                <w:rFonts w:ascii="Calibri" w:eastAsia="Times New Roman" w:hAnsi="Calibri" w:cs="Calibri"/>
                <w:color w:val="000000"/>
              </w:rPr>
            </w:pPr>
            <w:r>
              <w:rPr>
                <w:rFonts w:ascii="Calibri" w:eastAsia="Times New Roman" w:hAnsi="Calibri" w:cs="Calibri"/>
                <w:color w:val="000000"/>
              </w:rPr>
              <w:t>D</w:t>
            </w:r>
            <w:r w:rsidRPr="00784867">
              <w:rPr>
                <w:rFonts w:ascii="Calibri" w:eastAsia="Times New Roman" w:hAnsi="Calibri" w:cs="Calibri"/>
                <w:color w:val="000000"/>
              </w:rPr>
              <w:t>ist</w:t>
            </w:r>
            <w:r>
              <w:rPr>
                <w:rFonts w:ascii="Calibri" w:eastAsia="Times New Roman" w:hAnsi="Calibri" w:cs="Calibri"/>
                <w:color w:val="000000"/>
              </w:rPr>
              <w:t>.</w:t>
            </w:r>
            <w:r w:rsidRPr="00784867">
              <w:rPr>
                <w:rFonts w:ascii="Calibri" w:eastAsia="Times New Roman" w:hAnsi="Calibri" w:cs="Calibri"/>
                <w:color w:val="000000"/>
              </w:rPr>
              <w:t xml:space="preserve"> Sandy (miles) </w:t>
            </w:r>
            <w:r>
              <w:rPr>
                <w:rFonts w:ascii="Calibri" w:eastAsia="Times New Roman" w:hAnsi="Calibri" w:cs="Calibri"/>
                <w:color w:val="000000"/>
              </w:rPr>
              <w:t xml:space="preserve">x </w:t>
            </w:r>
            <w:proofErr w:type="spellStart"/>
            <w:r w:rsidRPr="00784867">
              <w:rPr>
                <w:rFonts w:ascii="Calibri" w:eastAsia="Times New Roman" w:hAnsi="Calibri" w:cs="Calibri"/>
                <w:color w:val="000000"/>
              </w:rPr>
              <w:t>PostSandy</w:t>
            </w:r>
            <w:proofErr w:type="spellEnd"/>
          </w:p>
        </w:tc>
        <w:tc>
          <w:tcPr>
            <w:tcW w:w="1047" w:type="dxa"/>
            <w:tcBorders>
              <w:top w:val="nil"/>
              <w:left w:val="nil"/>
              <w:bottom w:val="nil"/>
              <w:right w:val="nil"/>
            </w:tcBorders>
            <w:shd w:val="clear" w:color="D9D9D9" w:fill="D9D9D9"/>
            <w:noWrap/>
            <w:vAlign w:val="bottom"/>
            <w:hideMark/>
          </w:tcPr>
          <w:p w14:paraId="73DF5A52"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0.0638*</w:t>
            </w:r>
          </w:p>
        </w:tc>
        <w:tc>
          <w:tcPr>
            <w:tcW w:w="1335" w:type="dxa"/>
            <w:tcBorders>
              <w:top w:val="nil"/>
              <w:left w:val="nil"/>
              <w:bottom w:val="nil"/>
              <w:right w:val="nil"/>
            </w:tcBorders>
            <w:shd w:val="clear" w:color="D9D9D9" w:fill="D9D9D9"/>
            <w:noWrap/>
            <w:vAlign w:val="bottom"/>
            <w:hideMark/>
          </w:tcPr>
          <w:p w14:paraId="5A98F94B"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0.0696**</w:t>
            </w:r>
          </w:p>
        </w:tc>
        <w:tc>
          <w:tcPr>
            <w:tcW w:w="1335" w:type="dxa"/>
            <w:tcBorders>
              <w:top w:val="nil"/>
              <w:left w:val="nil"/>
              <w:bottom w:val="nil"/>
              <w:right w:val="nil"/>
            </w:tcBorders>
            <w:shd w:val="clear" w:color="D9D9D9" w:fill="D9D9D9"/>
            <w:noWrap/>
            <w:vAlign w:val="bottom"/>
            <w:hideMark/>
          </w:tcPr>
          <w:p w14:paraId="39A095AD"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0.0527*</w:t>
            </w:r>
          </w:p>
        </w:tc>
      </w:tr>
      <w:tr w:rsidR="002D4FEC" w:rsidRPr="00784867" w14:paraId="1820AA2B" w14:textId="77777777" w:rsidTr="002263EA">
        <w:trPr>
          <w:trHeight w:val="295"/>
        </w:trPr>
        <w:tc>
          <w:tcPr>
            <w:tcW w:w="3016" w:type="dxa"/>
            <w:tcBorders>
              <w:top w:val="nil"/>
              <w:left w:val="nil"/>
              <w:bottom w:val="nil"/>
              <w:right w:val="nil"/>
            </w:tcBorders>
            <w:shd w:val="clear" w:color="auto" w:fill="auto"/>
            <w:noWrap/>
            <w:vAlign w:val="bottom"/>
            <w:hideMark/>
          </w:tcPr>
          <w:p w14:paraId="31EDBA27" w14:textId="77777777" w:rsidR="002D4FEC" w:rsidRPr="00784867" w:rsidRDefault="002D4FEC" w:rsidP="003B6893">
            <w:pPr>
              <w:spacing w:after="0" w:line="240" w:lineRule="auto"/>
              <w:jc w:val="righ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14:paraId="080B41FD"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(2.30)</w:t>
            </w:r>
          </w:p>
        </w:tc>
        <w:tc>
          <w:tcPr>
            <w:tcW w:w="1335" w:type="dxa"/>
            <w:tcBorders>
              <w:top w:val="nil"/>
              <w:left w:val="nil"/>
              <w:bottom w:val="nil"/>
              <w:right w:val="nil"/>
            </w:tcBorders>
            <w:shd w:val="clear" w:color="auto" w:fill="auto"/>
            <w:noWrap/>
            <w:vAlign w:val="bottom"/>
            <w:hideMark/>
          </w:tcPr>
          <w:p w14:paraId="32EF35E4"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(3.02)</w:t>
            </w:r>
          </w:p>
        </w:tc>
        <w:tc>
          <w:tcPr>
            <w:tcW w:w="1335" w:type="dxa"/>
            <w:tcBorders>
              <w:top w:val="nil"/>
              <w:left w:val="nil"/>
              <w:bottom w:val="nil"/>
              <w:right w:val="nil"/>
            </w:tcBorders>
            <w:shd w:val="clear" w:color="auto" w:fill="auto"/>
            <w:noWrap/>
            <w:vAlign w:val="bottom"/>
            <w:hideMark/>
          </w:tcPr>
          <w:p w14:paraId="1DF34166"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(2.67)</w:t>
            </w:r>
          </w:p>
        </w:tc>
      </w:tr>
      <w:tr w:rsidR="002D4FEC" w:rsidRPr="00784867" w14:paraId="4F67FD24" w14:textId="77777777" w:rsidTr="002263EA">
        <w:trPr>
          <w:trHeight w:val="295"/>
        </w:trPr>
        <w:tc>
          <w:tcPr>
            <w:tcW w:w="3016" w:type="dxa"/>
            <w:tcBorders>
              <w:top w:val="nil"/>
              <w:left w:val="nil"/>
              <w:bottom w:val="nil"/>
              <w:right w:val="nil"/>
            </w:tcBorders>
            <w:shd w:val="clear" w:color="D9D9D9" w:fill="D9D9D9"/>
            <w:noWrap/>
            <w:vAlign w:val="bottom"/>
            <w:hideMark/>
          </w:tcPr>
          <w:p w14:paraId="382CEB5E" w14:textId="20DD8725" w:rsidR="002D4FEC" w:rsidRPr="00784867" w:rsidRDefault="002D4FEC" w:rsidP="003B6893">
            <w:pPr>
              <w:spacing w:after="0" w:line="240" w:lineRule="auto"/>
              <w:rPr>
                <w:rFonts w:ascii="Calibri" w:eastAsia="Times New Roman" w:hAnsi="Calibri" w:cs="Calibri"/>
                <w:color w:val="000000"/>
              </w:rPr>
            </w:pPr>
            <w:r>
              <w:rPr>
                <w:rFonts w:ascii="Calibri" w:eastAsia="Times New Roman" w:hAnsi="Calibri" w:cs="Calibri"/>
                <w:color w:val="000000"/>
              </w:rPr>
              <w:t>D</w:t>
            </w:r>
            <w:r w:rsidRPr="00784867">
              <w:rPr>
                <w:rFonts w:ascii="Calibri" w:eastAsia="Times New Roman" w:hAnsi="Calibri" w:cs="Calibri"/>
                <w:color w:val="000000"/>
              </w:rPr>
              <w:t>ist. to FEMA (miles</w:t>
            </w:r>
            <w:r w:rsidR="0044602D">
              <w:rPr>
                <w:rFonts w:ascii="Calibri" w:eastAsia="Times New Roman" w:hAnsi="Calibri" w:cs="Calibri"/>
                <w:color w:val="000000"/>
              </w:rPr>
              <w:t>)</w:t>
            </w:r>
          </w:p>
        </w:tc>
        <w:tc>
          <w:tcPr>
            <w:tcW w:w="1047" w:type="dxa"/>
            <w:tcBorders>
              <w:top w:val="nil"/>
              <w:left w:val="nil"/>
              <w:bottom w:val="nil"/>
              <w:right w:val="nil"/>
            </w:tcBorders>
            <w:shd w:val="clear" w:color="D9D9D9" w:fill="D9D9D9"/>
            <w:noWrap/>
            <w:vAlign w:val="bottom"/>
            <w:hideMark/>
          </w:tcPr>
          <w:p w14:paraId="2E4E5462"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-0.0283</w:t>
            </w:r>
          </w:p>
        </w:tc>
        <w:tc>
          <w:tcPr>
            <w:tcW w:w="1335" w:type="dxa"/>
            <w:tcBorders>
              <w:top w:val="nil"/>
              <w:left w:val="nil"/>
              <w:bottom w:val="nil"/>
              <w:right w:val="nil"/>
            </w:tcBorders>
            <w:shd w:val="clear" w:color="D9D9D9" w:fill="D9D9D9"/>
            <w:noWrap/>
            <w:vAlign w:val="bottom"/>
            <w:hideMark/>
          </w:tcPr>
          <w:p w14:paraId="0E080846"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-0.0143</w:t>
            </w:r>
          </w:p>
        </w:tc>
        <w:tc>
          <w:tcPr>
            <w:tcW w:w="1335" w:type="dxa"/>
            <w:tcBorders>
              <w:top w:val="nil"/>
              <w:left w:val="nil"/>
              <w:bottom w:val="nil"/>
              <w:right w:val="nil"/>
            </w:tcBorders>
            <w:shd w:val="clear" w:color="D9D9D9" w:fill="D9D9D9"/>
            <w:noWrap/>
            <w:vAlign w:val="bottom"/>
            <w:hideMark/>
          </w:tcPr>
          <w:p w14:paraId="653222A5"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-0.0520*</w:t>
            </w:r>
          </w:p>
        </w:tc>
      </w:tr>
      <w:tr w:rsidR="002D4FEC" w:rsidRPr="00784867" w14:paraId="13058AFC" w14:textId="77777777" w:rsidTr="002263EA">
        <w:trPr>
          <w:trHeight w:val="295"/>
        </w:trPr>
        <w:tc>
          <w:tcPr>
            <w:tcW w:w="3016" w:type="dxa"/>
            <w:tcBorders>
              <w:top w:val="nil"/>
              <w:left w:val="nil"/>
              <w:bottom w:val="nil"/>
              <w:right w:val="nil"/>
            </w:tcBorders>
            <w:shd w:val="clear" w:color="auto" w:fill="auto"/>
            <w:noWrap/>
            <w:vAlign w:val="bottom"/>
            <w:hideMark/>
          </w:tcPr>
          <w:p w14:paraId="636728D0" w14:textId="77777777" w:rsidR="002D4FEC" w:rsidRPr="00784867" w:rsidRDefault="002D4FEC" w:rsidP="003B6893">
            <w:pPr>
              <w:spacing w:after="0" w:line="240" w:lineRule="auto"/>
              <w:jc w:val="righ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14:paraId="0795B27F"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(1.32)</w:t>
            </w:r>
          </w:p>
        </w:tc>
        <w:tc>
          <w:tcPr>
            <w:tcW w:w="1335" w:type="dxa"/>
            <w:tcBorders>
              <w:top w:val="nil"/>
              <w:left w:val="nil"/>
              <w:bottom w:val="nil"/>
              <w:right w:val="nil"/>
            </w:tcBorders>
            <w:shd w:val="clear" w:color="auto" w:fill="auto"/>
            <w:noWrap/>
            <w:vAlign w:val="bottom"/>
            <w:hideMark/>
          </w:tcPr>
          <w:p w14:paraId="14ED5A14"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(0.78)</w:t>
            </w:r>
          </w:p>
        </w:tc>
        <w:tc>
          <w:tcPr>
            <w:tcW w:w="1335" w:type="dxa"/>
            <w:tcBorders>
              <w:top w:val="nil"/>
              <w:left w:val="nil"/>
              <w:bottom w:val="nil"/>
              <w:right w:val="nil"/>
            </w:tcBorders>
            <w:shd w:val="clear" w:color="auto" w:fill="auto"/>
            <w:noWrap/>
            <w:vAlign w:val="bottom"/>
            <w:hideMark/>
          </w:tcPr>
          <w:p w14:paraId="70A55D9F"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(2.23)</w:t>
            </w:r>
          </w:p>
        </w:tc>
      </w:tr>
      <w:tr w:rsidR="002D4FEC" w:rsidRPr="00784867" w14:paraId="267AA75E" w14:textId="77777777" w:rsidTr="002263EA">
        <w:trPr>
          <w:trHeight w:val="295"/>
        </w:trPr>
        <w:tc>
          <w:tcPr>
            <w:tcW w:w="3016" w:type="dxa"/>
            <w:tcBorders>
              <w:top w:val="nil"/>
              <w:left w:val="nil"/>
              <w:bottom w:val="nil"/>
              <w:right w:val="nil"/>
            </w:tcBorders>
            <w:shd w:val="clear" w:color="D9D9D9" w:fill="D9D9D9"/>
            <w:noWrap/>
            <w:vAlign w:val="bottom"/>
            <w:hideMark/>
          </w:tcPr>
          <w:p w14:paraId="56B1A084" w14:textId="77777777" w:rsidR="002D4FEC" w:rsidRPr="00784867" w:rsidRDefault="002D4FEC" w:rsidP="003B6893">
            <w:pPr>
              <w:spacing w:after="0" w:line="240" w:lineRule="auto"/>
              <w:rPr>
                <w:rFonts w:ascii="Calibri" w:eastAsia="Times New Roman" w:hAnsi="Calibri" w:cs="Calibri"/>
                <w:color w:val="000000"/>
              </w:rPr>
            </w:pPr>
            <w:r w:rsidRPr="00784867">
              <w:rPr>
                <w:rFonts w:ascii="Calibri" w:eastAsia="Times New Roman" w:hAnsi="Calibri" w:cs="Calibri"/>
                <w:color w:val="000000"/>
              </w:rPr>
              <w:t>ln(# units)</w:t>
            </w:r>
          </w:p>
        </w:tc>
        <w:tc>
          <w:tcPr>
            <w:tcW w:w="1047" w:type="dxa"/>
            <w:tcBorders>
              <w:top w:val="nil"/>
              <w:left w:val="nil"/>
              <w:bottom w:val="nil"/>
              <w:right w:val="nil"/>
            </w:tcBorders>
            <w:shd w:val="clear" w:color="D9D9D9" w:fill="D9D9D9"/>
            <w:noWrap/>
            <w:vAlign w:val="bottom"/>
            <w:hideMark/>
          </w:tcPr>
          <w:p w14:paraId="7767BFEA" w14:textId="77777777" w:rsidR="002D4FEC" w:rsidRPr="00784867" w:rsidRDefault="002D4FEC" w:rsidP="003B6893">
            <w:pPr>
              <w:spacing w:after="0" w:line="240" w:lineRule="auto"/>
              <w:rPr>
                <w:rFonts w:ascii="Calibri" w:eastAsia="Times New Roman" w:hAnsi="Calibri" w:cs="Calibri"/>
                <w:color w:val="000000"/>
              </w:rPr>
            </w:pPr>
          </w:p>
        </w:tc>
        <w:tc>
          <w:tcPr>
            <w:tcW w:w="1335" w:type="dxa"/>
            <w:tcBorders>
              <w:top w:val="nil"/>
              <w:left w:val="nil"/>
              <w:bottom w:val="nil"/>
              <w:right w:val="nil"/>
            </w:tcBorders>
            <w:shd w:val="clear" w:color="D9D9D9" w:fill="D9D9D9"/>
            <w:noWrap/>
            <w:vAlign w:val="bottom"/>
            <w:hideMark/>
          </w:tcPr>
          <w:p w14:paraId="623A7DA6"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0.130***</w:t>
            </w:r>
          </w:p>
        </w:tc>
        <w:tc>
          <w:tcPr>
            <w:tcW w:w="1335" w:type="dxa"/>
            <w:tcBorders>
              <w:top w:val="nil"/>
              <w:left w:val="nil"/>
              <w:bottom w:val="nil"/>
              <w:right w:val="nil"/>
            </w:tcBorders>
            <w:shd w:val="clear" w:color="D9D9D9" w:fill="D9D9D9"/>
            <w:noWrap/>
            <w:vAlign w:val="bottom"/>
            <w:hideMark/>
          </w:tcPr>
          <w:p w14:paraId="78F33D11"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0.375***</w:t>
            </w:r>
          </w:p>
        </w:tc>
      </w:tr>
      <w:tr w:rsidR="002D4FEC" w:rsidRPr="00784867" w14:paraId="20643C4E" w14:textId="77777777" w:rsidTr="002263EA">
        <w:trPr>
          <w:trHeight w:val="295"/>
        </w:trPr>
        <w:tc>
          <w:tcPr>
            <w:tcW w:w="3016" w:type="dxa"/>
            <w:tcBorders>
              <w:top w:val="nil"/>
              <w:left w:val="nil"/>
              <w:bottom w:val="nil"/>
              <w:right w:val="nil"/>
            </w:tcBorders>
            <w:shd w:val="clear" w:color="auto" w:fill="auto"/>
            <w:noWrap/>
            <w:vAlign w:val="bottom"/>
            <w:hideMark/>
          </w:tcPr>
          <w:p w14:paraId="4A739418" w14:textId="77777777" w:rsidR="002D4FEC" w:rsidRPr="00784867" w:rsidRDefault="002D4FEC" w:rsidP="003B6893">
            <w:pPr>
              <w:spacing w:after="0" w:line="240" w:lineRule="auto"/>
              <w:jc w:val="righ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14:paraId="4F05397B" w14:textId="77777777" w:rsidR="002D4FEC" w:rsidRPr="00784867" w:rsidRDefault="002D4FEC" w:rsidP="003B6893">
            <w:pPr>
              <w:spacing w:after="0" w:line="240" w:lineRule="auto"/>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noWrap/>
            <w:vAlign w:val="bottom"/>
            <w:hideMark/>
          </w:tcPr>
          <w:p w14:paraId="167AF895"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(5.23)</w:t>
            </w:r>
          </w:p>
        </w:tc>
        <w:tc>
          <w:tcPr>
            <w:tcW w:w="1335" w:type="dxa"/>
            <w:tcBorders>
              <w:top w:val="nil"/>
              <w:left w:val="nil"/>
              <w:bottom w:val="nil"/>
              <w:right w:val="nil"/>
            </w:tcBorders>
            <w:shd w:val="clear" w:color="auto" w:fill="auto"/>
            <w:noWrap/>
            <w:vAlign w:val="bottom"/>
            <w:hideMark/>
          </w:tcPr>
          <w:p w14:paraId="069F17E4"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(9.35)</w:t>
            </w:r>
          </w:p>
        </w:tc>
      </w:tr>
      <w:tr w:rsidR="002D4FEC" w:rsidRPr="00784867" w14:paraId="0538BE7A" w14:textId="77777777" w:rsidTr="002263EA">
        <w:trPr>
          <w:trHeight w:val="295"/>
        </w:trPr>
        <w:tc>
          <w:tcPr>
            <w:tcW w:w="3016" w:type="dxa"/>
            <w:tcBorders>
              <w:top w:val="nil"/>
              <w:left w:val="nil"/>
              <w:bottom w:val="nil"/>
              <w:right w:val="nil"/>
            </w:tcBorders>
            <w:shd w:val="clear" w:color="D9D9D9" w:fill="D9D9D9"/>
            <w:noWrap/>
            <w:vAlign w:val="bottom"/>
            <w:hideMark/>
          </w:tcPr>
          <w:p w14:paraId="406A31D6" w14:textId="77777777" w:rsidR="002D4FEC" w:rsidRPr="00784867" w:rsidRDefault="002D4FEC" w:rsidP="003B6893">
            <w:pPr>
              <w:spacing w:after="0" w:line="240" w:lineRule="auto"/>
              <w:rPr>
                <w:rFonts w:ascii="Calibri" w:eastAsia="Times New Roman" w:hAnsi="Calibri" w:cs="Calibri"/>
                <w:color w:val="000000"/>
              </w:rPr>
            </w:pPr>
            <w:r w:rsidRPr="00784867">
              <w:rPr>
                <w:rFonts w:ascii="Calibri" w:eastAsia="Times New Roman" w:hAnsi="Calibri" w:cs="Calibri"/>
                <w:color w:val="000000"/>
              </w:rPr>
              <w:t>ln(land area)</w:t>
            </w:r>
          </w:p>
        </w:tc>
        <w:tc>
          <w:tcPr>
            <w:tcW w:w="1047" w:type="dxa"/>
            <w:tcBorders>
              <w:top w:val="nil"/>
              <w:left w:val="nil"/>
              <w:bottom w:val="nil"/>
              <w:right w:val="nil"/>
            </w:tcBorders>
            <w:shd w:val="clear" w:color="D9D9D9" w:fill="D9D9D9"/>
            <w:noWrap/>
            <w:vAlign w:val="bottom"/>
            <w:hideMark/>
          </w:tcPr>
          <w:p w14:paraId="4506ACBE" w14:textId="77777777" w:rsidR="002D4FEC" w:rsidRPr="00784867" w:rsidRDefault="002D4FEC" w:rsidP="003B6893">
            <w:pPr>
              <w:spacing w:after="0" w:line="240" w:lineRule="auto"/>
              <w:rPr>
                <w:rFonts w:ascii="Calibri" w:eastAsia="Times New Roman" w:hAnsi="Calibri" w:cs="Calibri"/>
                <w:color w:val="000000"/>
              </w:rPr>
            </w:pPr>
          </w:p>
        </w:tc>
        <w:tc>
          <w:tcPr>
            <w:tcW w:w="1335" w:type="dxa"/>
            <w:tcBorders>
              <w:top w:val="nil"/>
              <w:left w:val="nil"/>
              <w:bottom w:val="nil"/>
              <w:right w:val="nil"/>
            </w:tcBorders>
            <w:shd w:val="clear" w:color="D9D9D9" w:fill="D9D9D9"/>
            <w:noWrap/>
            <w:vAlign w:val="bottom"/>
            <w:hideMark/>
          </w:tcPr>
          <w:p w14:paraId="2C1DD23C"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0.252***</w:t>
            </w:r>
          </w:p>
        </w:tc>
        <w:tc>
          <w:tcPr>
            <w:tcW w:w="1335" w:type="dxa"/>
            <w:tcBorders>
              <w:top w:val="nil"/>
              <w:left w:val="nil"/>
              <w:bottom w:val="nil"/>
              <w:right w:val="nil"/>
            </w:tcBorders>
            <w:shd w:val="clear" w:color="D9D9D9" w:fill="D9D9D9"/>
            <w:noWrap/>
            <w:vAlign w:val="bottom"/>
            <w:hideMark/>
          </w:tcPr>
          <w:p w14:paraId="0F172024"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0.184***</w:t>
            </w:r>
          </w:p>
        </w:tc>
      </w:tr>
      <w:tr w:rsidR="002D4FEC" w:rsidRPr="00784867" w14:paraId="3079BE13" w14:textId="77777777" w:rsidTr="002263EA">
        <w:trPr>
          <w:trHeight w:val="295"/>
        </w:trPr>
        <w:tc>
          <w:tcPr>
            <w:tcW w:w="3016" w:type="dxa"/>
            <w:tcBorders>
              <w:top w:val="nil"/>
              <w:left w:val="nil"/>
              <w:bottom w:val="nil"/>
              <w:right w:val="nil"/>
            </w:tcBorders>
            <w:shd w:val="clear" w:color="auto" w:fill="auto"/>
            <w:noWrap/>
            <w:vAlign w:val="bottom"/>
            <w:hideMark/>
          </w:tcPr>
          <w:p w14:paraId="6CF0070A" w14:textId="77777777" w:rsidR="002D4FEC" w:rsidRPr="00784867" w:rsidRDefault="002D4FEC" w:rsidP="003B6893">
            <w:pPr>
              <w:spacing w:after="0" w:line="240" w:lineRule="auto"/>
              <w:jc w:val="righ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14:paraId="4F4AF7BA" w14:textId="77777777" w:rsidR="002D4FEC" w:rsidRPr="00784867" w:rsidRDefault="002D4FEC" w:rsidP="003B6893">
            <w:pPr>
              <w:spacing w:after="0" w:line="240" w:lineRule="auto"/>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noWrap/>
            <w:vAlign w:val="bottom"/>
            <w:hideMark/>
          </w:tcPr>
          <w:p w14:paraId="0A0E8665"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(18.13)</w:t>
            </w:r>
          </w:p>
        </w:tc>
        <w:tc>
          <w:tcPr>
            <w:tcW w:w="1335" w:type="dxa"/>
            <w:tcBorders>
              <w:top w:val="nil"/>
              <w:left w:val="nil"/>
              <w:bottom w:val="nil"/>
              <w:right w:val="nil"/>
            </w:tcBorders>
            <w:shd w:val="clear" w:color="auto" w:fill="auto"/>
            <w:noWrap/>
            <w:vAlign w:val="bottom"/>
            <w:hideMark/>
          </w:tcPr>
          <w:p w14:paraId="6A4692C7"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(40.91)</w:t>
            </w:r>
          </w:p>
        </w:tc>
      </w:tr>
      <w:tr w:rsidR="002D4FEC" w:rsidRPr="00784867" w14:paraId="0743FE62" w14:textId="77777777" w:rsidTr="002263EA">
        <w:trPr>
          <w:trHeight w:val="295"/>
        </w:trPr>
        <w:tc>
          <w:tcPr>
            <w:tcW w:w="3016" w:type="dxa"/>
            <w:tcBorders>
              <w:top w:val="nil"/>
              <w:left w:val="nil"/>
              <w:bottom w:val="nil"/>
              <w:right w:val="nil"/>
            </w:tcBorders>
            <w:shd w:val="clear" w:color="D9D9D9" w:fill="D9D9D9"/>
            <w:noWrap/>
            <w:vAlign w:val="bottom"/>
            <w:hideMark/>
          </w:tcPr>
          <w:p w14:paraId="497DBA51" w14:textId="77777777" w:rsidR="002D4FEC" w:rsidRPr="00784867" w:rsidRDefault="002D4FEC" w:rsidP="003B6893">
            <w:pPr>
              <w:spacing w:after="0" w:line="240" w:lineRule="auto"/>
              <w:rPr>
                <w:rFonts w:ascii="Calibri" w:eastAsia="Times New Roman" w:hAnsi="Calibri" w:cs="Calibri"/>
                <w:color w:val="000000"/>
              </w:rPr>
            </w:pPr>
            <w:r w:rsidRPr="00784867">
              <w:rPr>
                <w:rFonts w:ascii="Calibri" w:eastAsia="Times New Roman" w:hAnsi="Calibri" w:cs="Calibri"/>
                <w:color w:val="000000"/>
              </w:rPr>
              <w:t>ln(age)</w:t>
            </w:r>
          </w:p>
        </w:tc>
        <w:tc>
          <w:tcPr>
            <w:tcW w:w="1047" w:type="dxa"/>
            <w:tcBorders>
              <w:top w:val="nil"/>
              <w:left w:val="nil"/>
              <w:bottom w:val="nil"/>
              <w:right w:val="nil"/>
            </w:tcBorders>
            <w:shd w:val="clear" w:color="D9D9D9" w:fill="D9D9D9"/>
            <w:noWrap/>
            <w:vAlign w:val="bottom"/>
            <w:hideMark/>
          </w:tcPr>
          <w:p w14:paraId="77617FFA" w14:textId="77777777" w:rsidR="002D4FEC" w:rsidRPr="00784867" w:rsidRDefault="002D4FEC" w:rsidP="003B6893">
            <w:pPr>
              <w:spacing w:after="0" w:line="240" w:lineRule="auto"/>
              <w:rPr>
                <w:rFonts w:ascii="Calibri" w:eastAsia="Times New Roman" w:hAnsi="Calibri" w:cs="Calibri"/>
                <w:color w:val="000000"/>
              </w:rPr>
            </w:pPr>
          </w:p>
        </w:tc>
        <w:tc>
          <w:tcPr>
            <w:tcW w:w="1335" w:type="dxa"/>
            <w:tcBorders>
              <w:top w:val="nil"/>
              <w:left w:val="nil"/>
              <w:bottom w:val="nil"/>
              <w:right w:val="nil"/>
            </w:tcBorders>
            <w:shd w:val="clear" w:color="D9D9D9" w:fill="D9D9D9"/>
            <w:noWrap/>
            <w:vAlign w:val="bottom"/>
            <w:hideMark/>
          </w:tcPr>
          <w:p w14:paraId="72778FC1"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-0.0639***</w:t>
            </w:r>
          </w:p>
        </w:tc>
        <w:tc>
          <w:tcPr>
            <w:tcW w:w="1335" w:type="dxa"/>
            <w:tcBorders>
              <w:top w:val="nil"/>
              <w:left w:val="nil"/>
              <w:bottom w:val="nil"/>
              <w:right w:val="nil"/>
            </w:tcBorders>
            <w:shd w:val="clear" w:color="D9D9D9" w:fill="D9D9D9"/>
            <w:noWrap/>
            <w:vAlign w:val="bottom"/>
            <w:hideMark/>
          </w:tcPr>
          <w:p w14:paraId="6FD2DBB7"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-0.0834***</w:t>
            </w:r>
          </w:p>
        </w:tc>
      </w:tr>
      <w:tr w:rsidR="002D4FEC" w:rsidRPr="00784867" w14:paraId="391799E3" w14:textId="77777777" w:rsidTr="002263EA">
        <w:trPr>
          <w:trHeight w:val="295"/>
        </w:trPr>
        <w:tc>
          <w:tcPr>
            <w:tcW w:w="3016" w:type="dxa"/>
            <w:tcBorders>
              <w:top w:val="nil"/>
              <w:left w:val="nil"/>
              <w:bottom w:val="nil"/>
              <w:right w:val="nil"/>
            </w:tcBorders>
            <w:shd w:val="clear" w:color="auto" w:fill="auto"/>
            <w:noWrap/>
            <w:vAlign w:val="bottom"/>
            <w:hideMark/>
          </w:tcPr>
          <w:p w14:paraId="5682B5AA" w14:textId="77777777" w:rsidR="002D4FEC" w:rsidRPr="00784867" w:rsidRDefault="002D4FEC" w:rsidP="003B6893">
            <w:pPr>
              <w:spacing w:after="0" w:line="240" w:lineRule="auto"/>
              <w:jc w:val="righ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14:paraId="6F802035" w14:textId="77777777" w:rsidR="002D4FEC" w:rsidRPr="00784867" w:rsidRDefault="002D4FEC" w:rsidP="003B6893">
            <w:pPr>
              <w:spacing w:after="0" w:line="240" w:lineRule="auto"/>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noWrap/>
            <w:vAlign w:val="bottom"/>
            <w:hideMark/>
          </w:tcPr>
          <w:p w14:paraId="21608F36"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(7.37)</w:t>
            </w:r>
          </w:p>
        </w:tc>
        <w:tc>
          <w:tcPr>
            <w:tcW w:w="1335" w:type="dxa"/>
            <w:tcBorders>
              <w:top w:val="nil"/>
              <w:left w:val="nil"/>
              <w:bottom w:val="nil"/>
              <w:right w:val="nil"/>
            </w:tcBorders>
            <w:shd w:val="clear" w:color="auto" w:fill="auto"/>
            <w:noWrap/>
            <w:vAlign w:val="bottom"/>
            <w:hideMark/>
          </w:tcPr>
          <w:p w14:paraId="1062CB22"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(8.24)</w:t>
            </w:r>
          </w:p>
        </w:tc>
      </w:tr>
      <w:tr w:rsidR="002D4FEC" w:rsidRPr="00784867" w14:paraId="0A7DB378" w14:textId="77777777" w:rsidTr="002263EA">
        <w:trPr>
          <w:trHeight w:val="295"/>
        </w:trPr>
        <w:tc>
          <w:tcPr>
            <w:tcW w:w="3016" w:type="dxa"/>
            <w:tcBorders>
              <w:top w:val="nil"/>
              <w:left w:val="nil"/>
              <w:bottom w:val="nil"/>
              <w:right w:val="nil"/>
            </w:tcBorders>
            <w:shd w:val="clear" w:color="D9D9D9" w:fill="D9D9D9"/>
            <w:noWrap/>
            <w:vAlign w:val="bottom"/>
            <w:hideMark/>
          </w:tcPr>
          <w:p w14:paraId="59777EB1" w14:textId="77777777" w:rsidR="002D4FEC" w:rsidRPr="00784867" w:rsidRDefault="002D4FEC" w:rsidP="003B6893">
            <w:pPr>
              <w:spacing w:after="0" w:line="240" w:lineRule="auto"/>
              <w:rPr>
                <w:rFonts w:ascii="Calibri" w:eastAsia="Times New Roman" w:hAnsi="Calibri" w:cs="Calibri"/>
                <w:color w:val="000000"/>
              </w:rPr>
            </w:pPr>
            <w:r w:rsidRPr="00784867">
              <w:rPr>
                <w:rFonts w:ascii="Calibri" w:eastAsia="Times New Roman" w:hAnsi="Calibri" w:cs="Calibri"/>
                <w:color w:val="000000"/>
              </w:rPr>
              <w:t>ln(building area)</w:t>
            </w:r>
          </w:p>
        </w:tc>
        <w:tc>
          <w:tcPr>
            <w:tcW w:w="1047" w:type="dxa"/>
            <w:tcBorders>
              <w:top w:val="nil"/>
              <w:left w:val="nil"/>
              <w:bottom w:val="nil"/>
              <w:right w:val="nil"/>
            </w:tcBorders>
            <w:shd w:val="clear" w:color="D9D9D9" w:fill="D9D9D9"/>
            <w:noWrap/>
            <w:vAlign w:val="bottom"/>
            <w:hideMark/>
          </w:tcPr>
          <w:p w14:paraId="58443559" w14:textId="77777777" w:rsidR="002D4FEC" w:rsidRPr="00784867" w:rsidRDefault="002D4FEC" w:rsidP="003B6893">
            <w:pPr>
              <w:spacing w:after="0" w:line="240" w:lineRule="auto"/>
              <w:rPr>
                <w:rFonts w:ascii="Calibri" w:eastAsia="Times New Roman" w:hAnsi="Calibri" w:cs="Calibri"/>
                <w:color w:val="000000"/>
              </w:rPr>
            </w:pPr>
          </w:p>
        </w:tc>
        <w:tc>
          <w:tcPr>
            <w:tcW w:w="1335" w:type="dxa"/>
            <w:tcBorders>
              <w:top w:val="nil"/>
              <w:left w:val="nil"/>
              <w:bottom w:val="nil"/>
              <w:right w:val="nil"/>
            </w:tcBorders>
            <w:shd w:val="clear" w:color="D9D9D9" w:fill="D9D9D9"/>
            <w:noWrap/>
            <w:vAlign w:val="bottom"/>
            <w:hideMark/>
          </w:tcPr>
          <w:p w14:paraId="4BBF8A7F"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-0.530***</w:t>
            </w:r>
          </w:p>
        </w:tc>
        <w:tc>
          <w:tcPr>
            <w:tcW w:w="1335" w:type="dxa"/>
            <w:tcBorders>
              <w:top w:val="nil"/>
              <w:left w:val="nil"/>
              <w:bottom w:val="nil"/>
              <w:right w:val="nil"/>
            </w:tcBorders>
            <w:shd w:val="clear" w:color="D9D9D9" w:fill="D9D9D9"/>
            <w:noWrap/>
            <w:vAlign w:val="bottom"/>
            <w:hideMark/>
          </w:tcPr>
          <w:p w14:paraId="0E310AF3"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-0.600***</w:t>
            </w:r>
          </w:p>
        </w:tc>
      </w:tr>
      <w:tr w:rsidR="002D4FEC" w:rsidRPr="00784867" w14:paraId="61435A06" w14:textId="77777777" w:rsidTr="002263EA">
        <w:trPr>
          <w:trHeight w:val="295"/>
        </w:trPr>
        <w:tc>
          <w:tcPr>
            <w:tcW w:w="3016" w:type="dxa"/>
            <w:tcBorders>
              <w:top w:val="nil"/>
              <w:left w:val="nil"/>
              <w:bottom w:val="nil"/>
              <w:right w:val="nil"/>
            </w:tcBorders>
            <w:shd w:val="clear" w:color="auto" w:fill="auto"/>
            <w:noWrap/>
            <w:vAlign w:val="bottom"/>
            <w:hideMark/>
          </w:tcPr>
          <w:p w14:paraId="135AB5FF" w14:textId="77777777" w:rsidR="002D4FEC" w:rsidRPr="00784867" w:rsidRDefault="002D4FEC" w:rsidP="003B6893">
            <w:pPr>
              <w:spacing w:after="0" w:line="240" w:lineRule="auto"/>
              <w:jc w:val="righ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14:paraId="1A04C258" w14:textId="77777777" w:rsidR="002D4FEC" w:rsidRPr="00784867" w:rsidRDefault="002D4FEC" w:rsidP="003B6893">
            <w:pPr>
              <w:spacing w:after="0" w:line="240" w:lineRule="auto"/>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noWrap/>
            <w:vAlign w:val="bottom"/>
            <w:hideMark/>
          </w:tcPr>
          <w:p w14:paraId="43A0611E"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(22.17)</w:t>
            </w:r>
          </w:p>
        </w:tc>
        <w:tc>
          <w:tcPr>
            <w:tcW w:w="1335" w:type="dxa"/>
            <w:tcBorders>
              <w:top w:val="nil"/>
              <w:left w:val="nil"/>
              <w:bottom w:val="nil"/>
              <w:right w:val="nil"/>
            </w:tcBorders>
            <w:shd w:val="clear" w:color="auto" w:fill="auto"/>
            <w:noWrap/>
            <w:vAlign w:val="bottom"/>
            <w:hideMark/>
          </w:tcPr>
          <w:p w14:paraId="7ABA89BF"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(32.89)</w:t>
            </w:r>
          </w:p>
        </w:tc>
      </w:tr>
      <w:tr w:rsidR="002D4FEC" w:rsidRPr="00784867" w14:paraId="25BCA1A9" w14:textId="77777777" w:rsidTr="002263EA">
        <w:trPr>
          <w:trHeight w:val="295"/>
        </w:trPr>
        <w:tc>
          <w:tcPr>
            <w:tcW w:w="3016" w:type="dxa"/>
            <w:tcBorders>
              <w:top w:val="nil"/>
              <w:left w:val="nil"/>
              <w:bottom w:val="nil"/>
              <w:right w:val="nil"/>
            </w:tcBorders>
            <w:shd w:val="clear" w:color="D9D9D9" w:fill="D9D9D9"/>
            <w:noWrap/>
            <w:vAlign w:val="bottom"/>
            <w:hideMark/>
          </w:tcPr>
          <w:p w14:paraId="6FE178E9" w14:textId="77777777" w:rsidR="002D4FEC" w:rsidRPr="00784867" w:rsidRDefault="002D4FEC" w:rsidP="003B6893">
            <w:pPr>
              <w:spacing w:after="0" w:line="240" w:lineRule="auto"/>
              <w:rPr>
                <w:rFonts w:ascii="Calibri" w:eastAsia="Times New Roman" w:hAnsi="Calibri" w:cs="Calibri"/>
                <w:color w:val="000000"/>
              </w:rPr>
            </w:pPr>
            <w:r w:rsidRPr="00784867">
              <w:rPr>
                <w:rFonts w:ascii="Calibri" w:eastAsia="Times New Roman" w:hAnsi="Calibri" w:cs="Calibri"/>
                <w:color w:val="000000"/>
              </w:rPr>
              <w:t>ln(# floors)</w:t>
            </w:r>
          </w:p>
        </w:tc>
        <w:tc>
          <w:tcPr>
            <w:tcW w:w="1047" w:type="dxa"/>
            <w:tcBorders>
              <w:top w:val="nil"/>
              <w:left w:val="nil"/>
              <w:bottom w:val="nil"/>
              <w:right w:val="nil"/>
            </w:tcBorders>
            <w:shd w:val="clear" w:color="D9D9D9" w:fill="D9D9D9"/>
            <w:noWrap/>
            <w:vAlign w:val="bottom"/>
            <w:hideMark/>
          </w:tcPr>
          <w:p w14:paraId="37E86F97" w14:textId="77777777" w:rsidR="002D4FEC" w:rsidRPr="00784867" w:rsidRDefault="002D4FEC" w:rsidP="003B6893">
            <w:pPr>
              <w:spacing w:after="0" w:line="240" w:lineRule="auto"/>
              <w:rPr>
                <w:rFonts w:ascii="Calibri" w:eastAsia="Times New Roman" w:hAnsi="Calibri" w:cs="Calibri"/>
                <w:color w:val="000000"/>
              </w:rPr>
            </w:pPr>
          </w:p>
        </w:tc>
        <w:tc>
          <w:tcPr>
            <w:tcW w:w="1335" w:type="dxa"/>
            <w:tcBorders>
              <w:top w:val="nil"/>
              <w:left w:val="nil"/>
              <w:bottom w:val="nil"/>
              <w:right w:val="nil"/>
            </w:tcBorders>
            <w:shd w:val="clear" w:color="D9D9D9" w:fill="D9D9D9"/>
            <w:noWrap/>
            <w:vAlign w:val="bottom"/>
            <w:hideMark/>
          </w:tcPr>
          <w:p w14:paraId="6B0DD1E3"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0.0783</w:t>
            </w:r>
          </w:p>
        </w:tc>
        <w:tc>
          <w:tcPr>
            <w:tcW w:w="1335" w:type="dxa"/>
            <w:tcBorders>
              <w:top w:val="nil"/>
              <w:left w:val="nil"/>
              <w:bottom w:val="nil"/>
              <w:right w:val="nil"/>
            </w:tcBorders>
            <w:shd w:val="clear" w:color="D9D9D9" w:fill="D9D9D9"/>
            <w:noWrap/>
            <w:vAlign w:val="bottom"/>
            <w:hideMark/>
          </w:tcPr>
          <w:p w14:paraId="0C39F019"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0.0202</w:t>
            </w:r>
          </w:p>
        </w:tc>
      </w:tr>
      <w:tr w:rsidR="002D4FEC" w:rsidRPr="00784867" w14:paraId="3BC65497" w14:textId="77777777" w:rsidTr="002263EA">
        <w:trPr>
          <w:trHeight w:val="295"/>
        </w:trPr>
        <w:tc>
          <w:tcPr>
            <w:tcW w:w="3016" w:type="dxa"/>
            <w:tcBorders>
              <w:top w:val="nil"/>
              <w:left w:val="nil"/>
              <w:bottom w:val="nil"/>
              <w:right w:val="nil"/>
            </w:tcBorders>
            <w:shd w:val="clear" w:color="auto" w:fill="auto"/>
            <w:noWrap/>
            <w:vAlign w:val="bottom"/>
            <w:hideMark/>
          </w:tcPr>
          <w:p w14:paraId="50929B2C" w14:textId="77777777" w:rsidR="002D4FEC" w:rsidRPr="00784867" w:rsidRDefault="002D4FEC" w:rsidP="003B6893">
            <w:pPr>
              <w:spacing w:after="0" w:line="240" w:lineRule="auto"/>
              <w:jc w:val="righ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14:paraId="2357CB77" w14:textId="77777777" w:rsidR="002D4FEC" w:rsidRPr="00784867" w:rsidRDefault="002D4FEC" w:rsidP="003B6893">
            <w:pPr>
              <w:spacing w:after="0" w:line="240" w:lineRule="auto"/>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noWrap/>
            <w:vAlign w:val="bottom"/>
            <w:hideMark/>
          </w:tcPr>
          <w:p w14:paraId="7A255DF5"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(2.03)</w:t>
            </w:r>
          </w:p>
        </w:tc>
        <w:tc>
          <w:tcPr>
            <w:tcW w:w="1335" w:type="dxa"/>
            <w:tcBorders>
              <w:top w:val="nil"/>
              <w:left w:val="nil"/>
              <w:bottom w:val="nil"/>
              <w:right w:val="nil"/>
            </w:tcBorders>
            <w:shd w:val="clear" w:color="auto" w:fill="auto"/>
            <w:noWrap/>
            <w:vAlign w:val="bottom"/>
            <w:hideMark/>
          </w:tcPr>
          <w:p w14:paraId="06927605"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(0.89)</w:t>
            </w:r>
          </w:p>
        </w:tc>
      </w:tr>
      <w:tr w:rsidR="002D4FEC" w:rsidRPr="00784867" w14:paraId="1535CB53" w14:textId="77777777" w:rsidTr="002263EA">
        <w:trPr>
          <w:trHeight w:val="295"/>
        </w:trPr>
        <w:tc>
          <w:tcPr>
            <w:tcW w:w="3016" w:type="dxa"/>
            <w:tcBorders>
              <w:top w:val="nil"/>
              <w:left w:val="nil"/>
              <w:bottom w:val="nil"/>
              <w:right w:val="nil"/>
            </w:tcBorders>
            <w:shd w:val="clear" w:color="D9D9D9" w:fill="D9D9D9"/>
            <w:noWrap/>
            <w:vAlign w:val="bottom"/>
            <w:hideMark/>
          </w:tcPr>
          <w:p w14:paraId="42A7F63A" w14:textId="77777777" w:rsidR="002D4FEC" w:rsidRPr="00784867" w:rsidRDefault="002D4FEC" w:rsidP="003B6893">
            <w:pPr>
              <w:spacing w:after="0" w:line="240" w:lineRule="auto"/>
              <w:rPr>
                <w:rFonts w:ascii="Calibri" w:eastAsia="Times New Roman" w:hAnsi="Calibri" w:cs="Calibri"/>
                <w:color w:val="000000"/>
              </w:rPr>
            </w:pPr>
            <w:r>
              <w:rPr>
                <w:rFonts w:ascii="Calibri" w:eastAsia="Times New Roman" w:hAnsi="Calibri" w:cs="Calibri"/>
                <w:color w:val="000000"/>
              </w:rPr>
              <w:t>D</w:t>
            </w:r>
            <w:r w:rsidRPr="00784867">
              <w:rPr>
                <w:rFonts w:ascii="Calibri" w:eastAsia="Times New Roman" w:hAnsi="Calibri" w:cs="Calibri"/>
                <w:color w:val="000000"/>
              </w:rPr>
              <w:t>ist. to shore (miles)</w:t>
            </w:r>
          </w:p>
        </w:tc>
        <w:tc>
          <w:tcPr>
            <w:tcW w:w="1047" w:type="dxa"/>
            <w:tcBorders>
              <w:top w:val="nil"/>
              <w:left w:val="nil"/>
              <w:bottom w:val="nil"/>
              <w:right w:val="nil"/>
            </w:tcBorders>
            <w:shd w:val="clear" w:color="D9D9D9" w:fill="D9D9D9"/>
            <w:noWrap/>
            <w:vAlign w:val="bottom"/>
            <w:hideMark/>
          </w:tcPr>
          <w:p w14:paraId="409DF2F3" w14:textId="77777777" w:rsidR="002D4FEC" w:rsidRPr="00784867" w:rsidRDefault="002D4FEC" w:rsidP="003B6893">
            <w:pPr>
              <w:spacing w:after="0" w:line="240" w:lineRule="auto"/>
              <w:rPr>
                <w:rFonts w:ascii="Calibri" w:eastAsia="Times New Roman" w:hAnsi="Calibri" w:cs="Calibri"/>
                <w:color w:val="000000"/>
              </w:rPr>
            </w:pPr>
          </w:p>
        </w:tc>
        <w:tc>
          <w:tcPr>
            <w:tcW w:w="1335" w:type="dxa"/>
            <w:tcBorders>
              <w:top w:val="nil"/>
              <w:left w:val="nil"/>
              <w:bottom w:val="nil"/>
              <w:right w:val="nil"/>
            </w:tcBorders>
            <w:shd w:val="clear" w:color="D9D9D9" w:fill="D9D9D9"/>
            <w:noWrap/>
            <w:vAlign w:val="bottom"/>
            <w:hideMark/>
          </w:tcPr>
          <w:p w14:paraId="067E32FE" w14:textId="77777777" w:rsidR="002D4FEC" w:rsidRPr="00784867" w:rsidRDefault="002D4FEC" w:rsidP="003B6893">
            <w:pPr>
              <w:spacing w:after="0" w:line="240" w:lineRule="auto"/>
              <w:jc w:val="right"/>
              <w:rPr>
                <w:rFonts w:ascii="Times New Roman" w:eastAsia="Times New Roman" w:hAnsi="Times New Roman" w:cs="Times New Roman"/>
                <w:sz w:val="20"/>
                <w:szCs w:val="20"/>
              </w:rPr>
            </w:pPr>
          </w:p>
        </w:tc>
        <w:tc>
          <w:tcPr>
            <w:tcW w:w="1335" w:type="dxa"/>
            <w:tcBorders>
              <w:top w:val="nil"/>
              <w:left w:val="nil"/>
              <w:bottom w:val="nil"/>
              <w:right w:val="nil"/>
            </w:tcBorders>
            <w:shd w:val="clear" w:color="D9D9D9" w:fill="D9D9D9"/>
            <w:noWrap/>
            <w:vAlign w:val="bottom"/>
            <w:hideMark/>
          </w:tcPr>
          <w:p w14:paraId="3276DE2A"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 xml:space="preserve">0.0646** </w:t>
            </w:r>
          </w:p>
        </w:tc>
      </w:tr>
      <w:tr w:rsidR="002D4FEC" w:rsidRPr="00784867" w14:paraId="3E801FDE" w14:textId="77777777" w:rsidTr="002263EA">
        <w:trPr>
          <w:trHeight w:val="295"/>
        </w:trPr>
        <w:tc>
          <w:tcPr>
            <w:tcW w:w="3016" w:type="dxa"/>
            <w:tcBorders>
              <w:top w:val="nil"/>
              <w:left w:val="nil"/>
              <w:bottom w:val="nil"/>
              <w:right w:val="nil"/>
            </w:tcBorders>
            <w:shd w:val="clear" w:color="auto" w:fill="auto"/>
            <w:noWrap/>
            <w:vAlign w:val="bottom"/>
            <w:hideMark/>
          </w:tcPr>
          <w:p w14:paraId="4BC5EF5E" w14:textId="77777777" w:rsidR="002D4FEC" w:rsidRPr="00784867" w:rsidRDefault="002D4FEC" w:rsidP="003B6893">
            <w:pPr>
              <w:spacing w:after="0" w:line="240" w:lineRule="auto"/>
              <w:jc w:val="righ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14:paraId="037CB62E" w14:textId="77777777" w:rsidR="002D4FEC" w:rsidRPr="00784867" w:rsidRDefault="002D4FEC" w:rsidP="003B6893">
            <w:pPr>
              <w:spacing w:after="0" w:line="240" w:lineRule="auto"/>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noWrap/>
            <w:vAlign w:val="bottom"/>
            <w:hideMark/>
          </w:tcPr>
          <w:p w14:paraId="6265ABB2" w14:textId="77777777" w:rsidR="002D4FEC" w:rsidRPr="00784867" w:rsidRDefault="002D4FEC" w:rsidP="003B6893">
            <w:pPr>
              <w:spacing w:after="0" w:line="240" w:lineRule="auto"/>
              <w:jc w:val="right"/>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noWrap/>
            <w:vAlign w:val="bottom"/>
            <w:hideMark/>
          </w:tcPr>
          <w:p w14:paraId="7178B336"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(3.90)</w:t>
            </w:r>
          </w:p>
        </w:tc>
      </w:tr>
      <w:tr w:rsidR="002D4FEC" w:rsidRPr="00784867" w14:paraId="118F357C" w14:textId="77777777" w:rsidTr="002263EA">
        <w:trPr>
          <w:trHeight w:val="295"/>
        </w:trPr>
        <w:tc>
          <w:tcPr>
            <w:tcW w:w="3016" w:type="dxa"/>
            <w:tcBorders>
              <w:top w:val="nil"/>
              <w:left w:val="nil"/>
              <w:bottom w:val="nil"/>
              <w:right w:val="nil"/>
            </w:tcBorders>
            <w:shd w:val="clear" w:color="D9D9D9" w:fill="D9D9D9"/>
            <w:noWrap/>
            <w:vAlign w:val="bottom"/>
            <w:hideMark/>
          </w:tcPr>
          <w:p w14:paraId="54536E39" w14:textId="77777777" w:rsidR="002D4FEC" w:rsidRPr="00784867" w:rsidRDefault="002D4FEC" w:rsidP="003B6893">
            <w:pPr>
              <w:spacing w:after="0" w:line="240" w:lineRule="auto"/>
              <w:rPr>
                <w:rFonts w:ascii="Calibri" w:eastAsia="Times New Roman" w:hAnsi="Calibri" w:cs="Calibri"/>
                <w:color w:val="000000"/>
              </w:rPr>
            </w:pPr>
            <w:r>
              <w:rPr>
                <w:rFonts w:ascii="Calibri" w:eastAsia="Times New Roman" w:hAnsi="Calibri" w:cs="Calibri"/>
                <w:color w:val="000000"/>
              </w:rPr>
              <w:t>C</w:t>
            </w:r>
            <w:r w:rsidRPr="00784867">
              <w:rPr>
                <w:rFonts w:ascii="Calibri" w:eastAsia="Times New Roman" w:hAnsi="Calibri" w:cs="Calibri"/>
                <w:color w:val="000000"/>
              </w:rPr>
              <w:t>onstant</w:t>
            </w:r>
          </w:p>
        </w:tc>
        <w:tc>
          <w:tcPr>
            <w:tcW w:w="1047" w:type="dxa"/>
            <w:tcBorders>
              <w:top w:val="nil"/>
              <w:left w:val="nil"/>
              <w:bottom w:val="nil"/>
              <w:right w:val="nil"/>
            </w:tcBorders>
            <w:shd w:val="clear" w:color="D9D9D9" w:fill="D9D9D9"/>
            <w:noWrap/>
            <w:vAlign w:val="bottom"/>
            <w:hideMark/>
          </w:tcPr>
          <w:p w14:paraId="1FB87419"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5.406***</w:t>
            </w:r>
          </w:p>
        </w:tc>
        <w:tc>
          <w:tcPr>
            <w:tcW w:w="1335" w:type="dxa"/>
            <w:tcBorders>
              <w:top w:val="nil"/>
              <w:left w:val="nil"/>
              <w:bottom w:val="nil"/>
              <w:right w:val="nil"/>
            </w:tcBorders>
            <w:shd w:val="clear" w:color="D9D9D9" w:fill="D9D9D9"/>
            <w:noWrap/>
            <w:vAlign w:val="bottom"/>
            <w:hideMark/>
          </w:tcPr>
          <w:p w14:paraId="024AB26F"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7.587***</w:t>
            </w:r>
          </w:p>
        </w:tc>
        <w:tc>
          <w:tcPr>
            <w:tcW w:w="1335" w:type="dxa"/>
            <w:tcBorders>
              <w:top w:val="nil"/>
              <w:left w:val="nil"/>
              <w:bottom w:val="nil"/>
              <w:right w:val="nil"/>
            </w:tcBorders>
            <w:shd w:val="clear" w:color="D9D9D9" w:fill="D9D9D9"/>
            <w:noWrap/>
            <w:vAlign w:val="bottom"/>
            <w:hideMark/>
          </w:tcPr>
          <w:p w14:paraId="06AC0D84"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9.043***</w:t>
            </w:r>
          </w:p>
        </w:tc>
      </w:tr>
      <w:tr w:rsidR="002D4FEC" w:rsidRPr="00784867" w14:paraId="6966D9DC" w14:textId="77777777" w:rsidTr="002263EA">
        <w:trPr>
          <w:trHeight w:val="295"/>
        </w:trPr>
        <w:tc>
          <w:tcPr>
            <w:tcW w:w="3016" w:type="dxa"/>
            <w:tcBorders>
              <w:top w:val="nil"/>
              <w:left w:val="nil"/>
              <w:bottom w:val="single" w:sz="4" w:space="0" w:color="auto"/>
              <w:right w:val="nil"/>
            </w:tcBorders>
            <w:shd w:val="clear" w:color="auto" w:fill="auto"/>
            <w:noWrap/>
            <w:vAlign w:val="bottom"/>
            <w:hideMark/>
          </w:tcPr>
          <w:p w14:paraId="3E0386D1" w14:textId="77777777" w:rsidR="002D4FEC" w:rsidRPr="00784867" w:rsidRDefault="002D4FEC" w:rsidP="003B6893">
            <w:pPr>
              <w:spacing w:after="0" w:line="240" w:lineRule="auto"/>
              <w:rPr>
                <w:rFonts w:ascii="Calibri" w:eastAsia="Times New Roman" w:hAnsi="Calibri" w:cs="Calibri"/>
                <w:color w:val="000000"/>
              </w:rPr>
            </w:pPr>
            <w:r w:rsidRPr="00784867">
              <w:rPr>
                <w:rFonts w:ascii="Calibri" w:eastAsia="Times New Roman" w:hAnsi="Calibri" w:cs="Calibri"/>
                <w:color w:val="000000"/>
              </w:rPr>
              <w:t> </w:t>
            </w:r>
          </w:p>
        </w:tc>
        <w:tc>
          <w:tcPr>
            <w:tcW w:w="1047" w:type="dxa"/>
            <w:tcBorders>
              <w:top w:val="nil"/>
              <w:left w:val="nil"/>
              <w:bottom w:val="single" w:sz="4" w:space="0" w:color="auto"/>
              <w:right w:val="nil"/>
            </w:tcBorders>
            <w:shd w:val="clear" w:color="auto" w:fill="auto"/>
            <w:noWrap/>
            <w:vAlign w:val="bottom"/>
            <w:hideMark/>
          </w:tcPr>
          <w:p w14:paraId="2857D409"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-208.72</w:t>
            </w:r>
          </w:p>
        </w:tc>
        <w:tc>
          <w:tcPr>
            <w:tcW w:w="1335" w:type="dxa"/>
            <w:tcBorders>
              <w:top w:val="nil"/>
              <w:left w:val="nil"/>
              <w:bottom w:val="single" w:sz="4" w:space="0" w:color="auto"/>
              <w:right w:val="nil"/>
            </w:tcBorders>
            <w:shd w:val="clear" w:color="auto" w:fill="auto"/>
            <w:noWrap/>
            <w:vAlign w:val="bottom"/>
            <w:hideMark/>
          </w:tcPr>
          <w:p w14:paraId="4C6E1FCE"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-25.63</w:t>
            </w:r>
          </w:p>
        </w:tc>
        <w:tc>
          <w:tcPr>
            <w:tcW w:w="1335" w:type="dxa"/>
            <w:tcBorders>
              <w:top w:val="nil"/>
              <w:left w:val="nil"/>
              <w:bottom w:val="single" w:sz="4" w:space="0" w:color="auto"/>
              <w:right w:val="nil"/>
            </w:tcBorders>
            <w:shd w:val="clear" w:color="auto" w:fill="auto"/>
            <w:noWrap/>
            <w:vAlign w:val="bottom"/>
            <w:hideMark/>
          </w:tcPr>
          <w:p w14:paraId="37C70711"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-44.18</w:t>
            </w:r>
          </w:p>
        </w:tc>
      </w:tr>
      <w:tr w:rsidR="002D4FEC" w:rsidRPr="00784867" w14:paraId="7BF1439D" w14:textId="77777777" w:rsidTr="002263EA">
        <w:trPr>
          <w:trHeight w:val="295"/>
        </w:trPr>
        <w:tc>
          <w:tcPr>
            <w:tcW w:w="3016" w:type="dxa"/>
            <w:tcBorders>
              <w:top w:val="nil"/>
              <w:left w:val="nil"/>
              <w:bottom w:val="nil"/>
              <w:right w:val="nil"/>
            </w:tcBorders>
            <w:shd w:val="clear" w:color="D9D9D9" w:fill="D9D9D9"/>
            <w:noWrap/>
            <w:vAlign w:val="bottom"/>
            <w:hideMark/>
          </w:tcPr>
          <w:p w14:paraId="29C0C017" w14:textId="77777777" w:rsidR="002D4FEC" w:rsidRPr="00784867" w:rsidRDefault="002D4FEC" w:rsidP="003B6893">
            <w:pPr>
              <w:spacing w:after="0" w:line="240" w:lineRule="auto"/>
              <w:rPr>
                <w:rFonts w:ascii="Calibri" w:eastAsia="Times New Roman" w:hAnsi="Calibri" w:cs="Calibri"/>
                <w:color w:val="000000"/>
              </w:rPr>
            </w:pPr>
            <w:r w:rsidRPr="00784867">
              <w:rPr>
                <w:rFonts w:ascii="Calibri" w:eastAsia="Times New Roman" w:hAnsi="Calibri" w:cs="Calibri"/>
                <w:color w:val="000000"/>
              </w:rPr>
              <w:t>N</w:t>
            </w:r>
          </w:p>
        </w:tc>
        <w:tc>
          <w:tcPr>
            <w:tcW w:w="1047" w:type="dxa"/>
            <w:tcBorders>
              <w:top w:val="nil"/>
              <w:left w:val="nil"/>
              <w:bottom w:val="nil"/>
              <w:right w:val="nil"/>
            </w:tcBorders>
            <w:shd w:val="clear" w:color="D9D9D9" w:fill="D9D9D9"/>
            <w:noWrap/>
            <w:vAlign w:val="bottom"/>
            <w:hideMark/>
          </w:tcPr>
          <w:p w14:paraId="6295ECCC"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31982</w:t>
            </w:r>
          </w:p>
        </w:tc>
        <w:tc>
          <w:tcPr>
            <w:tcW w:w="1335" w:type="dxa"/>
            <w:tcBorders>
              <w:top w:val="nil"/>
              <w:left w:val="nil"/>
              <w:bottom w:val="nil"/>
              <w:right w:val="nil"/>
            </w:tcBorders>
            <w:shd w:val="clear" w:color="D9D9D9" w:fill="D9D9D9"/>
            <w:noWrap/>
            <w:vAlign w:val="bottom"/>
            <w:hideMark/>
          </w:tcPr>
          <w:p w14:paraId="2CAA4206"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31833</w:t>
            </w:r>
          </w:p>
        </w:tc>
        <w:tc>
          <w:tcPr>
            <w:tcW w:w="1335" w:type="dxa"/>
            <w:tcBorders>
              <w:top w:val="nil"/>
              <w:left w:val="nil"/>
              <w:bottom w:val="nil"/>
              <w:right w:val="nil"/>
            </w:tcBorders>
            <w:shd w:val="clear" w:color="D9D9D9" w:fill="D9D9D9"/>
            <w:noWrap/>
            <w:vAlign w:val="bottom"/>
            <w:hideMark/>
          </w:tcPr>
          <w:p w14:paraId="1AB3B9F2"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29883</w:t>
            </w:r>
          </w:p>
        </w:tc>
      </w:tr>
      <w:tr w:rsidR="002D4FEC" w:rsidRPr="00784867" w14:paraId="624EEC9E" w14:textId="77777777" w:rsidTr="002263EA">
        <w:trPr>
          <w:trHeight w:val="295"/>
        </w:trPr>
        <w:tc>
          <w:tcPr>
            <w:tcW w:w="3016" w:type="dxa"/>
            <w:tcBorders>
              <w:top w:val="nil"/>
              <w:left w:val="nil"/>
              <w:bottom w:val="nil"/>
              <w:right w:val="nil"/>
            </w:tcBorders>
            <w:shd w:val="clear" w:color="auto" w:fill="auto"/>
            <w:noWrap/>
            <w:vAlign w:val="bottom"/>
            <w:hideMark/>
          </w:tcPr>
          <w:p w14:paraId="71BBE1E8" w14:textId="77777777" w:rsidR="002D4FEC" w:rsidRPr="00784867" w:rsidRDefault="002D4FEC" w:rsidP="003B6893">
            <w:pPr>
              <w:spacing w:after="0" w:line="240" w:lineRule="auto"/>
              <w:rPr>
                <w:rFonts w:ascii="Calibri" w:eastAsia="Times New Roman" w:hAnsi="Calibri" w:cs="Calibri"/>
                <w:color w:val="000000"/>
              </w:rPr>
            </w:pPr>
            <w:r w:rsidRPr="00784867">
              <w:rPr>
                <w:rFonts w:ascii="Calibri" w:eastAsia="Times New Roman" w:hAnsi="Calibri" w:cs="Calibri"/>
                <w:color w:val="000000"/>
              </w:rPr>
              <w:t>R-sq</w:t>
            </w:r>
          </w:p>
        </w:tc>
        <w:tc>
          <w:tcPr>
            <w:tcW w:w="1047" w:type="dxa"/>
            <w:tcBorders>
              <w:top w:val="nil"/>
              <w:left w:val="nil"/>
              <w:bottom w:val="nil"/>
              <w:right w:val="nil"/>
            </w:tcBorders>
            <w:shd w:val="clear" w:color="auto" w:fill="auto"/>
            <w:noWrap/>
            <w:vAlign w:val="bottom"/>
            <w:hideMark/>
          </w:tcPr>
          <w:p w14:paraId="4FD6757F"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0.445</w:t>
            </w:r>
          </w:p>
        </w:tc>
        <w:tc>
          <w:tcPr>
            <w:tcW w:w="1335" w:type="dxa"/>
            <w:tcBorders>
              <w:top w:val="nil"/>
              <w:left w:val="nil"/>
              <w:bottom w:val="nil"/>
              <w:right w:val="nil"/>
            </w:tcBorders>
            <w:shd w:val="clear" w:color="auto" w:fill="auto"/>
            <w:noWrap/>
            <w:vAlign w:val="bottom"/>
            <w:hideMark/>
          </w:tcPr>
          <w:p w14:paraId="7166587C"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0.532</w:t>
            </w:r>
          </w:p>
        </w:tc>
        <w:tc>
          <w:tcPr>
            <w:tcW w:w="1335" w:type="dxa"/>
            <w:tcBorders>
              <w:top w:val="nil"/>
              <w:left w:val="nil"/>
              <w:bottom w:val="nil"/>
              <w:right w:val="nil"/>
            </w:tcBorders>
            <w:shd w:val="clear" w:color="auto" w:fill="auto"/>
            <w:noWrap/>
            <w:vAlign w:val="bottom"/>
            <w:hideMark/>
          </w:tcPr>
          <w:p w14:paraId="7E5D7498"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0.556</w:t>
            </w:r>
          </w:p>
        </w:tc>
      </w:tr>
      <w:tr w:rsidR="002D4FEC" w:rsidRPr="00784867" w14:paraId="51BF1DBB" w14:textId="77777777" w:rsidTr="002263EA">
        <w:trPr>
          <w:trHeight w:val="295"/>
        </w:trPr>
        <w:tc>
          <w:tcPr>
            <w:tcW w:w="3016" w:type="dxa"/>
            <w:tcBorders>
              <w:top w:val="nil"/>
              <w:left w:val="nil"/>
              <w:bottom w:val="nil"/>
              <w:right w:val="nil"/>
            </w:tcBorders>
            <w:shd w:val="clear" w:color="D9D9D9" w:fill="D9D9D9"/>
            <w:noWrap/>
            <w:vAlign w:val="bottom"/>
            <w:hideMark/>
          </w:tcPr>
          <w:p w14:paraId="08D85DEA" w14:textId="77777777" w:rsidR="002D4FEC" w:rsidRPr="00784867" w:rsidRDefault="002D4FEC" w:rsidP="003B6893">
            <w:pPr>
              <w:spacing w:after="0" w:line="240" w:lineRule="auto"/>
              <w:rPr>
                <w:rFonts w:ascii="Calibri" w:eastAsia="Times New Roman" w:hAnsi="Calibri" w:cs="Calibri"/>
                <w:color w:val="000000"/>
              </w:rPr>
            </w:pPr>
            <w:r w:rsidRPr="00784867">
              <w:rPr>
                <w:rFonts w:ascii="Calibri" w:eastAsia="Times New Roman" w:hAnsi="Calibri" w:cs="Calibri"/>
                <w:color w:val="000000"/>
              </w:rPr>
              <w:t>adj. R-sq</w:t>
            </w:r>
          </w:p>
        </w:tc>
        <w:tc>
          <w:tcPr>
            <w:tcW w:w="1047" w:type="dxa"/>
            <w:tcBorders>
              <w:top w:val="nil"/>
              <w:left w:val="nil"/>
              <w:bottom w:val="nil"/>
              <w:right w:val="nil"/>
            </w:tcBorders>
            <w:shd w:val="clear" w:color="D9D9D9" w:fill="D9D9D9"/>
            <w:noWrap/>
            <w:vAlign w:val="bottom"/>
            <w:hideMark/>
          </w:tcPr>
          <w:p w14:paraId="6F979ECA"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0.42</w:t>
            </w:r>
          </w:p>
        </w:tc>
        <w:tc>
          <w:tcPr>
            <w:tcW w:w="1335" w:type="dxa"/>
            <w:tcBorders>
              <w:top w:val="nil"/>
              <w:left w:val="nil"/>
              <w:bottom w:val="nil"/>
              <w:right w:val="nil"/>
            </w:tcBorders>
            <w:shd w:val="clear" w:color="D9D9D9" w:fill="D9D9D9"/>
            <w:noWrap/>
            <w:vAlign w:val="bottom"/>
            <w:hideMark/>
          </w:tcPr>
          <w:p w14:paraId="26B3A1D9"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0.511</w:t>
            </w:r>
          </w:p>
        </w:tc>
        <w:tc>
          <w:tcPr>
            <w:tcW w:w="1335" w:type="dxa"/>
            <w:tcBorders>
              <w:top w:val="nil"/>
              <w:left w:val="nil"/>
              <w:bottom w:val="nil"/>
              <w:right w:val="nil"/>
            </w:tcBorders>
            <w:shd w:val="clear" w:color="D9D9D9" w:fill="D9D9D9"/>
            <w:noWrap/>
            <w:vAlign w:val="bottom"/>
            <w:hideMark/>
          </w:tcPr>
          <w:p w14:paraId="5454BC0D"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0.534</w:t>
            </w:r>
          </w:p>
        </w:tc>
      </w:tr>
      <w:tr w:rsidR="002D4FEC" w:rsidRPr="00784867" w14:paraId="26C25ABC" w14:textId="77777777" w:rsidTr="002263EA">
        <w:trPr>
          <w:trHeight w:val="295"/>
        </w:trPr>
        <w:tc>
          <w:tcPr>
            <w:tcW w:w="3016" w:type="dxa"/>
            <w:tcBorders>
              <w:top w:val="nil"/>
              <w:left w:val="nil"/>
              <w:bottom w:val="nil"/>
              <w:right w:val="nil"/>
            </w:tcBorders>
            <w:shd w:val="clear" w:color="auto" w:fill="auto"/>
            <w:noWrap/>
            <w:vAlign w:val="bottom"/>
            <w:hideMark/>
          </w:tcPr>
          <w:p w14:paraId="2BE47510" w14:textId="77777777" w:rsidR="002D4FEC" w:rsidRPr="00784867" w:rsidRDefault="002D4FEC" w:rsidP="003B6893">
            <w:pPr>
              <w:spacing w:after="0" w:line="240" w:lineRule="auto"/>
              <w:rPr>
                <w:rFonts w:ascii="Calibri" w:eastAsia="Times New Roman" w:hAnsi="Calibri" w:cs="Calibri"/>
                <w:color w:val="000000"/>
              </w:rPr>
            </w:pPr>
            <w:r w:rsidRPr="00784867">
              <w:rPr>
                <w:rFonts w:ascii="Calibri" w:eastAsia="Times New Roman" w:hAnsi="Calibri" w:cs="Calibri"/>
                <w:color w:val="000000"/>
              </w:rPr>
              <w:t>AIC</w:t>
            </w:r>
          </w:p>
        </w:tc>
        <w:tc>
          <w:tcPr>
            <w:tcW w:w="1047" w:type="dxa"/>
            <w:tcBorders>
              <w:top w:val="nil"/>
              <w:left w:val="nil"/>
              <w:bottom w:val="nil"/>
              <w:right w:val="nil"/>
            </w:tcBorders>
            <w:shd w:val="clear" w:color="auto" w:fill="auto"/>
            <w:noWrap/>
            <w:vAlign w:val="bottom"/>
            <w:hideMark/>
          </w:tcPr>
          <w:p w14:paraId="766BB064"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31241.2</w:t>
            </w:r>
          </w:p>
        </w:tc>
        <w:tc>
          <w:tcPr>
            <w:tcW w:w="1335" w:type="dxa"/>
            <w:tcBorders>
              <w:top w:val="nil"/>
              <w:left w:val="nil"/>
              <w:bottom w:val="nil"/>
              <w:right w:val="nil"/>
            </w:tcBorders>
            <w:shd w:val="clear" w:color="auto" w:fill="auto"/>
            <w:noWrap/>
            <w:vAlign w:val="bottom"/>
            <w:hideMark/>
          </w:tcPr>
          <w:p w14:paraId="1C5AD468"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25713.6</w:t>
            </w:r>
          </w:p>
        </w:tc>
        <w:tc>
          <w:tcPr>
            <w:tcW w:w="1335" w:type="dxa"/>
            <w:tcBorders>
              <w:top w:val="nil"/>
              <w:left w:val="nil"/>
              <w:bottom w:val="nil"/>
              <w:right w:val="nil"/>
            </w:tcBorders>
            <w:shd w:val="clear" w:color="auto" w:fill="auto"/>
            <w:noWrap/>
            <w:vAlign w:val="bottom"/>
            <w:hideMark/>
          </w:tcPr>
          <w:p w14:paraId="639358CB"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22619.6</w:t>
            </w:r>
          </w:p>
        </w:tc>
      </w:tr>
      <w:tr w:rsidR="002D4FEC" w:rsidRPr="00784867" w14:paraId="59C0CB7A" w14:textId="77777777" w:rsidTr="002263EA">
        <w:trPr>
          <w:trHeight w:val="295"/>
        </w:trPr>
        <w:tc>
          <w:tcPr>
            <w:tcW w:w="3016" w:type="dxa"/>
            <w:tcBorders>
              <w:top w:val="nil"/>
              <w:left w:val="nil"/>
              <w:bottom w:val="single" w:sz="4" w:space="0" w:color="000000"/>
              <w:right w:val="nil"/>
            </w:tcBorders>
            <w:shd w:val="clear" w:color="D9D9D9" w:fill="D9D9D9"/>
            <w:noWrap/>
            <w:vAlign w:val="bottom"/>
            <w:hideMark/>
          </w:tcPr>
          <w:p w14:paraId="091FA2DC" w14:textId="77777777" w:rsidR="002D4FEC" w:rsidRPr="00784867" w:rsidRDefault="002D4FEC" w:rsidP="003B6893">
            <w:pPr>
              <w:spacing w:after="0" w:line="240" w:lineRule="auto"/>
              <w:rPr>
                <w:rFonts w:ascii="Calibri" w:eastAsia="Times New Roman" w:hAnsi="Calibri" w:cs="Calibri"/>
                <w:color w:val="000000"/>
              </w:rPr>
            </w:pPr>
            <w:r w:rsidRPr="00784867">
              <w:rPr>
                <w:rFonts w:ascii="Calibri" w:eastAsia="Times New Roman" w:hAnsi="Calibri" w:cs="Calibri"/>
                <w:color w:val="000000"/>
              </w:rPr>
              <w:t>BIC</w:t>
            </w:r>
          </w:p>
        </w:tc>
        <w:tc>
          <w:tcPr>
            <w:tcW w:w="1047" w:type="dxa"/>
            <w:tcBorders>
              <w:top w:val="nil"/>
              <w:left w:val="nil"/>
              <w:bottom w:val="single" w:sz="4" w:space="0" w:color="000000"/>
              <w:right w:val="nil"/>
            </w:tcBorders>
            <w:shd w:val="clear" w:color="D9D9D9" w:fill="D9D9D9"/>
            <w:noWrap/>
            <w:vAlign w:val="bottom"/>
            <w:hideMark/>
          </w:tcPr>
          <w:p w14:paraId="1DB78D1E"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31274.7</w:t>
            </w:r>
          </w:p>
        </w:tc>
        <w:tc>
          <w:tcPr>
            <w:tcW w:w="1335" w:type="dxa"/>
            <w:tcBorders>
              <w:top w:val="nil"/>
              <w:left w:val="nil"/>
              <w:bottom w:val="single" w:sz="4" w:space="0" w:color="000000"/>
              <w:right w:val="nil"/>
            </w:tcBorders>
            <w:shd w:val="clear" w:color="D9D9D9" w:fill="D9D9D9"/>
            <w:noWrap/>
            <w:vAlign w:val="bottom"/>
            <w:hideMark/>
          </w:tcPr>
          <w:p w14:paraId="25AD7E68"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25747.1</w:t>
            </w:r>
          </w:p>
        </w:tc>
        <w:tc>
          <w:tcPr>
            <w:tcW w:w="1335" w:type="dxa"/>
            <w:tcBorders>
              <w:top w:val="nil"/>
              <w:left w:val="nil"/>
              <w:bottom w:val="single" w:sz="4" w:space="0" w:color="000000"/>
              <w:right w:val="nil"/>
            </w:tcBorders>
            <w:shd w:val="clear" w:color="D9D9D9" w:fill="D9D9D9"/>
            <w:noWrap/>
            <w:vAlign w:val="bottom"/>
            <w:hideMark/>
          </w:tcPr>
          <w:p w14:paraId="0BD732B4" w14:textId="77777777" w:rsidR="002D4FEC" w:rsidRPr="00784867" w:rsidRDefault="002D4FEC" w:rsidP="003B6893">
            <w:pPr>
              <w:spacing w:after="0" w:line="240" w:lineRule="auto"/>
              <w:jc w:val="right"/>
              <w:rPr>
                <w:rFonts w:ascii="Calibri" w:eastAsia="Times New Roman" w:hAnsi="Calibri" w:cs="Calibri"/>
                <w:color w:val="000000"/>
              </w:rPr>
            </w:pPr>
            <w:r w:rsidRPr="00784867">
              <w:rPr>
                <w:rFonts w:ascii="Calibri" w:eastAsia="Times New Roman" w:hAnsi="Calibri" w:cs="Calibri"/>
                <w:color w:val="000000"/>
              </w:rPr>
              <w:t>22661.1</w:t>
            </w:r>
          </w:p>
        </w:tc>
      </w:tr>
    </w:tbl>
    <w:p w14:paraId="544AE7FA" w14:textId="77777777" w:rsidR="002D4FEC" w:rsidRDefault="002D4FEC" w:rsidP="002D4FEC">
      <w:pPr>
        <w:pStyle w:val="NoSpacing"/>
        <w:rPr>
          <w:rFonts w:ascii="Times New Roman" w:hAnsi="Times New Roman" w:cs="Times New Roman"/>
          <w:sz w:val="20"/>
          <w:szCs w:val="20"/>
        </w:rPr>
      </w:pPr>
      <w:r w:rsidRPr="00F3779D">
        <w:rPr>
          <w:rFonts w:ascii="Times New Roman" w:hAnsi="Times New Roman" w:cs="Times New Roman"/>
          <w:sz w:val="20"/>
          <w:szCs w:val="20"/>
        </w:rPr>
        <w:t>Note</w:t>
      </w:r>
      <w:r>
        <w:rPr>
          <w:rFonts w:ascii="Times New Roman" w:hAnsi="Times New Roman" w:cs="Times New Roman"/>
          <w:sz w:val="20"/>
          <w:szCs w:val="20"/>
        </w:rPr>
        <w:t>s:</w:t>
      </w:r>
      <w:r w:rsidRPr="00F3779D">
        <w:rPr>
          <w:rFonts w:ascii="Times New Roman" w:hAnsi="Times New Roman" w:cs="Times New Roman"/>
          <w:sz w:val="20"/>
          <w:szCs w:val="20"/>
        </w:rPr>
        <w:t xml:space="preserve"> </w:t>
      </w:r>
      <w:r>
        <w:rPr>
          <w:rFonts w:ascii="Times New Roman" w:hAnsi="Times New Roman" w:cs="Times New Roman"/>
          <w:sz w:val="20"/>
          <w:szCs w:val="20"/>
        </w:rPr>
        <w:t>Column</w:t>
      </w:r>
      <w:r w:rsidRPr="00F3779D">
        <w:rPr>
          <w:rFonts w:ascii="Times New Roman" w:hAnsi="Times New Roman" w:cs="Times New Roman"/>
          <w:sz w:val="20"/>
          <w:szCs w:val="20"/>
        </w:rPr>
        <w:t xml:space="preserve"> (3) has additional building-level controls not shown. t statistics in parentheses.  </w:t>
      </w:r>
    </w:p>
    <w:p w14:paraId="58B247CC" w14:textId="77777777" w:rsidR="002D4FEC" w:rsidRDefault="002D4FEC" w:rsidP="002D4FEC">
      <w:pPr>
        <w:pStyle w:val="NoSpacing"/>
        <w:rPr>
          <w:rFonts w:ascii="Times New Roman" w:hAnsi="Times New Roman" w:cs="Times New Roman"/>
          <w:sz w:val="20"/>
          <w:szCs w:val="20"/>
        </w:rPr>
      </w:pPr>
      <w:r w:rsidRPr="00F3779D">
        <w:rPr>
          <w:rFonts w:ascii="Times New Roman" w:hAnsi="Times New Roman" w:cs="Times New Roman"/>
          <w:sz w:val="20"/>
          <w:szCs w:val="20"/>
        </w:rPr>
        <w:t>* p&lt;0.10, ** p&lt;0.05, *** p&lt;0.01. Standard errors clustered by borough.</w:t>
      </w:r>
      <w:r>
        <w:rPr>
          <w:rFonts w:ascii="Times New Roman" w:hAnsi="Times New Roman" w:cs="Times New Roman"/>
          <w:sz w:val="20"/>
          <w:szCs w:val="20"/>
        </w:rPr>
        <w:t xml:space="preserve"> All regressions contain year-quarter dummies and census tract fixed effects.</w:t>
      </w:r>
    </w:p>
    <w:p w14:paraId="1596A637" w14:textId="77777777" w:rsidR="00B85118" w:rsidRDefault="00B85118" w:rsidP="00B85118"/>
    <w:p w14:paraId="4F734AC5" w14:textId="77777777" w:rsidR="00B85118" w:rsidRDefault="00B85118" w:rsidP="00B85118"/>
    <w:p w14:paraId="150849A7" w14:textId="77777777" w:rsidR="00B85118" w:rsidRDefault="00B85118" w:rsidP="00B85118"/>
    <w:p w14:paraId="79FE3639" w14:textId="77777777" w:rsidR="00B85118" w:rsidRDefault="00B85118" w:rsidP="00B85118"/>
    <w:p w14:paraId="28732F81" w14:textId="77777777" w:rsidR="00B85118" w:rsidRDefault="00B85118" w:rsidP="00B85118"/>
    <w:p w14:paraId="65F23902" w14:textId="77777777" w:rsidR="00B85118" w:rsidRDefault="00B85118" w:rsidP="00B85118"/>
    <w:p w14:paraId="1881F711" w14:textId="77777777" w:rsidR="00B85118" w:rsidRDefault="00B85118" w:rsidP="00B85118"/>
    <w:p w14:paraId="38861F2D" w14:textId="626DD238" w:rsidR="002D4FEC" w:rsidRPr="00F3779D" w:rsidRDefault="002D4FEC" w:rsidP="002D4FEC">
      <w:pPr>
        <w:pStyle w:val="NoSpacing"/>
        <w:rPr>
          <w:rFonts w:ascii="Times New Roman" w:hAnsi="Times New Roman" w:cs="Times New Roman"/>
          <w:b/>
          <w:bCs/>
          <w:sz w:val="24"/>
          <w:szCs w:val="24"/>
        </w:rPr>
      </w:pPr>
      <w:r>
        <w:rPr>
          <w:rFonts w:ascii="Times New Roman" w:hAnsi="Times New Roman" w:cs="Times New Roman"/>
          <w:b/>
          <w:bCs/>
          <w:sz w:val="24"/>
          <w:szCs w:val="24"/>
        </w:rPr>
        <w:t>Table 4: Diff-In-Diff Regression for</w:t>
      </w:r>
      <w:r w:rsidRPr="00F3779D">
        <w:rPr>
          <w:rFonts w:ascii="Times New Roman" w:hAnsi="Times New Roman" w:cs="Times New Roman"/>
          <w:b/>
          <w:bCs/>
          <w:sz w:val="24"/>
          <w:szCs w:val="24"/>
        </w:rPr>
        <w:t xml:space="preserve"> Sandy within 1 mile. Dep. Var.: Ln(Price per square foot)</w:t>
      </w:r>
      <w:r>
        <w:rPr>
          <w:rFonts w:ascii="Times New Roman" w:hAnsi="Times New Roman" w:cs="Times New Roman"/>
          <w:b/>
          <w:bCs/>
          <w:sz w:val="24"/>
          <w:szCs w:val="24"/>
        </w:rPr>
        <w:t>, 2011-2014, Positive vs. Negative Shocks</w:t>
      </w:r>
    </w:p>
    <w:tbl>
      <w:tblPr>
        <w:tblW w:w="5635" w:type="dxa"/>
        <w:tblLook w:val="04A0" w:firstRow="1" w:lastRow="0" w:firstColumn="1" w:lastColumn="0" w:noHBand="0" w:noVBand="1"/>
      </w:tblPr>
      <w:tblGrid>
        <w:gridCol w:w="2734"/>
        <w:gridCol w:w="301"/>
        <w:gridCol w:w="979"/>
        <w:gridCol w:w="301"/>
        <w:gridCol w:w="1019"/>
        <w:gridCol w:w="301"/>
      </w:tblGrid>
      <w:tr w:rsidR="002D4FEC" w:rsidRPr="00B77038" w14:paraId="78F82590" w14:textId="77777777" w:rsidTr="002D4FEC">
        <w:trPr>
          <w:gridAfter w:val="1"/>
          <w:wAfter w:w="301" w:type="dxa"/>
          <w:trHeight w:val="310"/>
        </w:trPr>
        <w:tc>
          <w:tcPr>
            <w:tcW w:w="2734" w:type="dxa"/>
            <w:tcBorders>
              <w:top w:val="single" w:sz="4" w:space="0" w:color="auto"/>
              <w:left w:val="nil"/>
              <w:bottom w:val="single" w:sz="4" w:space="0" w:color="auto"/>
              <w:right w:val="nil"/>
            </w:tcBorders>
            <w:shd w:val="clear" w:color="auto" w:fill="auto"/>
            <w:noWrap/>
            <w:vAlign w:val="bottom"/>
          </w:tcPr>
          <w:p w14:paraId="0C66DBF0" w14:textId="2A269CF1" w:rsidR="002D4FEC" w:rsidRPr="00B77038" w:rsidRDefault="002D4FEC" w:rsidP="003B6893">
            <w:pPr>
              <w:spacing w:after="0" w:line="240" w:lineRule="auto"/>
              <w:rPr>
                <w:rFonts w:ascii="Calibri" w:eastAsia="Times New Roman" w:hAnsi="Calibri" w:cs="Calibri"/>
                <w:b/>
                <w:bCs/>
                <w:color w:val="000000"/>
              </w:rPr>
            </w:pPr>
          </w:p>
        </w:tc>
        <w:tc>
          <w:tcPr>
            <w:tcW w:w="1280" w:type="dxa"/>
            <w:gridSpan w:val="2"/>
            <w:tcBorders>
              <w:top w:val="single" w:sz="4" w:space="0" w:color="auto"/>
              <w:left w:val="nil"/>
              <w:bottom w:val="single" w:sz="4" w:space="0" w:color="auto"/>
              <w:right w:val="nil"/>
            </w:tcBorders>
            <w:shd w:val="clear" w:color="auto" w:fill="auto"/>
            <w:noWrap/>
            <w:vAlign w:val="center"/>
            <w:hideMark/>
          </w:tcPr>
          <w:p w14:paraId="611050D0" w14:textId="77777777" w:rsidR="002D4FEC" w:rsidRPr="00B77038" w:rsidRDefault="002D4FEC" w:rsidP="003B6893">
            <w:pPr>
              <w:spacing w:after="0" w:line="240" w:lineRule="auto"/>
              <w:jc w:val="center"/>
              <w:rPr>
                <w:rFonts w:ascii="Times New Roman" w:eastAsia="Times New Roman" w:hAnsi="Times New Roman" w:cs="Times New Roman"/>
                <w:b/>
                <w:bCs/>
                <w:color w:val="000000"/>
              </w:rPr>
            </w:pPr>
            <w:r w:rsidRPr="00B77038">
              <w:rPr>
                <w:rFonts w:ascii="Times New Roman" w:eastAsia="Times New Roman" w:hAnsi="Times New Roman" w:cs="Times New Roman"/>
                <w:b/>
                <w:bCs/>
                <w:color w:val="000000"/>
              </w:rPr>
              <w:t>Pos. Shock</w:t>
            </w:r>
          </w:p>
        </w:tc>
        <w:tc>
          <w:tcPr>
            <w:tcW w:w="1320" w:type="dxa"/>
            <w:gridSpan w:val="2"/>
            <w:tcBorders>
              <w:top w:val="single" w:sz="4" w:space="0" w:color="auto"/>
              <w:left w:val="nil"/>
              <w:bottom w:val="single" w:sz="4" w:space="0" w:color="auto"/>
              <w:right w:val="nil"/>
            </w:tcBorders>
            <w:shd w:val="clear" w:color="auto" w:fill="auto"/>
            <w:noWrap/>
            <w:vAlign w:val="center"/>
            <w:hideMark/>
          </w:tcPr>
          <w:p w14:paraId="49F93878" w14:textId="77777777" w:rsidR="002D4FEC" w:rsidRPr="00B77038" w:rsidRDefault="002D4FEC" w:rsidP="003B6893">
            <w:pPr>
              <w:spacing w:after="0" w:line="240" w:lineRule="auto"/>
              <w:jc w:val="center"/>
              <w:rPr>
                <w:rFonts w:ascii="Times New Roman" w:eastAsia="Times New Roman" w:hAnsi="Times New Roman" w:cs="Times New Roman"/>
                <w:b/>
                <w:bCs/>
                <w:color w:val="000000"/>
              </w:rPr>
            </w:pPr>
            <w:r w:rsidRPr="00B77038">
              <w:rPr>
                <w:rFonts w:ascii="Times New Roman" w:eastAsia="Times New Roman" w:hAnsi="Times New Roman" w:cs="Times New Roman"/>
                <w:b/>
                <w:bCs/>
                <w:color w:val="000000"/>
              </w:rPr>
              <w:t>Neg. Shock</w:t>
            </w:r>
          </w:p>
        </w:tc>
      </w:tr>
      <w:tr w:rsidR="002D4FEC" w:rsidRPr="00B77038" w14:paraId="40E72377" w14:textId="77777777" w:rsidTr="002D4FEC">
        <w:trPr>
          <w:trHeight w:val="295"/>
        </w:trPr>
        <w:tc>
          <w:tcPr>
            <w:tcW w:w="3035" w:type="dxa"/>
            <w:gridSpan w:val="2"/>
            <w:tcBorders>
              <w:top w:val="single" w:sz="4" w:space="0" w:color="auto"/>
              <w:left w:val="nil"/>
              <w:bottom w:val="single" w:sz="4" w:space="0" w:color="auto"/>
              <w:right w:val="nil"/>
            </w:tcBorders>
            <w:shd w:val="clear" w:color="D9D9D9" w:fill="D9D9D9"/>
            <w:noWrap/>
            <w:vAlign w:val="bottom"/>
            <w:hideMark/>
          </w:tcPr>
          <w:p w14:paraId="62C5FA93" w14:textId="77777777" w:rsidR="002D4FEC" w:rsidRPr="00B77038" w:rsidRDefault="002D4FEC" w:rsidP="003B6893">
            <w:pPr>
              <w:spacing w:after="0" w:line="240" w:lineRule="auto"/>
              <w:jc w:val="center"/>
              <w:rPr>
                <w:rFonts w:ascii="Calibri" w:eastAsia="Times New Roman" w:hAnsi="Calibri" w:cs="Calibri"/>
                <w:b/>
                <w:bCs/>
                <w:color w:val="000000"/>
              </w:rPr>
            </w:pPr>
            <w:r w:rsidRPr="00B77038">
              <w:rPr>
                <w:rFonts w:ascii="Calibri" w:eastAsia="Times New Roman" w:hAnsi="Calibri" w:cs="Calibri"/>
                <w:b/>
                <w:bCs/>
                <w:color w:val="000000"/>
              </w:rPr>
              <w:t>Variable</w:t>
            </w:r>
          </w:p>
        </w:tc>
        <w:tc>
          <w:tcPr>
            <w:tcW w:w="1280" w:type="dxa"/>
            <w:gridSpan w:val="2"/>
            <w:tcBorders>
              <w:top w:val="single" w:sz="4" w:space="0" w:color="auto"/>
              <w:left w:val="nil"/>
              <w:bottom w:val="single" w:sz="4" w:space="0" w:color="auto"/>
              <w:right w:val="nil"/>
            </w:tcBorders>
            <w:shd w:val="clear" w:color="D9D9D9" w:fill="D9D9D9"/>
            <w:noWrap/>
            <w:vAlign w:val="bottom"/>
            <w:hideMark/>
          </w:tcPr>
          <w:p w14:paraId="602ABD94"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(1)</w:t>
            </w:r>
          </w:p>
        </w:tc>
        <w:tc>
          <w:tcPr>
            <w:tcW w:w="1320" w:type="dxa"/>
            <w:gridSpan w:val="2"/>
            <w:tcBorders>
              <w:top w:val="single" w:sz="4" w:space="0" w:color="auto"/>
              <w:left w:val="nil"/>
              <w:bottom w:val="single" w:sz="4" w:space="0" w:color="auto"/>
              <w:right w:val="nil"/>
            </w:tcBorders>
            <w:shd w:val="clear" w:color="D9D9D9" w:fill="D9D9D9"/>
            <w:noWrap/>
            <w:vAlign w:val="bottom"/>
            <w:hideMark/>
          </w:tcPr>
          <w:p w14:paraId="62B7D159"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(2)</w:t>
            </w:r>
          </w:p>
        </w:tc>
      </w:tr>
      <w:tr w:rsidR="002D4FEC" w:rsidRPr="00B77038" w14:paraId="22095E7D" w14:textId="77777777" w:rsidTr="002D4FEC">
        <w:trPr>
          <w:trHeight w:val="295"/>
        </w:trPr>
        <w:tc>
          <w:tcPr>
            <w:tcW w:w="3035" w:type="dxa"/>
            <w:gridSpan w:val="2"/>
            <w:tcBorders>
              <w:top w:val="nil"/>
              <w:left w:val="nil"/>
              <w:bottom w:val="nil"/>
              <w:right w:val="nil"/>
            </w:tcBorders>
            <w:shd w:val="clear" w:color="auto" w:fill="auto"/>
            <w:noWrap/>
            <w:vAlign w:val="bottom"/>
            <w:hideMark/>
          </w:tcPr>
          <w:p w14:paraId="7E4867CA" w14:textId="711A7C36" w:rsidR="002D4FEC" w:rsidRPr="00B77038" w:rsidRDefault="002D4FEC" w:rsidP="003B6893">
            <w:pPr>
              <w:spacing w:after="0" w:line="240" w:lineRule="auto"/>
              <w:rPr>
                <w:rFonts w:ascii="Calibri" w:eastAsia="Times New Roman" w:hAnsi="Calibri" w:cs="Calibri"/>
                <w:color w:val="000000"/>
              </w:rPr>
            </w:pPr>
            <w:r>
              <w:rPr>
                <w:rFonts w:ascii="Calibri" w:eastAsia="Times New Roman" w:hAnsi="Calibri" w:cs="Calibri"/>
                <w:color w:val="000000"/>
              </w:rPr>
              <w:t>D</w:t>
            </w:r>
            <w:r w:rsidRPr="00B77038">
              <w:rPr>
                <w:rFonts w:ascii="Calibri" w:eastAsia="Times New Roman" w:hAnsi="Calibri" w:cs="Calibri"/>
                <w:color w:val="000000"/>
              </w:rPr>
              <w:t>ist</w:t>
            </w:r>
            <w:r w:rsidR="002263EA">
              <w:rPr>
                <w:rFonts w:ascii="Calibri" w:eastAsia="Times New Roman" w:hAnsi="Calibri" w:cs="Calibri"/>
                <w:color w:val="000000"/>
              </w:rPr>
              <w:t>.</w:t>
            </w:r>
            <w:r w:rsidRPr="00B77038">
              <w:rPr>
                <w:rFonts w:ascii="Calibri" w:eastAsia="Times New Roman" w:hAnsi="Calibri" w:cs="Calibri"/>
                <w:color w:val="000000"/>
              </w:rPr>
              <w:t xml:space="preserve"> Sandy (miles) </w:t>
            </w:r>
            <w:r>
              <w:rPr>
                <w:rFonts w:ascii="Calibri" w:eastAsia="Times New Roman" w:hAnsi="Calibri" w:cs="Calibri"/>
                <w:color w:val="000000"/>
              </w:rPr>
              <w:t>x</w:t>
            </w:r>
            <w:r w:rsidRPr="00B77038">
              <w:rPr>
                <w:rFonts w:ascii="Calibri" w:eastAsia="Times New Roman" w:hAnsi="Calibri" w:cs="Calibri"/>
                <w:color w:val="000000"/>
              </w:rPr>
              <w:t xml:space="preserve"> </w:t>
            </w:r>
            <w:proofErr w:type="spellStart"/>
            <w:r w:rsidRPr="00B77038">
              <w:rPr>
                <w:rFonts w:ascii="Calibri" w:eastAsia="Times New Roman" w:hAnsi="Calibri" w:cs="Calibri"/>
                <w:color w:val="000000"/>
              </w:rPr>
              <w:t>PostSandy</w:t>
            </w:r>
            <w:proofErr w:type="spellEnd"/>
          </w:p>
        </w:tc>
        <w:tc>
          <w:tcPr>
            <w:tcW w:w="1280" w:type="dxa"/>
            <w:gridSpan w:val="2"/>
            <w:tcBorders>
              <w:top w:val="nil"/>
              <w:left w:val="nil"/>
              <w:bottom w:val="nil"/>
              <w:right w:val="nil"/>
            </w:tcBorders>
            <w:shd w:val="clear" w:color="auto" w:fill="auto"/>
            <w:noWrap/>
            <w:vAlign w:val="bottom"/>
            <w:hideMark/>
          </w:tcPr>
          <w:p w14:paraId="3AC2AF3D"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-0.011</w:t>
            </w:r>
          </w:p>
        </w:tc>
        <w:tc>
          <w:tcPr>
            <w:tcW w:w="1320" w:type="dxa"/>
            <w:gridSpan w:val="2"/>
            <w:tcBorders>
              <w:top w:val="nil"/>
              <w:left w:val="nil"/>
              <w:bottom w:val="nil"/>
              <w:right w:val="nil"/>
            </w:tcBorders>
            <w:shd w:val="clear" w:color="auto" w:fill="auto"/>
            <w:noWrap/>
            <w:vAlign w:val="bottom"/>
            <w:hideMark/>
          </w:tcPr>
          <w:p w14:paraId="59C97E91"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 xml:space="preserve">0.0874*  </w:t>
            </w:r>
          </w:p>
        </w:tc>
      </w:tr>
      <w:tr w:rsidR="002D4FEC" w:rsidRPr="00B77038" w14:paraId="7F2EE704" w14:textId="77777777" w:rsidTr="002D4FEC">
        <w:trPr>
          <w:trHeight w:val="295"/>
        </w:trPr>
        <w:tc>
          <w:tcPr>
            <w:tcW w:w="3035" w:type="dxa"/>
            <w:gridSpan w:val="2"/>
            <w:tcBorders>
              <w:top w:val="nil"/>
              <w:left w:val="nil"/>
              <w:bottom w:val="nil"/>
              <w:right w:val="nil"/>
            </w:tcBorders>
            <w:shd w:val="clear" w:color="D9D9D9" w:fill="D9D9D9"/>
            <w:noWrap/>
            <w:vAlign w:val="bottom"/>
            <w:hideMark/>
          </w:tcPr>
          <w:p w14:paraId="5C7AA4C5" w14:textId="77777777" w:rsidR="002D4FEC" w:rsidRPr="00B77038" w:rsidRDefault="002D4FEC" w:rsidP="003B6893">
            <w:pPr>
              <w:spacing w:after="0" w:line="240" w:lineRule="auto"/>
              <w:jc w:val="right"/>
              <w:rPr>
                <w:rFonts w:ascii="Calibri" w:eastAsia="Times New Roman" w:hAnsi="Calibri" w:cs="Calibri"/>
                <w:color w:val="000000"/>
              </w:rPr>
            </w:pPr>
          </w:p>
        </w:tc>
        <w:tc>
          <w:tcPr>
            <w:tcW w:w="1280" w:type="dxa"/>
            <w:gridSpan w:val="2"/>
            <w:tcBorders>
              <w:top w:val="nil"/>
              <w:left w:val="nil"/>
              <w:bottom w:val="nil"/>
              <w:right w:val="nil"/>
            </w:tcBorders>
            <w:shd w:val="clear" w:color="D9D9D9" w:fill="D9D9D9"/>
            <w:noWrap/>
            <w:vAlign w:val="bottom"/>
            <w:hideMark/>
          </w:tcPr>
          <w:p w14:paraId="680FFEB8"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(0.29)</w:t>
            </w:r>
          </w:p>
        </w:tc>
        <w:tc>
          <w:tcPr>
            <w:tcW w:w="1320" w:type="dxa"/>
            <w:gridSpan w:val="2"/>
            <w:tcBorders>
              <w:top w:val="nil"/>
              <w:left w:val="nil"/>
              <w:bottom w:val="nil"/>
              <w:right w:val="nil"/>
            </w:tcBorders>
            <w:shd w:val="clear" w:color="D9D9D9" w:fill="D9D9D9"/>
            <w:noWrap/>
            <w:vAlign w:val="bottom"/>
            <w:hideMark/>
          </w:tcPr>
          <w:p w14:paraId="48ABBAED"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(2.66)</w:t>
            </w:r>
          </w:p>
        </w:tc>
      </w:tr>
      <w:tr w:rsidR="002D4FEC" w:rsidRPr="00B77038" w14:paraId="27B20E9E" w14:textId="77777777" w:rsidTr="002D4FEC">
        <w:trPr>
          <w:trHeight w:val="295"/>
        </w:trPr>
        <w:tc>
          <w:tcPr>
            <w:tcW w:w="3035" w:type="dxa"/>
            <w:gridSpan w:val="2"/>
            <w:tcBorders>
              <w:top w:val="nil"/>
              <w:left w:val="nil"/>
              <w:bottom w:val="nil"/>
              <w:right w:val="nil"/>
            </w:tcBorders>
            <w:shd w:val="clear" w:color="auto" w:fill="auto"/>
            <w:noWrap/>
            <w:vAlign w:val="bottom"/>
            <w:hideMark/>
          </w:tcPr>
          <w:p w14:paraId="45618B40" w14:textId="4963EC1F" w:rsidR="002D4FEC" w:rsidRPr="00B77038" w:rsidRDefault="002D4FEC" w:rsidP="003B6893">
            <w:pPr>
              <w:spacing w:after="0" w:line="240" w:lineRule="auto"/>
              <w:rPr>
                <w:rFonts w:ascii="Calibri" w:eastAsia="Times New Roman" w:hAnsi="Calibri" w:cs="Calibri"/>
                <w:color w:val="000000"/>
              </w:rPr>
            </w:pPr>
            <w:r>
              <w:rPr>
                <w:rFonts w:ascii="Calibri" w:eastAsia="Times New Roman" w:hAnsi="Calibri" w:cs="Calibri"/>
                <w:color w:val="000000"/>
              </w:rPr>
              <w:t>D</w:t>
            </w:r>
            <w:r w:rsidRPr="00B77038">
              <w:rPr>
                <w:rFonts w:ascii="Calibri" w:eastAsia="Times New Roman" w:hAnsi="Calibri" w:cs="Calibri"/>
                <w:color w:val="000000"/>
              </w:rPr>
              <w:t>ist. to FEMA (miles</w:t>
            </w:r>
            <w:r w:rsidR="00D2003C">
              <w:rPr>
                <w:rFonts w:ascii="Calibri" w:eastAsia="Times New Roman" w:hAnsi="Calibri" w:cs="Calibri"/>
                <w:color w:val="000000"/>
              </w:rPr>
              <w:t>)</w:t>
            </w:r>
          </w:p>
        </w:tc>
        <w:tc>
          <w:tcPr>
            <w:tcW w:w="1280" w:type="dxa"/>
            <w:gridSpan w:val="2"/>
            <w:tcBorders>
              <w:top w:val="nil"/>
              <w:left w:val="nil"/>
              <w:bottom w:val="nil"/>
              <w:right w:val="nil"/>
            </w:tcBorders>
            <w:shd w:val="clear" w:color="auto" w:fill="auto"/>
            <w:noWrap/>
            <w:vAlign w:val="bottom"/>
            <w:hideMark/>
          </w:tcPr>
          <w:p w14:paraId="4A27E766"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-0.115**</w:t>
            </w:r>
          </w:p>
        </w:tc>
        <w:tc>
          <w:tcPr>
            <w:tcW w:w="1320" w:type="dxa"/>
            <w:gridSpan w:val="2"/>
            <w:tcBorders>
              <w:top w:val="nil"/>
              <w:left w:val="nil"/>
              <w:bottom w:val="nil"/>
              <w:right w:val="nil"/>
            </w:tcBorders>
            <w:shd w:val="clear" w:color="auto" w:fill="auto"/>
            <w:noWrap/>
            <w:vAlign w:val="bottom"/>
            <w:hideMark/>
          </w:tcPr>
          <w:p w14:paraId="77E50307"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-0.012</w:t>
            </w:r>
          </w:p>
        </w:tc>
      </w:tr>
      <w:tr w:rsidR="002D4FEC" w:rsidRPr="00B77038" w14:paraId="2AA468DB" w14:textId="77777777" w:rsidTr="002D4FEC">
        <w:trPr>
          <w:trHeight w:val="295"/>
        </w:trPr>
        <w:tc>
          <w:tcPr>
            <w:tcW w:w="3035" w:type="dxa"/>
            <w:gridSpan w:val="2"/>
            <w:tcBorders>
              <w:top w:val="nil"/>
              <w:left w:val="nil"/>
              <w:bottom w:val="nil"/>
              <w:right w:val="nil"/>
            </w:tcBorders>
            <w:shd w:val="clear" w:color="D9D9D9" w:fill="D9D9D9"/>
            <w:noWrap/>
            <w:vAlign w:val="bottom"/>
            <w:hideMark/>
          </w:tcPr>
          <w:p w14:paraId="74E78C9A" w14:textId="77777777" w:rsidR="002D4FEC" w:rsidRPr="00B77038" w:rsidRDefault="002D4FEC" w:rsidP="003B6893">
            <w:pPr>
              <w:spacing w:after="0" w:line="240" w:lineRule="auto"/>
              <w:jc w:val="right"/>
              <w:rPr>
                <w:rFonts w:ascii="Calibri" w:eastAsia="Times New Roman" w:hAnsi="Calibri" w:cs="Calibri"/>
                <w:color w:val="000000"/>
              </w:rPr>
            </w:pPr>
          </w:p>
        </w:tc>
        <w:tc>
          <w:tcPr>
            <w:tcW w:w="1280" w:type="dxa"/>
            <w:gridSpan w:val="2"/>
            <w:tcBorders>
              <w:top w:val="nil"/>
              <w:left w:val="nil"/>
              <w:bottom w:val="nil"/>
              <w:right w:val="nil"/>
            </w:tcBorders>
            <w:shd w:val="clear" w:color="D9D9D9" w:fill="D9D9D9"/>
            <w:noWrap/>
            <w:vAlign w:val="bottom"/>
            <w:hideMark/>
          </w:tcPr>
          <w:p w14:paraId="7209DB8A"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(3.21)</w:t>
            </w:r>
          </w:p>
        </w:tc>
        <w:tc>
          <w:tcPr>
            <w:tcW w:w="1320" w:type="dxa"/>
            <w:gridSpan w:val="2"/>
            <w:tcBorders>
              <w:top w:val="nil"/>
              <w:left w:val="nil"/>
              <w:bottom w:val="nil"/>
              <w:right w:val="nil"/>
            </w:tcBorders>
            <w:shd w:val="clear" w:color="D9D9D9" w:fill="D9D9D9"/>
            <w:noWrap/>
            <w:vAlign w:val="bottom"/>
            <w:hideMark/>
          </w:tcPr>
          <w:p w14:paraId="7F38370A"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(0.41)</w:t>
            </w:r>
          </w:p>
        </w:tc>
      </w:tr>
      <w:tr w:rsidR="002D4FEC" w:rsidRPr="00B77038" w14:paraId="404B2770" w14:textId="77777777" w:rsidTr="002D4FEC">
        <w:trPr>
          <w:trHeight w:val="295"/>
        </w:trPr>
        <w:tc>
          <w:tcPr>
            <w:tcW w:w="3035" w:type="dxa"/>
            <w:gridSpan w:val="2"/>
            <w:tcBorders>
              <w:top w:val="nil"/>
              <w:left w:val="nil"/>
              <w:bottom w:val="nil"/>
              <w:right w:val="nil"/>
            </w:tcBorders>
            <w:shd w:val="clear" w:color="auto" w:fill="auto"/>
            <w:noWrap/>
            <w:vAlign w:val="bottom"/>
            <w:hideMark/>
          </w:tcPr>
          <w:p w14:paraId="00575488" w14:textId="77777777" w:rsidR="002D4FEC" w:rsidRPr="00B77038" w:rsidRDefault="002D4FEC"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ln(# units)</w:t>
            </w:r>
          </w:p>
        </w:tc>
        <w:tc>
          <w:tcPr>
            <w:tcW w:w="1280" w:type="dxa"/>
            <w:gridSpan w:val="2"/>
            <w:tcBorders>
              <w:top w:val="nil"/>
              <w:left w:val="nil"/>
              <w:bottom w:val="nil"/>
              <w:right w:val="nil"/>
            </w:tcBorders>
            <w:shd w:val="clear" w:color="auto" w:fill="auto"/>
            <w:noWrap/>
            <w:vAlign w:val="bottom"/>
            <w:hideMark/>
          </w:tcPr>
          <w:p w14:paraId="31529703"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0.335***</w:t>
            </w:r>
          </w:p>
        </w:tc>
        <w:tc>
          <w:tcPr>
            <w:tcW w:w="1320" w:type="dxa"/>
            <w:gridSpan w:val="2"/>
            <w:tcBorders>
              <w:top w:val="nil"/>
              <w:left w:val="nil"/>
              <w:bottom w:val="nil"/>
              <w:right w:val="nil"/>
            </w:tcBorders>
            <w:shd w:val="clear" w:color="auto" w:fill="auto"/>
            <w:noWrap/>
            <w:vAlign w:val="bottom"/>
            <w:hideMark/>
          </w:tcPr>
          <w:p w14:paraId="48780B02"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0.373***</w:t>
            </w:r>
          </w:p>
        </w:tc>
      </w:tr>
      <w:tr w:rsidR="002D4FEC" w:rsidRPr="00B77038" w14:paraId="12205961" w14:textId="77777777" w:rsidTr="002D4FEC">
        <w:trPr>
          <w:trHeight w:val="295"/>
        </w:trPr>
        <w:tc>
          <w:tcPr>
            <w:tcW w:w="3035" w:type="dxa"/>
            <w:gridSpan w:val="2"/>
            <w:tcBorders>
              <w:top w:val="nil"/>
              <w:left w:val="nil"/>
              <w:bottom w:val="nil"/>
              <w:right w:val="nil"/>
            </w:tcBorders>
            <w:shd w:val="clear" w:color="D9D9D9" w:fill="D9D9D9"/>
            <w:noWrap/>
            <w:vAlign w:val="bottom"/>
            <w:hideMark/>
          </w:tcPr>
          <w:p w14:paraId="1E34DA1E" w14:textId="77777777" w:rsidR="002D4FEC" w:rsidRPr="00B77038" w:rsidRDefault="002D4FEC" w:rsidP="003B6893">
            <w:pPr>
              <w:spacing w:after="0" w:line="240" w:lineRule="auto"/>
              <w:jc w:val="right"/>
              <w:rPr>
                <w:rFonts w:ascii="Calibri" w:eastAsia="Times New Roman" w:hAnsi="Calibri" w:cs="Calibri"/>
                <w:color w:val="000000"/>
              </w:rPr>
            </w:pPr>
          </w:p>
        </w:tc>
        <w:tc>
          <w:tcPr>
            <w:tcW w:w="1280" w:type="dxa"/>
            <w:gridSpan w:val="2"/>
            <w:tcBorders>
              <w:top w:val="nil"/>
              <w:left w:val="nil"/>
              <w:bottom w:val="nil"/>
              <w:right w:val="nil"/>
            </w:tcBorders>
            <w:shd w:val="clear" w:color="D9D9D9" w:fill="D9D9D9"/>
            <w:noWrap/>
            <w:vAlign w:val="bottom"/>
            <w:hideMark/>
          </w:tcPr>
          <w:p w14:paraId="6CA06FFC"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(13.23)</w:t>
            </w:r>
          </w:p>
        </w:tc>
        <w:tc>
          <w:tcPr>
            <w:tcW w:w="1320" w:type="dxa"/>
            <w:gridSpan w:val="2"/>
            <w:tcBorders>
              <w:top w:val="nil"/>
              <w:left w:val="nil"/>
              <w:bottom w:val="nil"/>
              <w:right w:val="nil"/>
            </w:tcBorders>
            <w:shd w:val="clear" w:color="D9D9D9" w:fill="D9D9D9"/>
            <w:noWrap/>
            <w:vAlign w:val="bottom"/>
            <w:hideMark/>
          </w:tcPr>
          <w:p w14:paraId="61F51480"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(5.92)</w:t>
            </w:r>
          </w:p>
        </w:tc>
      </w:tr>
      <w:tr w:rsidR="002D4FEC" w:rsidRPr="00B77038" w14:paraId="4B1EE4CD" w14:textId="77777777" w:rsidTr="002D4FEC">
        <w:trPr>
          <w:trHeight w:val="295"/>
        </w:trPr>
        <w:tc>
          <w:tcPr>
            <w:tcW w:w="3035" w:type="dxa"/>
            <w:gridSpan w:val="2"/>
            <w:tcBorders>
              <w:top w:val="nil"/>
              <w:left w:val="nil"/>
              <w:bottom w:val="nil"/>
              <w:right w:val="nil"/>
            </w:tcBorders>
            <w:shd w:val="clear" w:color="auto" w:fill="auto"/>
            <w:noWrap/>
            <w:vAlign w:val="bottom"/>
            <w:hideMark/>
          </w:tcPr>
          <w:p w14:paraId="7E11A0C5" w14:textId="77777777" w:rsidR="002D4FEC" w:rsidRPr="00B77038" w:rsidRDefault="002D4FEC"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ln(land area)</w:t>
            </w:r>
          </w:p>
        </w:tc>
        <w:tc>
          <w:tcPr>
            <w:tcW w:w="1280" w:type="dxa"/>
            <w:gridSpan w:val="2"/>
            <w:tcBorders>
              <w:top w:val="nil"/>
              <w:left w:val="nil"/>
              <w:bottom w:val="nil"/>
              <w:right w:val="nil"/>
            </w:tcBorders>
            <w:shd w:val="clear" w:color="auto" w:fill="auto"/>
            <w:noWrap/>
            <w:vAlign w:val="bottom"/>
            <w:hideMark/>
          </w:tcPr>
          <w:p w14:paraId="0551B129"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0.169***</w:t>
            </w:r>
          </w:p>
        </w:tc>
        <w:tc>
          <w:tcPr>
            <w:tcW w:w="1320" w:type="dxa"/>
            <w:gridSpan w:val="2"/>
            <w:tcBorders>
              <w:top w:val="nil"/>
              <w:left w:val="nil"/>
              <w:bottom w:val="nil"/>
              <w:right w:val="nil"/>
            </w:tcBorders>
            <w:shd w:val="clear" w:color="auto" w:fill="auto"/>
            <w:noWrap/>
            <w:vAlign w:val="bottom"/>
            <w:hideMark/>
          </w:tcPr>
          <w:p w14:paraId="2A0634A8"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0.192***</w:t>
            </w:r>
          </w:p>
        </w:tc>
      </w:tr>
      <w:tr w:rsidR="002D4FEC" w:rsidRPr="00B77038" w14:paraId="7F8DA2DD" w14:textId="77777777" w:rsidTr="002D4FEC">
        <w:trPr>
          <w:trHeight w:val="295"/>
        </w:trPr>
        <w:tc>
          <w:tcPr>
            <w:tcW w:w="3035" w:type="dxa"/>
            <w:gridSpan w:val="2"/>
            <w:tcBorders>
              <w:top w:val="nil"/>
              <w:left w:val="nil"/>
              <w:bottom w:val="nil"/>
              <w:right w:val="nil"/>
            </w:tcBorders>
            <w:shd w:val="clear" w:color="D9D9D9" w:fill="D9D9D9"/>
            <w:noWrap/>
            <w:vAlign w:val="bottom"/>
            <w:hideMark/>
          </w:tcPr>
          <w:p w14:paraId="7B3C6928" w14:textId="77777777" w:rsidR="002D4FEC" w:rsidRPr="00B77038" w:rsidRDefault="002D4FEC" w:rsidP="003B6893">
            <w:pPr>
              <w:spacing w:after="0" w:line="240" w:lineRule="auto"/>
              <w:jc w:val="right"/>
              <w:rPr>
                <w:rFonts w:ascii="Calibri" w:eastAsia="Times New Roman" w:hAnsi="Calibri" w:cs="Calibri"/>
                <w:color w:val="000000"/>
              </w:rPr>
            </w:pPr>
          </w:p>
        </w:tc>
        <w:tc>
          <w:tcPr>
            <w:tcW w:w="1280" w:type="dxa"/>
            <w:gridSpan w:val="2"/>
            <w:tcBorders>
              <w:top w:val="nil"/>
              <w:left w:val="nil"/>
              <w:bottom w:val="nil"/>
              <w:right w:val="nil"/>
            </w:tcBorders>
            <w:shd w:val="clear" w:color="D9D9D9" w:fill="D9D9D9"/>
            <w:noWrap/>
            <w:vAlign w:val="bottom"/>
            <w:hideMark/>
          </w:tcPr>
          <w:p w14:paraId="579B17D2"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(16.82)</w:t>
            </w:r>
          </w:p>
        </w:tc>
        <w:tc>
          <w:tcPr>
            <w:tcW w:w="1320" w:type="dxa"/>
            <w:gridSpan w:val="2"/>
            <w:tcBorders>
              <w:top w:val="nil"/>
              <w:left w:val="nil"/>
              <w:bottom w:val="nil"/>
              <w:right w:val="nil"/>
            </w:tcBorders>
            <w:shd w:val="clear" w:color="D9D9D9" w:fill="D9D9D9"/>
            <w:noWrap/>
            <w:vAlign w:val="bottom"/>
            <w:hideMark/>
          </w:tcPr>
          <w:p w14:paraId="73EDA987"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(13.16)</w:t>
            </w:r>
          </w:p>
        </w:tc>
      </w:tr>
      <w:tr w:rsidR="002D4FEC" w:rsidRPr="00B77038" w14:paraId="2AACD737" w14:textId="77777777" w:rsidTr="002D4FEC">
        <w:trPr>
          <w:trHeight w:val="295"/>
        </w:trPr>
        <w:tc>
          <w:tcPr>
            <w:tcW w:w="3035" w:type="dxa"/>
            <w:gridSpan w:val="2"/>
            <w:tcBorders>
              <w:top w:val="nil"/>
              <w:left w:val="nil"/>
              <w:bottom w:val="nil"/>
              <w:right w:val="nil"/>
            </w:tcBorders>
            <w:shd w:val="clear" w:color="auto" w:fill="auto"/>
            <w:noWrap/>
            <w:vAlign w:val="bottom"/>
            <w:hideMark/>
          </w:tcPr>
          <w:p w14:paraId="77ADFE2E" w14:textId="77777777" w:rsidR="002D4FEC" w:rsidRPr="00B77038" w:rsidRDefault="002D4FEC"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ln(age)</w:t>
            </w:r>
          </w:p>
        </w:tc>
        <w:tc>
          <w:tcPr>
            <w:tcW w:w="1280" w:type="dxa"/>
            <w:gridSpan w:val="2"/>
            <w:tcBorders>
              <w:top w:val="nil"/>
              <w:left w:val="nil"/>
              <w:bottom w:val="nil"/>
              <w:right w:val="nil"/>
            </w:tcBorders>
            <w:shd w:val="clear" w:color="auto" w:fill="auto"/>
            <w:noWrap/>
            <w:vAlign w:val="bottom"/>
            <w:hideMark/>
          </w:tcPr>
          <w:p w14:paraId="68FD1B53"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-0.0845***</w:t>
            </w:r>
          </w:p>
        </w:tc>
        <w:tc>
          <w:tcPr>
            <w:tcW w:w="1320" w:type="dxa"/>
            <w:gridSpan w:val="2"/>
            <w:tcBorders>
              <w:top w:val="nil"/>
              <w:left w:val="nil"/>
              <w:bottom w:val="nil"/>
              <w:right w:val="nil"/>
            </w:tcBorders>
            <w:shd w:val="clear" w:color="auto" w:fill="auto"/>
            <w:noWrap/>
            <w:vAlign w:val="bottom"/>
            <w:hideMark/>
          </w:tcPr>
          <w:p w14:paraId="510E3FA7"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-0.0808***</w:t>
            </w:r>
          </w:p>
        </w:tc>
      </w:tr>
      <w:tr w:rsidR="002D4FEC" w:rsidRPr="00B77038" w14:paraId="2A867BE1" w14:textId="77777777" w:rsidTr="002D4FEC">
        <w:trPr>
          <w:trHeight w:val="295"/>
        </w:trPr>
        <w:tc>
          <w:tcPr>
            <w:tcW w:w="3035" w:type="dxa"/>
            <w:gridSpan w:val="2"/>
            <w:tcBorders>
              <w:top w:val="nil"/>
              <w:left w:val="nil"/>
              <w:bottom w:val="nil"/>
              <w:right w:val="nil"/>
            </w:tcBorders>
            <w:shd w:val="clear" w:color="D9D9D9" w:fill="D9D9D9"/>
            <w:noWrap/>
            <w:vAlign w:val="bottom"/>
            <w:hideMark/>
          </w:tcPr>
          <w:p w14:paraId="43C921E3" w14:textId="77777777" w:rsidR="002D4FEC" w:rsidRPr="00B77038" w:rsidRDefault="002D4FEC" w:rsidP="003B6893">
            <w:pPr>
              <w:spacing w:after="0" w:line="240" w:lineRule="auto"/>
              <w:jc w:val="right"/>
              <w:rPr>
                <w:rFonts w:ascii="Calibri" w:eastAsia="Times New Roman" w:hAnsi="Calibri" w:cs="Calibri"/>
                <w:color w:val="000000"/>
              </w:rPr>
            </w:pPr>
          </w:p>
        </w:tc>
        <w:tc>
          <w:tcPr>
            <w:tcW w:w="1280" w:type="dxa"/>
            <w:gridSpan w:val="2"/>
            <w:tcBorders>
              <w:top w:val="nil"/>
              <w:left w:val="nil"/>
              <w:bottom w:val="nil"/>
              <w:right w:val="nil"/>
            </w:tcBorders>
            <w:shd w:val="clear" w:color="D9D9D9" w:fill="D9D9D9"/>
            <w:noWrap/>
            <w:vAlign w:val="bottom"/>
            <w:hideMark/>
          </w:tcPr>
          <w:p w14:paraId="1625D131"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(17.24)</w:t>
            </w:r>
          </w:p>
        </w:tc>
        <w:tc>
          <w:tcPr>
            <w:tcW w:w="1320" w:type="dxa"/>
            <w:gridSpan w:val="2"/>
            <w:tcBorders>
              <w:top w:val="nil"/>
              <w:left w:val="nil"/>
              <w:bottom w:val="nil"/>
              <w:right w:val="nil"/>
            </w:tcBorders>
            <w:shd w:val="clear" w:color="D9D9D9" w:fill="D9D9D9"/>
            <w:noWrap/>
            <w:vAlign w:val="bottom"/>
            <w:hideMark/>
          </w:tcPr>
          <w:p w14:paraId="43D70278"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(4.90)</w:t>
            </w:r>
          </w:p>
        </w:tc>
      </w:tr>
      <w:tr w:rsidR="002D4FEC" w:rsidRPr="00B77038" w14:paraId="47497E03" w14:textId="77777777" w:rsidTr="002D4FEC">
        <w:trPr>
          <w:trHeight w:val="295"/>
        </w:trPr>
        <w:tc>
          <w:tcPr>
            <w:tcW w:w="3035" w:type="dxa"/>
            <w:gridSpan w:val="2"/>
            <w:tcBorders>
              <w:top w:val="nil"/>
              <w:left w:val="nil"/>
              <w:bottom w:val="nil"/>
              <w:right w:val="nil"/>
            </w:tcBorders>
            <w:shd w:val="clear" w:color="auto" w:fill="auto"/>
            <w:noWrap/>
            <w:vAlign w:val="bottom"/>
            <w:hideMark/>
          </w:tcPr>
          <w:p w14:paraId="044B28C1" w14:textId="77777777" w:rsidR="002D4FEC" w:rsidRPr="00B77038" w:rsidRDefault="002D4FEC"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ln(building area)</w:t>
            </w:r>
          </w:p>
        </w:tc>
        <w:tc>
          <w:tcPr>
            <w:tcW w:w="1280" w:type="dxa"/>
            <w:gridSpan w:val="2"/>
            <w:tcBorders>
              <w:top w:val="nil"/>
              <w:left w:val="nil"/>
              <w:bottom w:val="nil"/>
              <w:right w:val="nil"/>
            </w:tcBorders>
            <w:shd w:val="clear" w:color="auto" w:fill="auto"/>
            <w:noWrap/>
            <w:vAlign w:val="bottom"/>
            <w:hideMark/>
          </w:tcPr>
          <w:p w14:paraId="52672890"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-0.605***</w:t>
            </w:r>
          </w:p>
        </w:tc>
        <w:tc>
          <w:tcPr>
            <w:tcW w:w="1320" w:type="dxa"/>
            <w:gridSpan w:val="2"/>
            <w:tcBorders>
              <w:top w:val="nil"/>
              <w:left w:val="nil"/>
              <w:bottom w:val="nil"/>
              <w:right w:val="nil"/>
            </w:tcBorders>
            <w:shd w:val="clear" w:color="auto" w:fill="auto"/>
            <w:noWrap/>
            <w:vAlign w:val="bottom"/>
            <w:hideMark/>
          </w:tcPr>
          <w:p w14:paraId="5A8BFBD8"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-0.601***</w:t>
            </w:r>
          </w:p>
        </w:tc>
      </w:tr>
      <w:tr w:rsidR="002D4FEC" w:rsidRPr="00B77038" w14:paraId="2D915800" w14:textId="77777777" w:rsidTr="002D4FEC">
        <w:trPr>
          <w:trHeight w:val="295"/>
        </w:trPr>
        <w:tc>
          <w:tcPr>
            <w:tcW w:w="3035" w:type="dxa"/>
            <w:gridSpan w:val="2"/>
            <w:tcBorders>
              <w:top w:val="nil"/>
              <w:left w:val="nil"/>
              <w:bottom w:val="nil"/>
              <w:right w:val="nil"/>
            </w:tcBorders>
            <w:shd w:val="clear" w:color="D9D9D9" w:fill="D9D9D9"/>
            <w:noWrap/>
            <w:vAlign w:val="bottom"/>
            <w:hideMark/>
          </w:tcPr>
          <w:p w14:paraId="69740C2F" w14:textId="77777777" w:rsidR="002D4FEC" w:rsidRPr="00B77038" w:rsidRDefault="002D4FEC" w:rsidP="003B6893">
            <w:pPr>
              <w:spacing w:after="0" w:line="240" w:lineRule="auto"/>
              <w:jc w:val="right"/>
              <w:rPr>
                <w:rFonts w:ascii="Calibri" w:eastAsia="Times New Roman" w:hAnsi="Calibri" w:cs="Calibri"/>
                <w:color w:val="000000"/>
              </w:rPr>
            </w:pPr>
          </w:p>
        </w:tc>
        <w:tc>
          <w:tcPr>
            <w:tcW w:w="1280" w:type="dxa"/>
            <w:gridSpan w:val="2"/>
            <w:tcBorders>
              <w:top w:val="nil"/>
              <w:left w:val="nil"/>
              <w:bottom w:val="nil"/>
              <w:right w:val="nil"/>
            </w:tcBorders>
            <w:shd w:val="clear" w:color="D9D9D9" w:fill="D9D9D9"/>
            <w:noWrap/>
            <w:vAlign w:val="bottom"/>
            <w:hideMark/>
          </w:tcPr>
          <w:p w14:paraId="240451C6"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(64.14)</w:t>
            </w:r>
          </w:p>
        </w:tc>
        <w:tc>
          <w:tcPr>
            <w:tcW w:w="1320" w:type="dxa"/>
            <w:gridSpan w:val="2"/>
            <w:tcBorders>
              <w:top w:val="nil"/>
              <w:left w:val="nil"/>
              <w:bottom w:val="nil"/>
              <w:right w:val="nil"/>
            </w:tcBorders>
            <w:shd w:val="clear" w:color="D9D9D9" w:fill="D9D9D9"/>
            <w:noWrap/>
            <w:vAlign w:val="bottom"/>
            <w:hideMark/>
          </w:tcPr>
          <w:p w14:paraId="54C1E595"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(23.24)</w:t>
            </w:r>
          </w:p>
        </w:tc>
      </w:tr>
      <w:tr w:rsidR="002D4FEC" w:rsidRPr="00B77038" w14:paraId="03CA61DB" w14:textId="77777777" w:rsidTr="002D4FEC">
        <w:trPr>
          <w:trHeight w:val="295"/>
        </w:trPr>
        <w:tc>
          <w:tcPr>
            <w:tcW w:w="3035" w:type="dxa"/>
            <w:gridSpan w:val="2"/>
            <w:tcBorders>
              <w:top w:val="nil"/>
              <w:left w:val="nil"/>
              <w:bottom w:val="nil"/>
              <w:right w:val="nil"/>
            </w:tcBorders>
            <w:shd w:val="clear" w:color="auto" w:fill="auto"/>
            <w:noWrap/>
            <w:vAlign w:val="bottom"/>
            <w:hideMark/>
          </w:tcPr>
          <w:p w14:paraId="3BE9CDCB" w14:textId="77777777" w:rsidR="002D4FEC" w:rsidRPr="00B77038" w:rsidRDefault="002D4FEC"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ln(# floors)</w:t>
            </w:r>
          </w:p>
        </w:tc>
        <w:tc>
          <w:tcPr>
            <w:tcW w:w="1280" w:type="dxa"/>
            <w:gridSpan w:val="2"/>
            <w:tcBorders>
              <w:top w:val="nil"/>
              <w:left w:val="nil"/>
              <w:bottom w:val="nil"/>
              <w:right w:val="nil"/>
            </w:tcBorders>
            <w:shd w:val="clear" w:color="auto" w:fill="auto"/>
            <w:noWrap/>
            <w:vAlign w:val="bottom"/>
            <w:hideMark/>
          </w:tcPr>
          <w:p w14:paraId="1388BDC4"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-0.00524</w:t>
            </w:r>
          </w:p>
        </w:tc>
        <w:tc>
          <w:tcPr>
            <w:tcW w:w="1320" w:type="dxa"/>
            <w:gridSpan w:val="2"/>
            <w:tcBorders>
              <w:top w:val="nil"/>
              <w:left w:val="nil"/>
              <w:bottom w:val="nil"/>
              <w:right w:val="nil"/>
            </w:tcBorders>
            <w:shd w:val="clear" w:color="auto" w:fill="auto"/>
            <w:noWrap/>
            <w:vAlign w:val="bottom"/>
            <w:hideMark/>
          </w:tcPr>
          <w:p w14:paraId="7FE4B395"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0.0297</w:t>
            </w:r>
          </w:p>
        </w:tc>
      </w:tr>
      <w:tr w:rsidR="002D4FEC" w:rsidRPr="00B77038" w14:paraId="77A9E3AC" w14:textId="77777777" w:rsidTr="002D4FEC">
        <w:trPr>
          <w:trHeight w:val="295"/>
        </w:trPr>
        <w:tc>
          <w:tcPr>
            <w:tcW w:w="3035" w:type="dxa"/>
            <w:gridSpan w:val="2"/>
            <w:tcBorders>
              <w:top w:val="nil"/>
              <w:left w:val="nil"/>
              <w:bottom w:val="nil"/>
              <w:right w:val="nil"/>
            </w:tcBorders>
            <w:shd w:val="clear" w:color="D9D9D9" w:fill="D9D9D9"/>
            <w:noWrap/>
            <w:vAlign w:val="bottom"/>
            <w:hideMark/>
          </w:tcPr>
          <w:p w14:paraId="0618B274" w14:textId="77777777" w:rsidR="002D4FEC" w:rsidRPr="00B77038" w:rsidRDefault="002D4FEC" w:rsidP="003B6893">
            <w:pPr>
              <w:spacing w:after="0" w:line="240" w:lineRule="auto"/>
              <w:jc w:val="right"/>
              <w:rPr>
                <w:rFonts w:ascii="Calibri" w:eastAsia="Times New Roman" w:hAnsi="Calibri" w:cs="Calibri"/>
                <w:color w:val="000000"/>
              </w:rPr>
            </w:pPr>
          </w:p>
        </w:tc>
        <w:tc>
          <w:tcPr>
            <w:tcW w:w="1280" w:type="dxa"/>
            <w:gridSpan w:val="2"/>
            <w:tcBorders>
              <w:top w:val="nil"/>
              <w:left w:val="nil"/>
              <w:bottom w:val="nil"/>
              <w:right w:val="nil"/>
            </w:tcBorders>
            <w:shd w:val="clear" w:color="D9D9D9" w:fill="D9D9D9"/>
            <w:noWrap/>
            <w:vAlign w:val="bottom"/>
            <w:hideMark/>
          </w:tcPr>
          <w:p w14:paraId="7C82BFD6"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(0.19)</w:t>
            </w:r>
          </w:p>
        </w:tc>
        <w:tc>
          <w:tcPr>
            <w:tcW w:w="1320" w:type="dxa"/>
            <w:gridSpan w:val="2"/>
            <w:tcBorders>
              <w:top w:val="nil"/>
              <w:left w:val="nil"/>
              <w:bottom w:val="nil"/>
              <w:right w:val="nil"/>
            </w:tcBorders>
            <w:shd w:val="clear" w:color="D9D9D9" w:fill="D9D9D9"/>
            <w:noWrap/>
            <w:vAlign w:val="bottom"/>
            <w:hideMark/>
          </w:tcPr>
          <w:p w14:paraId="3F0681AF"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(1.32)</w:t>
            </w:r>
          </w:p>
        </w:tc>
      </w:tr>
      <w:tr w:rsidR="002D4FEC" w:rsidRPr="00B77038" w14:paraId="7D3D36A7" w14:textId="77777777" w:rsidTr="002D4FEC">
        <w:trPr>
          <w:trHeight w:val="295"/>
        </w:trPr>
        <w:tc>
          <w:tcPr>
            <w:tcW w:w="3035" w:type="dxa"/>
            <w:gridSpan w:val="2"/>
            <w:tcBorders>
              <w:top w:val="nil"/>
              <w:left w:val="nil"/>
              <w:bottom w:val="nil"/>
              <w:right w:val="nil"/>
            </w:tcBorders>
            <w:shd w:val="clear" w:color="auto" w:fill="auto"/>
            <w:noWrap/>
            <w:vAlign w:val="bottom"/>
            <w:hideMark/>
          </w:tcPr>
          <w:p w14:paraId="4B903A2A" w14:textId="07737BB6" w:rsidR="002D4FEC" w:rsidRPr="00B77038" w:rsidRDefault="002D4FEC" w:rsidP="003B6893">
            <w:pPr>
              <w:spacing w:after="0" w:line="240" w:lineRule="auto"/>
              <w:rPr>
                <w:rFonts w:ascii="Calibri" w:eastAsia="Times New Roman" w:hAnsi="Calibri" w:cs="Calibri"/>
                <w:color w:val="000000"/>
              </w:rPr>
            </w:pPr>
            <w:r>
              <w:rPr>
                <w:rFonts w:ascii="Calibri" w:eastAsia="Times New Roman" w:hAnsi="Calibri" w:cs="Calibri"/>
                <w:color w:val="000000"/>
              </w:rPr>
              <w:t>D</w:t>
            </w:r>
            <w:r w:rsidRPr="00B77038">
              <w:rPr>
                <w:rFonts w:ascii="Calibri" w:eastAsia="Times New Roman" w:hAnsi="Calibri" w:cs="Calibri"/>
                <w:color w:val="000000"/>
              </w:rPr>
              <w:t>ist. to shore (miles)</w:t>
            </w:r>
          </w:p>
        </w:tc>
        <w:tc>
          <w:tcPr>
            <w:tcW w:w="1280" w:type="dxa"/>
            <w:gridSpan w:val="2"/>
            <w:tcBorders>
              <w:top w:val="nil"/>
              <w:left w:val="nil"/>
              <w:bottom w:val="nil"/>
              <w:right w:val="nil"/>
            </w:tcBorders>
            <w:shd w:val="clear" w:color="auto" w:fill="auto"/>
            <w:noWrap/>
            <w:vAlign w:val="bottom"/>
            <w:hideMark/>
          </w:tcPr>
          <w:p w14:paraId="771440AF"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0.127***</w:t>
            </w:r>
          </w:p>
        </w:tc>
        <w:tc>
          <w:tcPr>
            <w:tcW w:w="1320" w:type="dxa"/>
            <w:gridSpan w:val="2"/>
            <w:tcBorders>
              <w:top w:val="nil"/>
              <w:left w:val="nil"/>
              <w:bottom w:val="nil"/>
              <w:right w:val="nil"/>
            </w:tcBorders>
            <w:shd w:val="clear" w:color="auto" w:fill="auto"/>
            <w:noWrap/>
            <w:vAlign w:val="bottom"/>
            <w:hideMark/>
          </w:tcPr>
          <w:p w14:paraId="5F027B33"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 xml:space="preserve">0.0273*  </w:t>
            </w:r>
          </w:p>
        </w:tc>
      </w:tr>
      <w:tr w:rsidR="002D4FEC" w:rsidRPr="00B77038" w14:paraId="39BC5021" w14:textId="77777777" w:rsidTr="002D4FEC">
        <w:trPr>
          <w:trHeight w:val="295"/>
        </w:trPr>
        <w:tc>
          <w:tcPr>
            <w:tcW w:w="3035" w:type="dxa"/>
            <w:gridSpan w:val="2"/>
            <w:tcBorders>
              <w:top w:val="nil"/>
              <w:left w:val="nil"/>
              <w:bottom w:val="nil"/>
              <w:right w:val="nil"/>
            </w:tcBorders>
            <w:shd w:val="clear" w:color="D9D9D9" w:fill="D9D9D9"/>
            <w:noWrap/>
            <w:vAlign w:val="bottom"/>
            <w:hideMark/>
          </w:tcPr>
          <w:p w14:paraId="3066B0C9" w14:textId="77777777" w:rsidR="002D4FEC" w:rsidRPr="00B77038" w:rsidRDefault="002D4FEC" w:rsidP="003B6893">
            <w:pPr>
              <w:spacing w:after="0" w:line="240" w:lineRule="auto"/>
              <w:jc w:val="right"/>
              <w:rPr>
                <w:rFonts w:ascii="Calibri" w:eastAsia="Times New Roman" w:hAnsi="Calibri" w:cs="Calibri"/>
                <w:color w:val="000000"/>
              </w:rPr>
            </w:pPr>
          </w:p>
        </w:tc>
        <w:tc>
          <w:tcPr>
            <w:tcW w:w="1280" w:type="dxa"/>
            <w:gridSpan w:val="2"/>
            <w:tcBorders>
              <w:top w:val="nil"/>
              <w:left w:val="nil"/>
              <w:bottom w:val="nil"/>
              <w:right w:val="nil"/>
            </w:tcBorders>
            <w:shd w:val="clear" w:color="D9D9D9" w:fill="D9D9D9"/>
            <w:noWrap/>
            <w:vAlign w:val="bottom"/>
            <w:hideMark/>
          </w:tcPr>
          <w:p w14:paraId="6E98DC45"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(17.34)</w:t>
            </w:r>
          </w:p>
        </w:tc>
        <w:tc>
          <w:tcPr>
            <w:tcW w:w="1320" w:type="dxa"/>
            <w:gridSpan w:val="2"/>
            <w:tcBorders>
              <w:top w:val="nil"/>
              <w:left w:val="nil"/>
              <w:bottom w:val="nil"/>
              <w:right w:val="nil"/>
            </w:tcBorders>
            <w:shd w:val="clear" w:color="D9D9D9" w:fill="D9D9D9"/>
            <w:noWrap/>
            <w:vAlign w:val="bottom"/>
            <w:hideMark/>
          </w:tcPr>
          <w:p w14:paraId="79472751"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(2.21)</w:t>
            </w:r>
          </w:p>
        </w:tc>
      </w:tr>
      <w:tr w:rsidR="002D4FEC" w:rsidRPr="00B77038" w14:paraId="4B306AB9" w14:textId="77777777" w:rsidTr="002D4FEC">
        <w:trPr>
          <w:trHeight w:val="295"/>
        </w:trPr>
        <w:tc>
          <w:tcPr>
            <w:tcW w:w="3035" w:type="dxa"/>
            <w:gridSpan w:val="2"/>
            <w:tcBorders>
              <w:top w:val="nil"/>
              <w:left w:val="nil"/>
              <w:bottom w:val="nil"/>
              <w:right w:val="nil"/>
            </w:tcBorders>
            <w:shd w:val="clear" w:color="auto" w:fill="auto"/>
            <w:noWrap/>
            <w:vAlign w:val="bottom"/>
            <w:hideMark/>
          </w:tcPr>
          <w:p w14:paraId="085AC5A7" w14:textId="463F563B" w:rsidR="002D4FEC" w:rsidRPr="00B77038" w:rsidRDefault="002D4FEC" w:rsidP="003B6893">
            <w:pPr>
              <w:spacing w:after="0" w:line="240" w:lineRule="auto"/>
              <w:rPr>
                <w:rFonts w:ascii="Calibri" w:eastAsia="Times New Roman" w:hAnsi="Calibri" w:cs="Calibri"/>
                <w:color w:val="000000"/>
              </w:rPr>
            </w:pPr>
            <w:r>
              <w:rPr>
                <w:rFonts w:ascii="Calibri" w:eastAsia="Times New Roman" w:hAnsi="Calibri" w:cs="Calibri"/>
                <w:color w:val="000000"/>
              </w:rPr>
              <w:t>C</w:t>
            </w:r>
            <w:r w:rsidRPr="00B77038">
              <w:rPr>
                <w:rFonts w:ascii="Calibri" w:eastAsia="Times New Roman" w:hAnsi="Calibri" w:cs="Calibri"/>
                <w:color w:val="000000"/>
              </w:rPr>
              <w:t>onstant</w:t>
            </w:r>
          </w:p>
        </w:tc>
        <w:tc>
          <w:tcPr>
            <w:tcW w:w="1280" w:type="dxa"/>
            <w:gridSpan w:val="2"/>
            <w:tcBorders>
              <w:top w:val="nil"/>
              <w:left w:val="nil"/>
              <w:bottom w:val="nil"/>
              <w:right w:val="nil"/>
            </w:tcBorders>
            <w:shd w:val="clear" w:color="auto" w:fill="auto"/>
            <w:noWrap/>
            <w:vAlign w:val="bottom"/>
            <w:hideMark/>
          </w:tcPr>
          <w:p w14:paraId="1D5D4BF8"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7.086***</w:t>
            </w:r>
          </w:p>
        </w:tc>
        <w:tc>
          <w:tcPr>
            <w:tcW w:w="1320" w:type="dxa"/>
            <w:gridSpan w:val="2"/>
            <w:tcBorders>
              <w:top w:val="nil"/>
              <w:left w:val="nil"/>
              <w:bottom w:val="nil"/>
              <w:right w:val="nil"/>
            </w:tcBorders>
            <w:shd w:val="clear" w:color="auto" w:fill="auto"/>
            <w:noWrap/>
            <w:vAlign w:val="bottom"/>
            <w:hideMark/>
          </w:tcPr>
          <w:p w14:paraId="1F383AB1"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8.851***</w:t>
            </w:r>
          </w:p>
        </w:tc>
      </w:tr>
      <w:tr w:rsidR="002D4FEC" w:rsidRPr="00B77038" w14:paraId="271AB08F" w14:textId="77777777" w:rsidTr="002D4FEC">
        <w:trPr>
          <w:trHeight w:val="295"/>
        </w:trPr>
        <w:tc>
          <w:tcPr>
            <w:tcW w:w="3035" w:type="dxa"/>
            <w:gridSpan w:val="2"/>
            <w:tcBorders>
              <w:top w:val="nil"/>
              <w:left w:val="nil"/>
              <w:bottom w:val="single" w:sz="4" w:space="0" w:color="auto"/>
              <w:right w:val="nil"/>
            </w:tcBorders>
            <w:shd w:val="clear" w:color="D9D9D9" w:fill="D9D9D9"/>
            <w:noWrap/>
            <w:vAlign w:val="bottom"/>
            <w:hideMark/>
          </w:tcPr>
          <w:p w14:paraId="1B7B0D8E" w14:textId="77777777" w:rsidR="002D4FEC" w:rsidRPr="00B77038" w:rsidRDefault="002D4FEC"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 </w:t>
            </w:r>
          </w:p>
        </w:tc>
        <w:tc>
          <w:tcPr>
            <w:tcW w:w="1280" w:type="dxa"/>
            <w:gridSpan w:val="2"/>
            <w:tcBorders>
              <w:top w:val="nil"/>
              <w:left w:val="nil"/>
              <w:bottom w:val="single" w:sz="4" w:space="0" w:color="auto"/>
              <w:right w:val="nil"/>
            </w:tcBorders>
            <w:shd w:val="clear" w:color="D9D9D9" w:fill="D9D9D9"/>
            <w:noWrap/>
            <w:vAlign w:val="bottom"/>
            <w:hideMark/>
          </w:tcPr>
          <w:p w14:paraId="5AC3CBF6"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(76.42)</w:t>
            </w:r>
          </w:p>
        </w:tc>
        <w:tc>
          <w:tcPr>
            <w:tcW w:w="1320" w:type="dxa"/>
            <w:gridSpan w:val="2"/>
            <w:tcBorders>
              <w:top w:val="nil"/>
              <w:left w:val="nil"/>
              <w:bottom w:val="single" w:sz="4" w:space="0" w:color="auto"/>
              <w:right w:val="nil"/>
            </w:tcBorders>
            <w:shd w:val="clear" w:color="D9D9D9" w:fill="D9D9D9"/>
            <w:noWrap/>
            <w:vAlign w:val="bottom"/>
            <w:hideMark/>
          </w:tcPr>
          <w:p w14:paraId="2474923B"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(47.60)</w:t>
            </w:r>
          </w:p>
        </w:tc>
      </w:tr>
      <w:tr w:rsidR="002D4FEC" w:rsidRPr="00B77038" w14:paraId="36680F15" w14:textId="77777777" w:rsidTr="002D4FEC">
        <w:trPr>
          <w:trHeight w:val="295"/>
        </w:trPr>
        <w:tc>
          <w:tcPr>
            <w:tcW w:w="3035" w:type="dxa"/>
            <w:gridSpan w:val="2"/>
            <w:tcBorders>
              <w:top w:val="nil"/>
              <w:left w:val="nil"/>
              <w:bottom w:val="nil"/>
              <w:right w:val="nil"/>
            </w:tcBorders>
            <w:shd w:val="clear" w:color="auto" w:fill="auto"/>
            <w:noWrap/>
            <w:vAlign w:val="bottom"/>
            <w:hideMark/>
          </w:tcPr>
          <w:p w14:paraId="45F43098" w14:textId="77777777" w:rsidR="002D4FEC" w:rsidRPr="00B77038" w:rsidRDefault="002D4FEC"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N</w:t>
            </w:r>
          </w:p>
        </w:tc>
        <w:tc>
          <w:tcPr>
            <w:tcW w:w="1280" w:type="dxa"/>
            <w:gridSpan w:val="2"/>
            <w:tcBorders>
              <w:top w:val="nil"/>
              <w:left w:val="nil"/>
              <w:bottom w:val="nil"/>
              <w:right w:val="nil"/>
            </w:tcBorders>
            <w:shd w:val="clear" w:color="auto" w:fill="auto"/>
            <w:noWrap/>
            <w:vAlign w:val="bottom"/>
            <w:hideMark/>
          </w:tcPr>
          <w:p w14:paraId="43F91E78"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9967</w:t>
            </w:r>
          </w:p>
        </w:tc>
        <w:tc>
          <w:tcPr>
            <w:tcW w:w="1320" w:type="dxa"/>
            <w:gridSpan w:val="2"/>
            <w:tcBorders>
              <w:top w:val="nil"/>
              <w:left w:val="nil"/>
              <w:bottom w:val="nil"/>
              <w:right w:val="nil"/>
            </w:tcBorders>
            <w:shd w:val="clear" w:color="auto" w:fill="auto"/>
            <w:noWrap/>
            <w:vAlign w:val="bottom"/>
            <w:hideMark/>
          </w:tcPr>
          <w:p w14:paraId="4712C6F9"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19916</w:t>
            </w:r>
          </w:p>
        </w:tc>
      </w:tr>
      <w:tr w:rsidR="002D4FEC" w:rsidRPr="00B77038" w14:paraId="0D4F3E5D" w14:textId="77777777" w:rsidTr="002D4FEC">
        <w:trPr>
          <w:trHeight w:val="295"/>
        </w:trPr>
        <w:tc>
          <w:tcPr>
            <w:tcW w:w="3035" w:type="dxa"/>
            <w:gridSpan w:val="2"/>
            <w:tcBorders>
              <w:top w:val="nil"/>
              <w:left w:val="nil"/>
              <w:bottom w:val="nil"/>
              <w:right w:val="nil"/>
            </w:tcBorders>
            <w:shd w:val="clear" w:color="D9D9D9" w:fill="D9D9D9"/>
            <w:noWrap/>
            <w:vAlign w:val="bottom"/>
            <w:hideMark/>
          </w:tcPr>
          <w:p w14:paraId="51175D30" w14:textId="77777777" w:rsidR="002D4FEC" w:rsidRPr="00B77038" w:rsidRDefault="002D4FEC"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R-sq</w:t>
            </w:r>
          </w:p>
        </w:tc>
        <w:tc>
          <w:tcPr>
            <w:tcW w:w="1280" w:type="dxa"/>
            <w:gridSpan w:val="2"/>
            <w:tcBorders>
              <w:top w:val="nil"/>
              <w:left w:val="nil"/>
              <w:bottom w:val="nil"/>
              <w:right w:val="nil"/>
            </w:tcBorders>
            <w:shd w:val="clear" w:color="D9D9D9" w:fill="D9D9D9"/>
            <w:noWrap/>
            <w:vAlign w:val="bottom"/>
            <w:hideMark/>
          </w:tcPr>
          <w:p w14:paraId="085EDBFF"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0.614</w:t>
            </w:r>
          </w:p>
        </w:tc>
        <w:tc>
          <w:tcPr>
            <w:tcW w:w="1320" w:type="dxa"/>
            <w:gridSpan w:val="2"/>
            <w:tcBorders>
              <w:top w:val="nil"/>
              <w:left w:val="nil"/>
              <w:bottom w:val="nil"/>
              <w:right w:val="nil"/>
            </w:tcBorders>
            <w:shd w:val="clear" w:color="D9D9D9" w:fill="D9D9D9"/>
            <w:noWrap/>
            <w:vAlign w:val="bottom"/>
            <w:hideMark/>
          </w:tcPr>
          <w:p w14:paraId="3A2A8C25"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0.541</w:t>
            </w:r>
          </w:p>
        </w:tc>
      </w:tr>
      <w:tr w:rsidR="002D4FEC" w:rsidRPr="00B77038" w14:paraId="6BCBC316" w14:textId="77777777" w:rsidTr="002D4FEC">
        <w:trPr>
          <w:trHeight w:val="295"/>
        </w:trPr>
        <w:tc>
          <w:tcPr>
            <w:tcW w:w="3035" w:type="dxa"/>
            <w:gridSpan w:val="2"/>
            <w:tcBorders>
              <w:top w:val="nil"/>
              <w:left w:val="nil"/>
              <w:bottom w:val="nil"/>
              <w:right w:val="nil"/>
            </w:tcBorders>
            <w:shd w:val="clear" w:color="auto" w:fill="auto"/>
            <w:noWrap/>
            <w:vAlign w:val="bottom"/>
            <w:hideMark/>
          </w:tcPr>
          <w:p w14:paraId="34181DDF" w14:textId="77777777" w:rsidR="002D4FEC" w:rsidRPr="00B77038" w:rsidRDefault="002D4FEC"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adj. R-sq</w:t>
            </w:r>
          </w:p>
        </w:tc>
        <w:tc>
          <w:tcPr>
            <w:tcW w:w="1280" w:type="dxa"/>
            <w:gridSpan w:val="2"/>
            <w:tcBorders>
              <w:top w:val="nil"/>
              <w:left w:val="nil"/>
              <w:bottom w:val="nil"/>
              <w:right w:val="nil"/>
            </w:tcBorders>
            <w:shd w:val="clear" w:color="auto" w:fill="auto"/>
            <w:noWrap/>
            <w:vAlign w:val="bottom"/>
            <w:hideMark/>
          </w:tcPr>
          <w:p w14:paraId="1C3ED4AC"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0.59</w:t>
            </w:r>
          </w:p>
        </w:tc>
        <w:tc>
          <w:tcPr>
            <w:tcW w:w="1320" w:type="dxa"/>
            <w:gridSpan w:val="2"/>
            <w:tcBorders>
              <w:top w:val="nil"/>
              <w:left w:val="nil"/>
              <w:bottom w:val="nil"/>
              <w:right w:val="nil"/>
            </w:tcBorders>
            <w:shd w:val="clear" w:color="auto" w:fill="auto"/>
            <w:noWrap/>
            <w:vAlign w:val="bottom"/>
            <w:hideMark/>
          </w:tcPr>
          <w:p w14:paraId="31718A1A"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0.512</w:t>
            </w:r>
          </w:p>
        </w:tc>
      </w:tr>
      <w:tr w:rsidR="002D4FEC" w:rsidRPr="00B77038" w14:paraId="4E1F117C" w14:textId="77777777" w:rsidTr="002D4FEC">
        <w:trPr>
          <w:trHeight w:val="295"/>
        </w:trPr>
        <w:tc>
          <w:tcPr>
            <w:tcW w:w="3035" w:type="dxa"/>
            <w:gridSpan w:val="2"/>
            <w:tcBorders>
              <w:top w:val="nil"/>
              <w:left w:val="nil"/>
              <w:bottom w:val="nil"/>
              <w:right w:val="nil"/>
            </w:tcBorders>
            <w:shd w:val="clear" w:color="D9D9D9" w:fill="D9D9D9"/>
            <w:noWrap/>
            <w:vAlign w:val="bottom"/>
            <w:hideMark/>
          </w:tcPr>
          <w:p w14:paraId="03081350" w14:textId="77777777" w:rsidR="002D4FEC" w:rsidRPr="00B77038" w:rsidRDefault="002D4FEC"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AIC</w:t>
            </w:r>
          </w:p>
        </w:tc>
        <w:tc>
          <w:tcPr>
            <w:tcW w:w="1280" w:type="dxa"/>
            <w:gridSpan w:val="2"/>
            <w:tcBorders>
              <w:top w:val="nil"/>
              <w:left w:val="nil"/>
              <w:bottom w:val="nil"/>
              <w:right w:val="nil"/>
            </w:tcBorders>
            <w:shd w:val="clear" w:color="D9D9D9" w:fill="D9D9D9"/>
            <w:noWrap/>
            <w:vAlign w:val="bottom"/>
            <w:hideMark/>
          </w:tcPr>
          <w:p w14:paraId="67D9A253"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5186.6</w:t>
            </w:r>
          </w:p>
        </w:tc>
        <w:tc>
          <w:tcPr>
            <w:tcW w:w="1320" w:type="dxa"/>
            <w:gridSpan w:val="2"/>
            <w:tcBorders>
              <w:top w:val="nil"/>
              <w:left w:val="nil"/>
              <w:bottom w:val="nil"/>
              <w:right w:val="nil"/>
            </w:tcBorders>
            <w:shd w:val="clear" w:color="D9D9D9" w:fill="D9D9D9"/>
            <w:noWrap/>
            <w:vAlign w:val="bottom"/>
            <w:hideMark/>
          </w:tcPr>
          <w:p w14:paraId="23354830"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16547.5</w:t>
            </w:r>
          </w:p>
        </w:tc>
      </w:tr>
      <w:tr w:rsidR="002D4FEC" w:rsidRPr="00B77038" w14:paraId="7C73513E" w14:textId="77777777" w:rsidTr="002D4FEC">
        <w:trPr>
          <w:trHeight w:val="295"/>
        </w:trPr>
        <w:tc>
          <w:tcPr>
            <w:tcW w:w="3035" w:type="dxa"/>
            <w:gridSpan w:val="2"/>
            <w:tcBorders>
              <w:top w:val="nil"/>
              <w:left w:val="nil"/>
              <w:bottom w:val="single" w:sz="4" w:space="0" w:color="000000"/>
              <w:right w:val="nil"/>
            </w:tcBorders>
            <w:shd w:val="clear" w:color="auto" w:fill="auto"/>
            <w:noWrap/>
            <w:vAlign w:val="bottom"/>
            <w:hideMark/>
          </w:tcPr>
          <w:p w14:paraId="18EE96CB" w14:textId="77777777" w:rsidR="002D4FEC" w:rsidRPr="00B77038" w:rsidRDefault="002D4FEC"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BIC</w:t>
            </w:r>
          </w:p>
        </w:tc>
        <w:tc>
          <w:tcPr>
            <w:tcW w:w="1280" w:type="dxa"/>
            <w:gridSpan w:val="2"/>
            <w:tcBorders>
              <w:top w:val="nil"/>
              <w:left w:val="nil"/>
              <w:bottom w:val="single" w:sz="4" w:space="0" w:color="000000"/>
              <w:right w:val="nil"/>
            </w:tcBorders>
            <w:shd w:val="clear" w:color="auto" w:fill="auto"/>
            <w:noWrap/>
            <w:vAlign w:val="bottom"/>
            <w:hideMark/>
          </w:tcPr>
          <w:p w14:paraId="141BADEF"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5215.4</w:t>
            </w:r>
          </w:p>
        </w:tc>
        <w:tc>
          <w:tcPr>
            <w:tcW w:w="1320" w:type="dxa"/>
            <w:gridSpan w:val="2"/>
            <w:tcBorders>
              <w:top w:val="nil"/>
              <w:left w:val="nil"/>
              <w:bottom w:val="single" w:sz="4" w:space="0" w:color="000000"/>
              <w:right w:val="nil"/>
            </w:tcBorders>
            <w:shd w:val="clear" w:color="auto" w:fill="auto"/>
            <w:noWrap/>
            <w:vAlign w:val="bottom"/>
            <w:hideMark/>
          </w:tcPr>
          <w:p w14:paraId="04EC688B" w14:textId="77777777" w:rsidR="002D4FEC" w:rsidRPr="00B77038" w:rsidRDefault="002D4FEC"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16587</w:t>
            </w:r>
          </w:p>
        </w:tc>
      </w:tr>
    </w:tbl>
    <w:p w14:paraId="6F00B2EE" w14:textId="77777777" w:rsidR="002D4FEC" w:rsidRDefault="002D4FEC" w:rsidP="002D4FEC">
      <w:pPr>
        <w:pStyle w:val="NoSpacing"/>
        <w:rPr>
          <w:rFonts w:ascii="Times New Roman" w:hAnsi="Times New Roman" w:cs="Times New Roman"/>
          <w:sz w:val="20"/>
          <w:szCs w:val="20"/>
        </w:rPr>
      </w:pPr>
      <w:r w:rsidRPr="00C650CD">
        <w:rPr>
          <w:rFonts w:ascii="Times New Roman" w:hAnsi="Times New Roman" w:cs="Times New Roman"/>
          <w:sz w:val="20"/>
          <w:szCs w:val="20"/>
        </w:rPr>
        <w:t>Note</w:t>
      </w:r>
      <w:r>
        <w:rPr>
          <w:rFonts w:ascii="Times New Roman" w:hAnsi="Times New Roman" w:cs="Times New Roman"/>
          <w:sz w:val="20"/>
          <w:szCs w:val="20"/>
        </w:rPr>
        <w:t>s</w:t>
      </w:r>
      <w:r w:rsidRPr="00C650CD">
        <w:rPr>
          <w:rFonts w:ascii="Times New Roman" w:hAnsi="Times New Roman" w:cs="Times New Roman"/>
          <w:sz w:val="20"/>
          <w:szCs w:val="20"/>
        </w:rPr>
        <w:t>: additional building-level controls not shown. t statistics in parentheses.  * p&lt;0.10, ** p&lt;0.05, *** p&lt;0.01. Standard errors clustered by borough.</w:t>
      </w:r>
      <w:r>
        <w:rPr>
          <w:rFonts w:ascii="Times New Roman" w:hAnsi="Times New Roman" w:cs="Times New Roman"/>
          <w:sz w:val="20"/>
          <w:szCs w:val="20"/>
        </w:rPr>
        <w:t xml:space="preserve"> All regressions contain year-quarter dummies and census tract fixed effects.</w:t>
      </w:r>
    </w:p>
    <w:p w14:paraId="08DD3499" w14:textId="77777777" w:rsidR="002D4FEC" w:rsidRDefault="002D4FEC" w:rsidP="002D4FEC">
      <w:pPr>
        <w:rPr>
          <w:rFonts w:ascii="Times New Roman" w:hAnsi="Times New Roman" w:cs="Times New Roman"/>
          <w:b/>
          <w:bCs/>
          <w:sz w:val="24"/>
          <w:szCs w:val="24"/>
        </w:rPr>
      </w:pPr>
    </w:p>
    <w:p w14:paraId="293786DC" w14:textId="77777777" w:rsidR="002D4FEC" w:rsidRDefault="002D4FEC" w:rsidP="002D4FEC">
      <w:pPr>
        <w:rPr>
          <w:rFonts w:ascii="Times New Roman" w:hAnsi="Times New Roman" w:cs="Times New Roman"/>
          <w:b/>
          <w:bCs/>
          <w:sz w:val="24"/>
          <w:szCs w:val="24"/>
        </w:rPr>
      </w:pPr>
    </w:p>
    <w:p w14:paraId="590372F7" w14:textId="523D5F04" w:rsidR="00B85118" w:rsidRDefault="00B85118" w:rsidP="00B85118">
      <w:pPr>
        <w:pStyle w:val="NoSpacing"/>
        <w:rPr>
          <w:rFonts w:ascii="Times New Roman" w:hAnsi="Times New Roman" w:cs="Times New Roman"/>
          <w:sz w:val="20"/>
          <w:szCs w:val="20"/>
        </w:rPr>
      </w:pPr>
    </w:p>
    <w:p w14:paraId="745E52E1" w14:textId="77777777" w:rsidR="00B85118" w:rsidRDefault="00B85118" w:rsidP="00B85118">
      <w:pPr>
        <w:pStyle w:val="NoSpacing"/>
        <w:rPr>
          <w:rFonts w:ascii="Times New Roman" w:hAnsi="Times New Roman" w:cs="Times New Roman"/>
          <w:sz w:val="20"/>
          <w:szCs w:val="20"/>
        </w:rPr>
      </w:pPr>
    </w:p>
    <w:p w14:paraId="619E8A2E" w14:textId="77777777" w:rsidR="00B85118" w:rsidRDefault="00B85118" w:rsidP="00B85118">
      <w:pPr>
        <w:pStyle w:val="NoSpacing"/>
        <w:rPr>
          <w:rFonts w:ascii="Times New Roman" w:hAnsi="Times New Roman" w:cs="Times New Roman"/>
          <w:sz w:val="20"/>
          <w:szCs w:val="20"/>
        </w:rPr>
      </w:pPr>
    </w:p>
    <w:p w14:paraId="1A27FE13" w14:textId="77777777" w:rsidR="00B85118" w:rsidRDefault="00B85118" w:rsidP="00B85118">
      <w:pPr>
        <w:pStyle w:val="NoSpacing"/>
        <w:rPr>
          <w:rFonts w:ascii="Times New Roman" w:hAnsi="Times New Roman" w:cs="Times New Roman"/>
          <w:sz w:val="20"/>
          <w:szCs w:val="20"/>
        </w:rPr>
      </w:pPr>
    </w:p>
    <w:p w14:paraId="0B4ADFF2" w14:textId="77777777" w:rsidR="00B85118" w:rsidRDefault="00B85118" w:rsidP="00B85118">
      <w:pPr>
        <w:pStyle w:val="NoSpacing"/>
        <w:rPr>
          <w:rFonts w:ascii="Times New Roman" w:hAnsi="Times New Roman" w:cs="Times New Roman"/>
          <w:sz w:val="20"/>
          <w:szCs w:val="20"/>
        </w:rPr>
      </w:pPr>
    </w:p>
    <w:p w14:paraId="527DED80" w14:textId="77777777" w:rsidR="00B85118" w:rsidRDefault="00B85118" w:rsidP="00B85118">
      <w:pPr>
        <w:pStyle w:val="NoSpacing"/>
        <w:rPr>
          <w:rFonts w:ascii="Times New Roman" w:hAnsi="Times New Roman" w:cs="Times New Roman"/>
          <w:sz w:val="20"/>
          <w:szCs w:val="20"/>
        </w:rPr>
      </w:pPr>
    </w:p>
    <w:p w14:paraId="440D363E" w14:textId="77777777" w:rsidR="00B85118" w:rsidRDefault="00B85118" w:rsidP="00B85118">
      <w:pPr>
        <w:pStyle w:val="NoSpacing"/>
        <w:rPr>
          <w:rFonts w:ascii="Times New Roman" w:hAnsi="Times New Roman" w:cs="Times New Roman"/>
          <w:sz w:val="20"/>
          <w:szCs w:val="20"/>
        </w:rPr>
      </w:pPr>
    </w:p>
    <w:p w14:paraId="49E6D432" w14:textId="77777777" w:rsidR="00B85118" w:rsidRDefault="00B85118" w:rsidP="00B85118">
      <w:pPr>
        <w:pStyle w:val="NoSpacing"/>
        <w:rPr>
          <w:rFonts w:ascii="Times New Roman" w:hAnsi="Times New Roman" w:cs="Times New Roman"/>
          <w:sz w:val="20"/>
          <w:szCs w:val="20"/>
        </w:rPr>
      </w:pPr>
    </w:p>
    <w:p w14:paraId="37675CAE" w14:textId="77777777" w:rsidR="00B85118" w:rsidRDefault="00B85118" w:rsidP="00B85118">
      <w:pPr>
        <w:pStyle w:val="NoSpacing"/>
        <w:rPr>
          <w:rFonts w:ascii="Times New Roman" w:hAnsi="Times New Roman" w:cs="Times New Roman"/>
          <w:sz w:val="20"/>
          <w:szCs w:val="20"/>
        </w:rPr>
      </w:pPr>
    </w:p>
    <w:p w14:paraId="135B42E0" w14:textId="77777777" w:rsidR="00B85118" w:rsidRDefault="00B85118" w:rsidP="00B85118">
      <w:pPr>
        <w:pStyle w:val="NoSpacing"/>
        <w:rPr>
          <w:rFonts w:ascii="Times New Roman" w:hAnsi="Times New Roman" w:cs="Times New Roman"/>
          <w:sz w:val="20"/>
          <w:szCs w:val="20"/>
        </w:rPr>
      </w:pPr>
    </w:p>
    <w:p w14:paraId="2F213FAD" w14:textId="77777777" w:rsidR="00B85118" w:rsidRDefault="00B85118" w:rsidP="00B85118">
      <w:pPr>
        <w:pStyle w:val="NoSpacing"/>
        <w:rPr>
          <w:rFonts w:ascii="Times New Roman" w:hAnsi="Times New Roman" w:cs="Times New Roman"/>
          <w:sz w:val="20"/>
          <w:szCs w:val="20"/>
        </w:rPr>
      </w:pPr>
    </w:p>
    <w:p w14:paraId="2994A172" w14:textId="77777777" w:rsidR="00B85118" w:rsidRDefault="00B85118" w:rsidP="00B85118">
      <w:pPr>
        <w:pStyle w:val="NoSpacing"/>
        <w:rPr>
          <w:rFonts w:ascii="Times New Roman" w:hAnsi="Times New Roman" w:cs="Times New Roman"/>
          <w:sz w:val="20"/>
          <w:szCs w:val="20"/>
        </w:rPr>
      </w:pPr>
    </w:p>
    <w:p w14:paraId="460264D6" w14:textId="77777777" w:rsidR="00B85118" w:rsidRDefault="00B85118" w:rsidP="00B85118">
      <w:pPr>
        <w:pStyle w:val="NoSpacing"/>
        <w:rPr>
          <w:rFonts w:ascii="Times New Roman" w:hAnsi="Times New Roman" w:cs="Times New Roman"/>
          <w:sz w:val="20"/>
          <w:szCs w:val="20"/>
        </w:rPr>
      </w:pPr>
    </w:p>
    <w:p w14:paraId="64E33816" w14:textId="77777777" w:rsidR="00B85118" w:rsidRDefault="00B85118" w:rsidP="00B85118">
      <w:pPr>
        <w:pStyle w:val="NoSpacing"/>
        <w:rPr>
          <w:rFonts w:ascii="Times New Roman" w:hAnsi="Times New Roman" w:cs="Times New Roman"/>
          <w:sz w:val="20"/>
          <w:szCs w:val="20"/>
        </w:rPr>
      </w:pPr>
    </w:p>
    <w:p w14:paraId="071AE974" w14:textId="77777777" w:rsidR="003B6893" w:rsidRPr="00F3779D" w:rsidRDefault="003B6893" w:rsidP="003B6893">
      <w:pPr>
        <w:pStyle w:val="NoSpacing"/>
        <w:rPr>
          <w:rFonts w:ascii="Times New Roman" w:hAnsi="Times New Roman" w:cs="Times New Roman"/>
          <w:b/>
          <w:bCs/>
          <w:sz w:val="24"/>
          <w:szCs w:val="24"/>
        </w:rPr>
      </w:pPr>
      <w:r w:rsidRPr="00F3779D">
        <w:rPr>
          <w:rFonts w:ascii="Times New Roman" w:hAnsi="Times New Roman" w:cs="Times New Roman"/>
          <w:b/>
          <w:bCs/>
          <w:sz w:val="24"/>
          <w:szCs w:val="24"/>
        </w:rPr>
        <w:t xml:space="preserve">Table </w:t>
      </w:r>
      <w:r>
        <w:rPr>
          <w:rFonts w:ascii="Times New Roman" w:hAnsi="Times New Roman" w:cs="Times New Roman"/>
          <w:b/>
          <w:bCs/>
          <w:sz w:val="24"/>
          <w:szCs w:val="24"/>
        </w:rPr>
        <w:t>5</w:t>
      </w:r>
      <w:r w:rsidRPr="00F3779D">
        <w:rPr>
          <w:rFonts w:ascii="Times New Roman" w:hAnsi="Times New Roman" w:cs="Times New Roman"/>
          <w:b/>
          <w:bCs/>
          <w:sz w:val="24"/>
          <w:szCs w:val="24"/>
        </w:rPr>
        <w:t xml:space="preserve">: </w:t>
      </w:r>
      <w:r>
        <w:rPr>
          <w:rFonts w:ascii="Times New Roman" w:hAnsi="Times New Roman" w:cs="Times New Roman"/>
          <w:b/>
          <w:bCs/>
          <w:sz w:val="24"/>
          <w:szCs w:val="24"/>
        </w:rPr>
        <w:t>Before</w:t>
      </w:r>
      <w:r w:rsidRPr="00F3779D">
        <w:rPr>
          <w:rFonts w:ascii="Times New Roman" w:hAnsi="Times New Roman" w:cs="Times New Roman"/>
          <w:b/>
          <w:bCs/>
          <w:sz w:val="24"/>
          <w:szCs w:val="24"/>
        </w:rPr>
        <w:t xml:space="preserve"> Sandy</w:t>
      </w:r>
      <w:r>
        <w:rPr>
          <w:rFonts w:ascii="Times New Roman" w:hAnsi="Times New Roman" w:cs="Times New Roman"/>
          <w:b/>
          <w:bCs/>
          <w:sz w:val="24"/>
          <w:szCs w:val="24"/>
        </w:rPr>
        <w:t xml:space="preserve"> (2011)</w:t>
      </w:r>
      <w:r w:rsidRPr="00F3779D">
        <w:rPr>
          <w:rFonts w:ascii="Times New Roman" w:hAnsi="Times New Roman" w:cs="Times New Roman"/>
          <w:b/>
          <w:bCs/>
          <w:sz w:val="24"/>
          <w:szCs w:val="24"/>
        </w:rPr>
        <w:t xml:space="preserve"> within 1 mile. Dep. Var.: Ln(Price per square foot)</w:t>
      </w:r>
    </w:p>
    <w:tbl>
      <w:tblPr>
        <w:tblW w:w="6718" w:type="dxa"/>
        <w:tblLook w:val="04A0" w:firstRow="1" w:lastRow="0" w:firstColumn="1" w:lastColumn="0" w:noHBand="0" w:noVBand="1"/>
      </w:tblPr>
      <w:tblGrid>
        <w:gridCol w:w="3001"/>
        <w:gridCol w:w="895"/>
        <w:gridCol w:w="152"/>
        <w:gridCol w:w="1183"/>
        <w:gridCol w:w="152"/>
        <w:gridCol w:w="1183"/>
        <w:gridCol w:w="152"/>
      </w:tblGrid>
      <w:tr w:rsidR="003B6893" w:rsidRPr="00B77038" w14:paraId="0F4FB518" w14:textId="77777777" w:rsidTr="00FC6147">
        <w:trPr>
          <w:trHeight w:val="295"/>
        </w:trPr>
        <w:tc>
          <w:tcPr>
            <w:tcW w:w="3001" w:type="dxa"/>
            <w:tcBorders>
              <w:top w:val="single" w:sz="4" w:space="0" w:color="000000"/>
              <w:left w:val="nil"/>
              <w:bottom w:val="single" w:sz="4" w:space="0" w:color="auto"/>
              <w:right w:val="nil"/>
            </w:tcBorders>
            <w:shd w:val="clear" w:color="auto" w:fill="auto"/>
            <w:noWrap/>
            <w:vAlign w:val="bottom"/>
            <w:hideMark/>
          </w:tcPr>
          <w:p w14:paraId="2E7AB0F4" w14:textId="77777777" w:rsidR="003B6893" w:rsidRPr="00B77038" w:rsidRDefault="003B6893" w:rsidP="003B6893">
            <w:pPr>
              <w:spacing w:after="0" w:line="240" w:lineRule="auto"/>
              <w:jc w:val="center"/>
              <w:rPr>
                <w:rFonts w:ascii="Calibri" w:eastAsia="Times New Roman" w:hAnsi="Calibri" w:cs="Calibri"/>
                <w:b/>
                <w:bCs/>
                <w:color w:val="000000"/>
              </w:rPr>
            </w:pPr>
            <w:r w:rsidRPr="00B77038">
              <w:rPr>
                <w:rFonts w:ascii="Calibri" w:eastAsia="Times New Roman" w:hAnsi="Calibri" w:cs="Calibri"/>
                <w:b/>
                <w:bCs/>
                <w:color w:val="000000"/>
              </w:rPr>
              <w:t>Variable</w:t>
            </w:r>
          </w:p>
        </w:tc>
        <w:tc>
          <w:tcPr>
            <w:tcW w:w="1047" w:type="dxa"/>
            <w:gridSpan w:val="2"/>
            <w:tcBorders>
              <w:top w:val="single" w:sz="4" w:space="0" w:color="000000"/>
              <w:left w:val="nil"/>
              <w:bottom w:val="single" w:sz="4" w:space="0" w:color="000000"/>
              <w:right w:val="nil"/>
            </w:tcBorders>
            <w:shd w:val="clear" w:color="auto" w:fill="auto"/>
            <w:noWrap/>
            <w:vAlign w:val="bottom"/>
            <w:hideMark/>
          </w:tcPr>
          <w:p w14:paraId="33E341C1" w14:textId="77777777" w:rsidR="003B6893" w:rsidRPr="00B77038" w:rsidRDefault="003B6893" w:rsidP="003B6893">
            <w:pPr>
              <w:spacing w:after="0" w:line="240" w:lineRule="auto"/>
              <w:jc w:val="center"/>
              <w:rPr>
                <w:rFonts w:ascii="Calibri" w:eastAsia="Times New Roman" w:hAnsi="Calibri" w:cs="Calibri"/>
                <w:b/>
                <w:bCs/>
                <w:color w:val="000000"/>
              </w:rPr>
            </w:pPr>
            <w:r w:rsidRPr="00B77038">
              <w:rPr>
                <w:rFonts w:ascii="Calibri" w:eastAsia="Times New Roman" w:hAnsi="Calibri" w:cs="Calibri"/>
                <w:b/>
                <w:bCs/>
                <w:color w:val="000000"/>
              </w:rPr>
              <w:t>(1)</w:t>
            </w:r>
          </w:p>
        </w:tc>
        <w:tc>
          <w:tcPr>
            <w:tcW w:w="1335" w:type="dxa"/>
            <w:gridSpan w:val="2"/>
            <w:tcBorders>
              <w:top w:val="single" w:sz="4" w:space="0" w:color="000000"/>
              <w:left w:val="nil"/>
              <w:bottom w:val="single" w:sz="4" w:space="0" w:color="000000"/>
              <w:right w:val="nil"/>
            </w:tcBorders>
            <w:shd w:val="clear" w:color="auto" w:fill="auto"/>
            <w:noWrap/>
            <w:vAlign w:val="bottom"/>
            <w:hideMark/>
          </w:tcPr>
          <w:p w14:paraId="305E5D09" w14:textId="77777777" w:rsidR="003B6893" w:rsidRPr="00B77038" w:rsidRDefault="003B6893" w:rsidP="003B6893">
            <w:pPr>
              <w:spacing w:after="0" w:line="240" w:lineRule="auto"/>
              <w:jc w:val="center"/>
              <w:rPr>
                <w:rFonts w:ascii="Calibri" w:eastAsia="Times New Roman" w:hAnsi="Calibri" w:cs="Calibri"/>
                <w:b/>
                <w:bCs/>
                <w:color w:val="000000"/>
              </w:rPr>
            </w:pPr>
            <w:r w:rsidRPr="00B77038">
              <w:rPr>
                <w:rFonts w:ascii="Calibri" w:eastAsia="Times New Roman" w:hAnsi="Calibri" w:cs="Calibri"/>
                <w:b/>
                <w:bCs/>
                <w:color w:val="000000"/>
              </w:rPr>
              <w:t>(2)</w:t>
            </w:r>
          </w:p>
        </w:tc>
        <w:tc>
          <w:tcPr>
            <w:tcW w:w="1335" w:type="dxa"/>
            <w:gridSpan w:val="2"/>
            <w:tcBorders>
              <w:top w:val="single" w:sz="4" w:space="0" w:color="000000"/>
              <w:left w:val="nil"/>
              <w:bottom w:val="single" w:sz="4" w:space="0" w:color="000000"/>
              <w:right w:val="nil"/>
            </w:tcBorders>
            <w:shd w:val="clear" w:color="auto" w:fill="auto"/>
            <w:noWrap/>
            <w:vAlign w:val="bottom"/>
            <w:hideMark/>
          </w:tcPr>
          <w:p w14:paraId="2F23E688" w14:textId="77777777" w:rsidR="003B6893" w:rsidRPr="00B77038" w:rsidRDefault="003B6893" w:rsidP="003B6893">
            <w:pPr>
              <w:spacing w:after="0" w:line="240" w:lineRule="auto"/>
              <w:jc w:val="center"/>
              <w:rPr>
                <w:rFonts w:ascii="Calibri" w:eastAsia="Times New Roman" w:hAnsi="Calibri" w:cs="Calibri"/>
                <w:b/>
                <w:bCs/>
                <w:color w:val="000000"/>
              </w:rPr>
            </w:pPr>
            <w:r w:rsidRPr="00B77038">
              <w:rPr>
                <w:rFonts w:ascii="Calibri" w:eastAsia="Times New Roman" w:hAnsi="Calibri" w:cs="Calibri"/>
                <w:b/>
                <w:bCs/>
                <w:color w:val="000000"/>
              </w:rPr>
              <w:t>(3)</w:t>
            </w:r>
          </w:p>
        </w:tc>
      </w:tr>
      <w:tr w:rsidR="003B6893" w:rsidRPr="00B77038" w14:paraId="56613A7F" w14:textId="77777777" w:rsidTr="00FC6147">
        <w:trPr>
          <w:gridAfter w:val="1"/>
          <w:wAfter w:w="152" w:type="dxa"/>
          <w:trHeight w:val="295"/>
        </w:trPr>
        <w:tc>
          <w:tcPr>
            <w:tcW w:w="3001" w:type="dxa"/>
            <w:tcBorders>
              <w:top w:val="nil"/>
              <w:left w:val="nil"/>
              <w:bottom w:val="nil"/>
              <w:right w:val="nil"/>
            </w:tcBorders>
            <w:shd w:val="clear" w:color="D9D9D9" w:fill="D9D9D9"/>
            <w:noWrap/>
            <w:vAlign w:val="bottom"/>
            <w:hideMark/>
          </w:tcPr>
          <w:p w14:paraId="7FE30A58" w14:textId="62755367" w:rsidR="003B6893" w:rsidRPr="00B77038" w:rsidRDefault="002263EA" w:rsidP="003B6893">
            <w:pPr>
              <w:spacing w:after="0" w:line="240" w:lineRule="auto"/>
              <w:rPr>
                <w:rFonts w:ascii="Calibri" w:eastAsia="Times New Roman" w:hAnsi="Calibri" w:cs="Calibri"/>
                <w:color w:val="000000"/>
              </w:rPr>
            </w:pPr>
            <w:r>
              <w:rPr>
                <w:rFonts w:ascii="Calibri" w:eastAsia="Times New Roman" w:hAnsi="Calibri" w:cs="Calibri"/>
                <w:color w:val="000000"/>
              </w:rPr>
              <w:t>D</w:t>
            </w:r>
            <w:r w:rsidR="003B6893" w:rsidRPr="00B77038">
              <w:rPr>
                <w:rFonts w:ascii="Calibri" w:eastAsia="Times New Roman" w:hAnsi="Calibri" w:cs="Calibri"/>
                <w:color w:val="000000"/>
              </w:rPr>
              <w:t>ist</w:t>
            </w:r>
            <w:r>
              <w:rPr>
                <w:rFonts w:ascii="Calibri" w:eastAsia="Times New Roman" w:hAnsi="Calibri" w:cs="Calibri"/>
                <w:color w:val="000000"/>
              </w:rPr>
              <w:t>.</w:t>
            </w:r>
            <w:r w:rsidR="003B6893" w:rsidRPr="00B77038">
              <w:rPr>
                <w:rFonts w:ascii="Calibri" w:eastAsia="Times New Roman" w:hAnsi="Calibri" w:cs="Calibri"/>
                <w:color w:val="000000"/>
              </w:rPr>
              <w:t xml:space="preserve"> Sandy (miles)</w:t>
            </w:r>
          </w:p>
        </w:tc>
        <w:tc>
          <w:tcPr>
            <w:tcW w:w="895" w:type="dxa"/>
            <w:tcBorders>
              <w:top w:val="nil"/>
              <w:left w:val="nil"/>
              <w:bottom w:val="nil"/>
              <w:right w:val="nil"/>
            </w:tcBorders>
            <w:shd w:val="clear" w:color="D9D9D9" w:fill="D9D9D9"/>
            <w:noWrap/>
            <w:vAlign w:val="bottom"/>
            <w:hideMark/>
          </w:tcPr>
          <w:p w14:paraId="4410CDC0"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-0.036</w:t>
            </w:r>
          </w:p>
        </w:tc>
        <w:tc>
          <w:tcPr>
            <w:tcW w:w="1335" w:type="dxa"/>
            <w:gridSpan w:val="2"/>
            <w:tcBorders>
              <w:top w:val="nil"/>
              <w:left w:val="nil"/>
              <w:bottom w:val="nil"/>
              <w:right w:val="nil"/>
            </w:tcBorders>
            <w:shd w:val="clear" w:color="D9D9D9" w:fill="D9D9D9"/>
            <w:noWrap/>
            <w:vAlign w:val="bottom"/>
            <w:hideMark/>
          </w:tcPr>
          <w:p w14:paraId="53B21B49"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0.000531</w:t>
            </w:r>
          </w:p>
        </w:tc>
        <w:tc>
          <w:tcPr>
            <w:tcW w:w="1335" w:type="dxa"/>
            <w:gridSpan w:val="2"/>
            <w:tcBorders>
              <w:top w:val="nil"/>
              <w:left w:val="nil"/>
              <w:bottom w:val="nil"/>
              <w:right w:val="nil"/>
            </w:tcBorders>
            <w:shd w:val="clear" w:color="D9D9D9" w:fill="D9D9D9"/>
            <w:noWrap/>
            <w:vAlign w:val="bottom"/>
            <w:hideMark/>
          </w:tcPr>
          <w:p w14:paraId="72CDA5DE"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-0.0444</w:t>
            </w:r>
          </w:p>
        </w:tc>
      </w:tr>
      <w:tr w:rsidR="003B6893" w:rsidRPr="00B77038" w14:paraId="3C77F365" w14:textId="77777777" w:rsidTr="00FC6147">
        <w:trPr>
          <w:trHeight w:val="295"/>
        </w:trPr>
        <w:tc>
          <w:tcPr>
            <w:tcW w:w="3001" w:type="dxa"/>
            <w:tcBorders>
              <w:top w:val="nil"/>
              <w:left w:val="nil"/>
              <w:bottom w:val="nil"/>
              <w:right w:val="nil"/>
            </w:tcBorders>
            <w:shd w:val="clear" w:color="auto" w:fill="auto"/>
            <w:noWrap/>
            <w:vAlign w:val="bottom"/>
            <w:hideMark/>
          </w:tcPr>
          <w:p w14:paraId="6B0DF5EC" w14:textId="77777777" w:rsidR="003B6893" w:rsidRPr="00B77038" w:rsidRDefault="003B6893" w:rsidP="003B6893">
            <w:pPr>
              <w:spacing w:after="0" w:line="240" w:lineRule="auto"/>
              <w:jc w:val="right"/>
              <w:rPr>
                <w:rFonts w:ascii="Calibri" w:eastAsia="Times New Roman" w:hAnsi="Calibri" w:cs="Calibri"/>
                <w:color w:val="000000"/>
              </w:rPr>
            </w:pPr>
          </w:p>
        </w:tc>
        <w:tc>
          <w:tcPr>
            <w:tcW w:w="1047" w:type="dxa"/>
            <w:gridSpan w:val="2"/>
            <w:tcBorders>
              <w:top w:val="nil"/>
              <w:left w:val="nil"/>
              <w:bottom w:val="nil"/>
              <w:right w:val="nil"/>
            </w:tcBorders>
            <w:shd w:val="clear" w:color="auto" w:fill="auto"/>
            <w:noWrap/>
            <w:vAlign w:val="bottom"/>
            <w:hideMark/>
          </w:tcPr>
          <w:p w14:paraId="11A04C22"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(0.31)</w:t>
            </w:r>
          </w:p>
        </w:tc>
        <w:tc>
          <w:tcPr>
            <w:tcW w:w="1335" w:type="dxa"/>
            <w:gridSpan w:val="2"/>
            <w:tcBorders>
              <w:top w:val="nil"/>
              <w:left w:val="nil"/>
              <w:bottom w:val="nil"/>
              <w:right w:val="nil"/>
            </w:tcBorders>
            <w:shd w:val="clear" w:color="auto" w:fill="auto"/>
            <w:noWrap/>
            <w:vAlign w:val="bottom"/>
            <w:hideMark/>
          </w:tcPr>
          <w:p w14:paraId="4D956F52"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(0.01)</w:t>
            </w:r>
          </w:p>
        </w:tc>
        <w:tc>
          <w:tcPr>
            <w:tcW w:w="1335" w:type="dxa"/>
            <w:gridSpan w:val="2"/>
            <w:tcBorders>
              <w:top w:val="nil"/>
              <w:left w:val="nil"/>
              <w:bottom w:val="nil"/>
              <w:right w:val="nil"/>
            </w:tcBorders>
            <w:shd w:val="clear" w:color="auto" w:fill="auto"/>
            <w:noWrap/>
            <w:vAlign w:val="bottom"/>
            <w:hideMark/>
          </w:tcPr>
          <w:p w14:paraId="78DC74C0"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(0.32)</w:t>
            </w:r>
          </w:p>
        </w:tc>
      </w:tr>
      <w:tr w:rsidR="003B6893" w:rsidRPr="00B77038" w14:paraId="08FF615A" w14:textId="77777777" w:rsidTr="00FC6147">
        <w:trPr>
          <w:trHeight w:val="295"/>
        </w:trPr>
        <w:tc>
          <w:tcPr>
            <w:tcW w:w="3001" w:type="dxa"/>
            <w:tcBorders>
              <w:top w:val="nil"/>
              <w:left w:val="nil"/>
              <w:bottom w:val="nil"/>
              <w:right w:val="nil"/>
            </w:tcBorders>
            <w:shd w:val="clear" w:color="D9D9D9" w:fill="D9D9D9"/>
            <w:noWrap/>
            <w:vAlign w:val="bottom"/>
            <w:hideMark/>
          </w:tcPr>
          <w:p w14:paraId="60C13717" w14:textId="7ABC322B" w:rsidR="003B6893" w:rsidRPr="00B77038" w:rsidRDefault="002263EA" w:rsidP="003B6893">
            <w:pPr>
              <w:spacing w:after="0" w:line="240" w:lineRule="auto"/>
              <w:rPr>
                <w:rFonts w:ascii="Calibri" w:eastAsia="Times New Roman" w:hAnsi="Calibri" w:cs="Calibri"/>
                <w:color w:val="000000"/>
              </w:rPr>
            </w:pPr>
            <w:r>
              <w:rPr>
                <w:rFonts w:ascii="Calibri" w:eastAsia="Times New Roman" w:hAnsi="Calibri" w:cs="Calibri"/>
                <w:color w:val="000000"/>
              </w:rPr>
              <w:t>D</w:t>
            </w:r>
            <w:r w:rsidR="003B6893" w:rsidRPr="00B77038">
              <w:rPr>
                <w:rFonts w:ascii="Calibri" w:eastAsia="Times New Roman" w:hAnsi="Calibri" w:cs="Calibri"/>
                <w:color w:val="000000"/>
              </w:rPr>
              <w:t>ist. to FEMA (miles</w:t>
            </w:r>
            <w:r w:rsidR="0044602D">
              <w:rPr>
                <w:rFonts w:ascii="Calibri" w:eastAsia="Times New Roman" w:hAnsi="Calibri" w:cs="Calibri"/>
                <w:color w:val="000000"/>
              </w:rPr>
              <w:t>)</w:t>
            </w:r>
          </w:p>
        </w:tc>
        <w:tc>
          <w:tcPr>
            <w:tcW w:w="1047" w:type="dxa"/>
            <w:gridSpan w:val="2"/>
            <w:tcBorders>
              <w:top w:val="nil"/>
              <w:left w:val="nil"/>
              <w:bottom w:val="nil"/>
              <w:right w:val="nil"/>
            </w:tcBorders>
            <w:shd w:val="clear" w:color="D9D9D9" w:fill="D9D9D9"/>
            <w:noWrap/>
            <w:vAlign w:val="bottom"/>
            <w:hideMark/>
          </w:tcPr>
          <w:p w14:paraId="6F6B5F8B"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-0.0412</w:t>
            </w:r>
          </w:p>
        </w:tc>
        <w:tc>
          <w:tcPr>
            <w:tcW w:w="1335" w:type="dxa"/>
            <w:gridSpan w:val="2"/>
            <w:tcBorders>
              <w:top w:val="nil"/>
              <w:left w:val="nil"/>
              <w:bottom w:val="nil"/>
              <w:right w:val="nil"/>
            </w:tcBorders>
            <w:shd w:val="clear" w:color="D9D9D9" w:fill="D9D9D9"/>
            <w:noWrap/>
            <w:vAlign w:val="bottom"/>
            <w:hideMark/>
          </w:tcPr>
          <w:p w14:paraId="053D50CF"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-0.0388</w:t>
            </w:r>
          </w:p>
        </w:tc>
        <w:tc>
          <w:tcPr>
            <w:tcW w:w="1335" w:type="dxa"/>
            <w:gridSpan w:val="2"/>
            <w:tcBorders>
              <w:top w:val="nil"/>
              <w:left w:val="nil"/>
              <w:bottom w:val="nil"/>
              <w:right w:val="nil"/>
            </w:tcBorders>
            <w:shd w:val="clear" w:color="D9D9D9" w:fill="D9D9D9"/>
            <w:noWrap/>
            <w:vAlign w:val="bottom"/>
            <w:hideMark/>
          </w:tcPr>
          <w:p w14:paraId="1C51CBAD"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-0.0854*</w:t>
            </w:r>
          </w:p>
        </w:tc>
      </w:tr>
      <w:tr w:rsidR="003B6893" w:rsidRPr="00B77038" w14:paraId="3BFB3752" w14:textId="77777777" w:rsidTr="00FC6147">
        <w:trPr>
          <w:trHeight w:val="295"/>
        </w:trPr>
        <w:tc>
          <w:tcPr>
            <w:tcW w:w="3001" w:type="dxa"/>
            <w:tcBorders>
              <w:top w:val="nil"/>
              <w:left w:val="nil"/>
              <w:bottom w:val="nil"/>
              <w:right w:val="nil"/>
            </w:tcBorders>
            <w:shd w:val="clear" w:color="auto" w:fill="auto"/>
            <w:noWrap/>
            <w:vAlign w:val="bottom"/>
            <w:hideMark/>
          </w:tcPr>
          <w:p w14:paraId="48466155" w14:textId="77777777" w:rsidR="003B6893" w:rsidRPr="00B77038" w:rsidRDefault="003B6893" w:rsidP="003B6893">
            <w:pPr>
              <w:spacing w:after="0" w:line="240" w:lineRule="auto"/>
              <w:jc w:val="right"/>
              <w:rPr>
                <w:rFonts w:ascii="Calibri" w:eastAsia="Times New Roman" w:hAnsi="Calibri" w:cs="Calibri"/>
                <w:color w:val="000000"/>
              </w:rPr>
            </w:pPr>
          </w:p>
        </w:tc>
        <w:tc>
          <w:tcPr>
            <w:tcW w:w="1047" w:type="dxa"/>
            <w:gridSpan w:val="2"/>
            <w:tcBorders>
              <w:top w:val="nil"/>
              <w:left w:val="nil"/>
              <w:bottom w:val="nil"/>
              <w:right w:val="nil"/>
            </w:tcBorders>
            <w:shd w:val="clear" w:color="auto" w:fill="auto"/>
            <w:noWrap/>
            <w:vAlign w:val="bottom"/>
            <w:hideMark/>
          </w:tcPr>
          <w:p w14:paraId="4F10D717"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(0.57)</w:t>
            </w:r>
          </w:p>
        </w:tc>
        <w:tc>
          <w:tcPr>
            <w:tcW w:w="1335" w:type="dxa"/>
            <w:gridSpan w:val="2"/>
            <w:tcBorders>
              <w:top w:val="nil"/>
              <w:left w:val="nil"/>
              <w:bottom w:val="nil"/>
              <w:right w:val="nil"/>
            </w:tcBorders>
            <w:shd w:val="clear" w:color="auto" w:fill="auto"/>
            <w:noWrap/>
            <w:vAlign w:val="bottom"/>
            <w:hideMark/>
          </w:tcPr>
          <w:p w14:paraId="541865B2"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(0.53)</w:t>
            </w:r>
          </w:p>
        </w:tc>
        <w:tc>
          <w:tcPr>
            <w:tcW w:w="1335" w:type="dxa"/>
            <w:gridSpan w:val="2"/>
            <w:tcBorders>
              <w:top w:val="nil"/>
              <w:left w:val="nil"/>
              <w:bottom w:val="nil"/>
              <w:right w:val="nil"/>
            </w:tcBorders>
            <w:shd w:val="clear" w:color="auto" w:fill="auto"/>
            <w:noWrap/>
            <w:vAlign w:val="bottom"/>
            <w:hideMark/>
          </w:tcPr>
          <w:p w14:paraId="47023D6C"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(2.65)</w:t>
            </w:r>
          </w:p>
        </w:tc>
      </w:tr>
      <w:tr w:rsidR="003B6893" w:rsidRPr="00B77038" w14:paraId="058F900D" w14:textId="77777777" w:rsidTr="00FC6147">
        <w:trPr>
          <w:trHeight w:val="295"/>
        </w:trPr>
        <w:tc>
          <w:tcPr>
            <w:tcW w:w="3001" w:type="dxa"/>
            <w:tcBorders>
              <w:top w:val="nil"/>
              <w:left w:val="nil"/>
              <w:bottom w:val="nil"/>
              <w:right w:val="nil"/>
            </w:tcBorders>
            <w:shd w:val="clear" w:color="D9D9D9" w:fill="D9D9D9"/>
            <w:noWrap/>
            <w:vAlign w:val="bottom"/>
            <w:hideMark/>
          </w:tcPr>
          <w:p w14:paraId="2F860B86" w14:textId="77777777" w:rsidR="003B6893" w:rsidRPr="00B77038" w:rsidRDefault="003B6893"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ln(# units)</w:t>
            </w:r>
          </w:p>
        </w:tc>
        <w:tc>
          <w:tcPr>
            <w:tcW w:w="1047" w:type="dxa"/>
            <w:gridSpan w:val="2"/>
            <w:tcBorders>
              <w:top w:val="nil"/>
              <w:left w:val="nil"/>
              <w:bottom w:val="nil"/>
              <w:right w:val="nil"/>
            </w:tcBorders>
            <w:shd w:val="clear" w:color="D9D9D9" w:fill="D9D9D9"/>
            <w:noWrap/>
            <w:vAlign w:val="bottom"/>
            <w:hideMark/>
          </w:tcPr>
          <w:p w14:paraId="4474D923" w14:textId="77777777" w:rsidR="003B6893" w:rsidRPr="00B77038" w:rsidRDefault="003B6893" w:rsidP="003B6893">
            <w:pPr>
              <w:spacing w:after="0" w:line="240" w:lineRule="auto"/>
              <w:rPr>
                <w:rFonts w:ascii="Calibri" w:eastAsia="Times New Roman" w:hAnsi="Calibri" w:cs="Calibri"/>
                <w:color w:val="000000"/>
              </w:rPr>
            </w:pPr>
          </w:p>
        </w:tc>
        <w:tc>
          <w:tcPr>
            <w:tcW w:w="1335" w:type="dxa"/>
            <w:gridSpan w:val="2"/>
            <w:tcBorders>
              <w:top w:val="nil"/>
              <w:left w:val="nil"/>
              <w:bottom w:val="nil"/>
              <w:right w:val="nil"/>
            </w:tcBorders>
            <w:shd w:val="clear" w:color="D9D9D9" w:fill="D9D9D9"/>
            <w:noWrap/>
            <w:vAlign w:val="bottom"/>
            <w:hideMark/>
          </w:tcPr>
          <w:p w14:paraId="51BAFC2A"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0.0965**</w:t>
            </w:r>
          </w:p>
        </w:tc>
        <w:tc>
          <w:tcPr>
            <w:tcW w:w="1335" w:type="dxa"/>
            <w:gridSpan w:val="2"/>
            <w:tcBorders>
              <w:top w:val="nil"/>
              <w:left w:val="nil"/>
              <w:bottom w:val="nil"/>
              <w:right w:val="nil"/>
            </w:tcBorders>
            <w:shd w:val="clear" w:color="D9D9D9" w:fill="D9D9D9"/>
            <w:noWrap/>
            <w:vAlign w:val="bottom"/>
            <w:hideMark/>
          </w:tcPr>
          <w:p w14:paraId="0D68B90B"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0.431***</w:t>
            </w:r>
          </w:p>
        </w:tc>
      </w:tr>
      <w:tr w:rsidR="003B6893" w:rsidRPr="00B77038" w14:paraId="4C1207FD" w14:textId="77777777" w:rsidTr="00FC6147">
        <w:trPr>
          <w:trHeight w:val="295"/>
        </w:trPr>
        <w:tc>
          <w:tcPr>
            <w:tcW w:w="3001" w:type="dxa"/>
            <w:tcBorders>
              <w:top w:val="nil"/>
              <w:left w:val="nil"/>
              <w:bottom w:val="nil"/>
              <w:right w:val="nil"/>
            </w:tcBorders>
            <w:shd w:val="clear" w:color="auto" w:fill="auto"/>
            <w:noWrap/>
            <w:vAlign w:val="bottom"/>
            <w:hideMark/>
          </w:tcPr>
          <w:p w14:paraId="6F95E6E9" w14:textId="77777777" w:rsidR="003B6893" w:rsidRPr="00B77038" w:rsidRDefault="003B6893" w:rsidP="003B6893">
            <w:pPr>
              <w:spacing w:after="0" w:line="240" w:lineRule="auto"/>
              <w:jc w:val="right"/>
              <w:rPr>
                <w:rFonts w:ascii="Calibri" w:eastAsia="Times New Roman" w:hAnsi="Calibri" w:cs="Calibri"/>
                <w:color w:val="000000"/>
              </w:rPr>
            </w:pPr>
          </w:p>
        </w:tc>
        <w:tc>
          <w:tcPr>
            <w:tcW w:w="1047" w:type="dxa"/>
            <w:gridSpan w:val="2"/>
            <w:tcBorders>
              <w:top w:val="nil"/>
              <w:left w:val="nil"/>
              <w:bottom w:val="nil"/>
              <w:right w:val="nil"/>
            </w:tcBorders>
            <w:shd w:val="clear" w:color="auto" w:fill="auto"/>
            <w:noWrap/>
            <w:vAlign w:val="bottom"/>
            <w:hideMark/>
          </w:tcPr>
          <w:p w14:paraId="64C86E94" w14:textId="77777777" w:rsidR="003B6893" w:rsidRPr="00B77038" w:rsidRDefault="003B6893" w:rsidP="003B6893">
            <w:pPr>
              <w:spacing w:after="0" w:line="240" w:lineRule="auto"/>
              <w:rPr>
                <w:rFonts w:ascii="Times New Roman" w:eastAsia="Times New Roman" w:hAnsi="Times New Roman" w:cs="Times New Roman"/>
                <w:sz w:val="20"/>
                <w:szCs w:val="20"/>
              </w:rPr>
            </w:pPr>
          </w:p>
        </w:tc>
        <w:tc>
          <w:tcPr>
            <w:tcW w:w="1335" w:type="dxa"/>
            <w:gridSpan w:val="2"/>
            <w:tcBorders>
              <w:top w:val="nil"/>
              <w:left w:val="nil"/>
              <w:bottom w:val="nil"/>
              <w:right w:val="nil"/>
            </w:tcBorders>
            <w:shd w:val="clear" w:color="auto" w:fill="auto"/>
            <w:noWrap/>
            <w:vAlign w:val="bottom"/>
            <w:hideMark/>
          </w:tcPr>
          <w:p w14:paraId="7847205E"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(3.72)</w:t>
            </w:r>
          </w:p>
        </w:tc>
        <w:tc>
          <w:tcPr>
            <w:tcW w:w="1335" w:type="dxa"/>
            <w:gridSpan w:val="2"/>
            <w:tcBorders>
              <w:top w:val="nil"/>
              <w:left w:val="nil"/>
              <w:bottom w:val="nil"/>
              <w:right w:val="nil"/>
            </w:tcBorders>
            <w:shd w:val="clear" w:color="auto" w:fill="auto"/>
            <w:noWrap/>
            <w:vAlign w:val="bottom"/>
            <w:hideMark/>
          </w:tcPr>
          <w:p w14:paraId="5BB1B8F9"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(8.46)</w:t>
            </w:r>
          </w:p>
        </w:tc>
      </w:tr>
      <w:tr w:rsidR="003B6893" w:rsidRPr="00B77038" w14:paraId="4C022C25" w14:textId="77777777" w:rsidTr="00FC6147">
        <w:trPr>
          <w:trHeight w:val="295"/>
        </w:trPr>
        <w:tc>
          <w:tcPr>
            <w:tcW w:w="3001" w:type="dxa"/>
            <w:tcBorders>
              <w:top w:val="nil"/>
              <w:left w:val="nil"/>
              <w:bottom w:val="nil"/>
              <w:right w:val="nil"/>
            </w:tcBorders>
            <w:shd w:val="clear" w:color="D9D9D9" w:fill="D9D9D9"/>
            <w:noWrap/>
            <w:vAlign w:val="bottom"/>
            <w:hideMark/>
          </w:tcPr>
          <w:p w14:paraId="6AC96573" w14:textId="77777777" w:rsidR="003B6893" w:rsidRPr="00B77038" w:rsidRDefault="003B6893"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ln(land area)</w:t>
            </w:r>
          </w:p>
        </w:tc>
        <w:tc>
          <w:tcPr>
            <w:tcW w:w="1047" w:type="dxa"/>
            <w:gridSpan w:val="2"/>
            <w:tcBorders>
              <w:top w:val="nil"/>
              <w:left w:val="nil"/>
              <w:bottom w:val="nil"/>
              <w:right w:val="nil"/>
            </w:tcBorders>
            <w:shd w:val="clear" w:color="D9D9D9" w:fill="D9D9D9"/>
            <w:noWrap/>
            <w:vAlign w:val="bottom"/>
            <w:hideMark/>
          </w:tcPr>
          <w:p w14:paraId="4B45E63C" w14:textId="77777777" w:rsidR="003B6893" w:rsidRPr="00B77038" w:rsidRDefault="003B6893" w:rsidP="003B6893">
            <w:pPr>
              <w:spacing w:after="0" w:line="240" w:lineRule="auto"/>
              <w:rPr>
                <w:rFonts w:ascii="Calibri" w:eastAsia="Times New Roman" w:hAnsi="Calibri" w:cs="Calibri"/>
                <w:color w:val="000000"/>
              </w:rPr>
            </w:pPr>
          </w:p>
        </w:tc>
        <w:tc>
          <w:tcPr>
            <w:tcW w:w="1335" w:type="dxa"/>
            <w:gridSpan w:val="2"/>
            <w:tcBorders>
              <w:top w:val="nil"/>
              <w:left w:val="nil"/>
              <w:bottom w:val="nil"/>
              <w:right w:val="nil"/>
            </w:tcBorders>
            <w:shd w:val="clear" w:color="D9D9D9" w:fill="D9D9D9"/>
            <w:noWrap/>
            <w:vAlign w:val="bottom"/>
            <w:hideMark/>
          </w:tcPr>
          <w:p w14:paraId="539E7692"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0.250***</w:t>
            </w:r>
          </w:p>
        </w:tc>
        <w:tc>
          <w:tcPr>
            <w:tcW w:w="1335" w:type="dxa"/>
            <w:gridSpan w:val="2"/>
            <w:tcBorders>
              <w:top w:val="nil"/>
              <w:left w:val="nil"/>
              <w:bottom w:val="nil"/>
              <w:right w:val="nil"/>
            </w:tcBorders>
            <w:shd w:val="clear" w:color="D9D9D9" w:fill="D9D9D9"/>
            <w:noWrap/>
            <w:vAlign w:val="bottom"/>
            <w:hideMark/>
          </w:tcPr>
          <w:p w14:paraId="013792AA"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0.183***</w:t>
            </w:r>
          </w:p>
        </w:tc>
      </w:tr>
      <w:tr w:rsidR="003B6893" w:rsidRPr="00B77038" w14:paraId="403E686C" w14:textId="77777777" w:rsidTr="00FC6147">
        <w:trPr>
          <w:trHeight w:val="295"/>
        </w:trPr>
        <w:tc>
          <w:tcPr>
            <w:tcW w:w="3001" w:type="dxa"/>
            <w:tcBorders>
              <w:top w:val="nil"/>
              <w:left w:val="nil"/>
              <w:bottom w:val="nil"/>
              <w:right w:val="nil"/>
            </w:tcBorders>
            <w:shd w:val="clear" w:color="auto" w:fill="auto"/>
            <w:noWrap/>
            <w:vAlign w:val="bottom"/>
            <w:hideMark/>
          </w:tcPr>
          <w:p w14:paraId="0A645D9D" w14:textId="77777777" w:rsidR="003B6893" w:rsidRPr="00B77038" w:rsidRDefault="003B6893" w:rsidP="003B6893">
            <w:pPr>
              <w:spacing w:after="0" w:line="240" w:lineRule="auto"/>
              <w:jc w:val="right"/>
              <w:rPr>
                <w:rFonts w:ascii="Calibri" w:eastAsia="Times New Roman" w:hAnsi="Calibri" w:cs="Calibri"/>
                <w:color w:val="000000"/>
              </w:rPr>
            </w:pPr>
          </w:p>
        </w:tc>
        <w:tc>
          <w:tcPr>
            <w:tcW w:w="1047" w:type="dxa"/>
            <w:gridSpan w:val="2"/>
            <w:tcBorders>
              <w:top w:val="nil"/>
              <w:left w:val="nil"/>
              <w:bottom w:val="nil"/>
              <w:right w:val="nil"/>
            </w:tcBorders>
            <w:shd w:val="clear" w:color="auto" w:fill="auto"/>
            <w:noWrap/>
            <w:vAlign w:val="bottom"/>
            <w:hideMark/>
          </w:tcPr>
          <w:p w14:paraId="47680AA1" w14:textId="77777777" w:rsidR="003B6893" w:rsidRPr="00B77038" w:rsidRDefault="003B6893" w:rsidP="003B6893">
            <w:pPr>
              <w:spacing w:after="0" w:line="240" w:lineRule="auto"/>
              <w:rPr>
                <w:rFonts w:ascii="Times New Roman" w:eastAsia="Times New Roman" w:hAnsi="Times New Roman" w:cs="Times New Roman"/>
                <w:sz w:val="20"/>
                <w:szCs w:val="20"/>
              </w:rPr>
            </w:pPr>
          </w:p>
        </w:tc>
        <w:tc>
          <w:tcPr>
            <w:tcW w:w="1335" w:type="dxa"/>
            <w:gridSpan w:val="2"/>
            <w:tcBorders>
              <w:top w:val="nil"/>
              <w:left w:val="nil"/>
              <w:bottom w:val="nil"/>
              <w:right w:val="nil"/>
            </w:tcBorders>
            <w:shd w:val="clear" w:color="auto" w:fill="auto"/>
            <w:noWrap/>
            <w:vAlign w:val="bottom"/>
            <w:hideMark/>
          </w:tcPr>
          <w:p w14:paraId="7D6C9DF9"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(11.59)</w:t>
            </w:r>
          </w:p>
        </w:tc>
        <w:tc>
          <w:tcPr>
            <w:tcW w:w="1335" w:type="dxa"/>
            <w:gridSpan w:val="2"/>
            <w:tcBorders>
              <w:top w:val="nil"/>
              <w:left w:val="nil"/>
              <w:bottom w:val="nil"/>
              <w:right w:val="nil"/>
            </w:tcBorders>
            <w:shd w:val="clear" w:color="auto" w:fill="auto"/>
            <w:noWrap/>
            <w:vAlign w:val="bottom"/>
            <w:hideMark/>
          </w:tcPr>
          <w:p w14:paraId="4AF55158"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(9.85)</w:t>
            </w:r>
          </w:p>
        </w:tc>
      </w:tr>
      <w:tr w:rsidR="003B6893" w:rsidRPr="00B77038" w14:paraId="396FC89B" w14:textId="77777777" w:rsidTr="00FC6147">
        <w:trPr>
          <w:trHeight w:val="295"/>
        </w:trPr>
        <w:tc>
          <w:tcPr>
            <w:tcW w:w="3001" w:type="dxa"/>
            <w:tcBorders>
              <w:top w:val="nil"/>
              <w:left w:val="nil"/>
              <w:bottom w:val="nil"/>
              <w:right w:val="nil"/>
            </w:tcBorders>
            <w:shd w:val="clear" w:color="D9D9D9" w:fill="D9D9D9"/>
            <w:noWrap/>
            <w:vAlign w:val="bottom"/>
            <w:hideMark/>
          </w:tcPr>
          <w:p w14:paraId="3538CDB4" w14:textId="77777777" w:rsidR="003B6893" w:rsidRPr="00B77038" w:rsidRDefault="003B6893"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ln(age)</w:t>
            </w:r>
          </w:p>
        </w:tc>
        <w:tc>
          <w:tcPr>
            <w:tcW w:w="1047" w:type="dxa"/>
            <w:gridSpan w:val="2"/>
            <w:tcBorders>
              <w:top w:val="nil"/>
              <w:left w:val="nil"/>
              <w:bottom w:val="nil"/>
              <w:right w:val="nil"/>
            </w:tcBorders>
            <w:shd w:val="clear" w:color="D9D9D9" w:fill="D9D9D9"/>
            <w:noWrap/>
            <w:vAlign w:val="bottom"/>
            <w:hideMark/>
          </w:tcPr>
          <w:p w14:paraId="5F383D64" w14:textId="77777777" w:rsidR="003B6893" w:rsidRPr="00B77038" w:rsidRDefault="003B6893" w:rsidP="003B6893">
            <w:pPr>
              <w:spacing w:after="0" w:line="240" w:lineRule="auto"/>
              <w:rPr>
                <w:rFonts w:ascii="Calibri" w:eastAsia="Times New Roman" w:hAnsi="Calibri" w:cs="Calibri"/>
                <w:color w:val="000000"/>
              </w:rPr>
            </w:pPr>
          </w:p>
        </w:tc>
        <w:tc>
          <w:tcPr>
            <w:tcW w:w="1335" w:type="dxa"/>
            <w:gridSpan w:val="2"/>
            <w:tcBorders>
              <w:top w:val="nil"/>
              <w:left w:val="nil"/>
              <w:bottom w:val="nil"/>
              <w:right w:val="nil"/>
            </w:tcBorders>
            <w:shd w:val="clear" w:color="D9D9D9" w:fill="D9D9D9"/>
            <w:noWrap/>
            <w:vAlign w:val="bottom"/>
            <w:hideMark/>
          </w:tcPr>
          <w:p w14:paraId="0B981EB7"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-0.0672***</w:t>
            </w:r>
          </w:p>
        </w:tc>
        <w:tc>
          <w:tcPr>
            <w:tcW w:w="1335" w:type="dxa"/>
            <w:gridSpan w:val="2"/>
            <w:tcBorders>
              <w:top w:val="nil"/>
              <w:left w:val="nil"/>
              <w:bottom w:val="nil"/>
              <w:right w:val="nil"/>
            </w:tcBorders>
            <w:shd w:val="clear" w:color="D9D9D9" w:fill="D9D9D9"/>
            <w:noWrap/>
            <w:vAlign w:val="bottom"/>
            <w:hideMark/>
          </w:tcPr>
          <w:p w14:paraId="65DF0FD8"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-0.0856***</w:t>
            </w:r>
          </w:p>
        </w:tc>
      </w:tr>
      <w:tr w:rsidR="003B6893" w:rsidRPr="00B77038" w14:paraId="1E6DC190" w14:textId="77777777" w:rsidTr="00FC6147">
        <w:trPr>
          <w:trHeight w:val="295"/>
        </w:trPr>
        <w:tc>
          <w:tcPr>
            <w:tcW w:w="3001" w:type="dxa"/>
            <w:tcBorders>
              <w:top w:val="nil"/>
              <w:left w:val="nil"/>
              <w:bottom w:val="nil"/>
              <w:right w:val="nil"/>
            </w:tcBorders>
            <w:shd w:val="clear" w:color="auto" w:fill="auto"/>
            <w:noWrap/>
            <w:vAlign w:val="bottom"/>
            <w:hideMark/>
          </w:tcPr>
          <w:p w14:paraId="106FB4CF" w14:textId="77777777" w:rsidR="003B6893" w:rsidRPr="00B77038" w:rsidRDefault="003B6893" w:rsidP="003B6893">
            <w:pPr>
              <w:spacing w:after="0" w:line="240" w:lineRule="auto"/>
              <w:jc w:val="right"/>
              <w:rPr>
                <w:rFonts w:ascii="Calibri" w:eastAsia="Times New Roman" w:hAnsi="Calibri" w:cs="Calibri"/>
                <w:color w:val="000000"/>
              </w:rPr>
            </w:pPr>
          </w:p>
        </w:tc>
        <w:tc>
          <w:tcPr>
            <w:tcW w:w="1047" w:type="dxa"/>
            <w:gridSpan w:val="2"/>
            <w:tcBorders>
              <w:top w:val="nil"/>
              <w:left w:val="nil"/>
              <w:bottom w:val="nil"/>
              <w:right w:val="nil"/>
            </w:tcBorders>
            <w:shd w:val="clear" w:color="auto" w:fill="auto"/>
            <w:noWrap/>
            <w:vAlign w:val="bottom"/>
            <w:hideMark/>
          </w:tcPr>
          <w:p w14:paraId="28781C27" w14:textId="77777777" w:rsidR="003B6893" w:rsidRPr="00B77038" w:rsidRDefault="003B6893" w:rsidP="003B6893">
            <w:pPr>
              <w:spacing w:after="0" w:line="240" w:lineRule="auto"/>
              <w:rPr>
                <w:rFonts w:ascii="Times New Roman" w:eastAsia="Times New Roman" w:hAnsi="Times New Roman" w:cs="Times New Roman"/>
                <w:sz w:val="20"/>
                <w:szCs w:val="20"/>
              </w:rPr>
            </w:pPr>
          </w:p>
        </w:tc>
        <w:tc>
          <w:tcPr>
            <w:tcW w:w="1335" w:type="dxa"/>
            <w:gridSpan w:val="2"/>
            <w:tcBorders>
              <w:top w:val="nil"/>
              <w:left w:val="nil"/>
              <w:bottom w:val="nil"/>
              <w:right w:val="nil"/>
            </w:tcBorders>
            <w:shd w:val="clear" w:color="auto" w:fill="auto"/>
            <w:noWrap/>
            <w:vAlign w:val="bottom"/>
            <w:hideMark/>
          </w:tcPr>
          <w:p w14:paraId="22DCCB6D"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(5.50)</w:t>
            </w:r>
          </w:p>
        </w:tc>
        <w:tc>
          <w:tcPr>
            <w:tcW w:w="1335" w:type="dxa"/>
            <w:gridSpan w:val="2"/>
            <w:tcBorders>
              <w:top w:val="nil"/>
              <w:left w:val="nil"/>
              <w:bottom w:val="nil"/>
              <w:right w:val="nil"/>
            </w:tcBorders>
            <w:shd w:val="clear" w:color="auto" w:fill="auto"/>
            <w:noWrap/>
            <w:vAlign w:val="bottom"/>
            <w:hideMark/>
          </w:tcPr>
          <w:p w14:paraId="0B74E47A"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(6.15)</w:t>
            </w:r>
          </w:p>
        </w:tc>
      </w:tr>
      <w:tr w:rsidR="003B6893" w:rsidRPr="00B77038" w14:paraId="68AAC666" w14:textId="77777777" w:rsidTr="00FC6147">
        <w:trPr>
          <w:trHeight w:val="295"/>
        </w:trPr>
        <w:tc>
          <w:tcPr>
            <w:tcW w:w="3001" w:type="dxa"/>
            <w:tcBorders>
              <w:top w:val="nil"/>
              <w:left w:val="nil"/>
              <w:bottom w:val="nil"/>
              <w:right w:val="nil"/>
            </w:tcBorders>
            <w:shd w:val="clear" w:color="D9D9D9" w:fill="D9D9D9"/>
            <w:noWrap/>
            <w:vAlign w:val="bottom"/>
            <w:hideMark/>
          </w:tcPr>
          <w:p w14:paraId="73A76F5A" w14:textId="77777777" w:rsidR="003B6893" w:rsidRPr="00B77038" w:rsidRDefault="003B6893"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ln(building area)</w:t>
            </w:r>
          </w:p>
        </w:tc>
        <w:tc>
          <w:tcPr>
            <w:tcW w:w="1047" w:type="dxa"/>
            <w:gridSpan w:val="2"/>
            <w:tcBorders>
              <w:top w:val="nil"/>
              <w:left w:val="nil"/>
              <w:bottom w:val="nil"/>
              <w:right w:val="nil"/>
            </w:tcBorders>
            <w:shd w:val="clear" w:color="D9D9D9" w:fill="D9D9D9"/>
            <w:noWrap/>
            <w:vAlign w:val="bottom"/>
            <w:hideMark/>
          </w:tcPr>
          <w:p w14:paraId="7967B8D1" w14:textId="77777777" w:rsidR="003B6893" w:rsidRPr="00B77038" w:rsidRDefault="003B6893" w:rsidP="003B6893">
            <w:pPr>
              <w:spacing w:after="0" w:line="240" w:lineRule="auto"/>
              <w:rPr>
                <w:rFonts w:ascii="Calibri" w:eastAsia="Times New Roman" w:hAnsi="Calibri" w:cs="Calibri"/>
                <w:color w:val="000000"/>
              </w:rPr>
            </w:pPr>
          </w:p>
        </w:tc>
        <w:tc>
          <w:tcPr>
            <w:tcW w:w="1335" w:type="dxa"/>
            <w:gridSpan w:val="2"/>
            <w:tcBorders>
              <w:top w:val="nil"/>
              <w:left w:val="nil"/>
              <w:bottom w:val="nil"/>
              <w:right w:val="nil"/>
            </w:tcBorders>
            <w:shd w:val="clear" w:color="D9D9D9" w:fill="D9D9D9"/>
            <w:noWrap/>
            <w:vAlign w:val="bottom"/>
            <w:hideMark/>
          </w:tcPr>
          <w:p w14:paraId="1B2A2423"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-0.555***</w:t>
            </w:r>
          </w:p>
        </w:tc>
        <w:tc>
          <w:tcPr>
            <w:tcW w:w="1335" w:type="dxa"/>
            <w:gridSpan w:val="2"/>
            <w:tcBorders>
              <w:top w:val="nil"/>
              <w:left w:val="nil"/>
              <w:bottom w:val="nil"/>
              <w:right w:val="nil"/>
            </w:tcBorders>
            <w:shd w:val="clear" w:color="D9D9D9" w:fill="D9D9D9"/>
            <w:noWrap/>
            <w:vAlign w:val="bottom"/>
            <w:hideMark/>
          </w:tcPr>
          <w:p w14:paraId="3AB91015"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-0.600***</w:t>
            </w:r>
          </w:p>
        </w:tc>
      </w:tr>
      <w:tr w:rsidR="003B6893" w:rsidRPr="00B77038" w14:paraId="7714876B" w14:textId="77777777" w:rsidTr="00FC6147">
        <w:trPr>
          <w:trHeight w:val="295"/>
        </w:trPr>
        <w:tc>
          <w:tcPr>
            <w:tcW w:w="3001" w:type="dxa"/>
            <w:tcBorders>
              <w:top w:val="nil"/>
              <w:left w:val="nil"/>
              <w:bottom w:val="nil"/>
              <w:right w:val="nil"/>
            </w:tcBorders>
            <w:shd w:val="clear" w:color="auto" w:fill="auto"/>
            <w:noWrap/>
            <w:vAlign w:val="bottom"/>
            <w:hideMark/>
          </w:tcPr>
          <w:p w14:paraId="7A8A2FE9" w14:textId="77777777" w:rsidR="003B6893" w:rsidRPr="00B77038" w:rsidRDefault="003B6893" w:rsidP="003B6893">
            <w:pPr>
              <w:spacing w:after="0" w:line="240" w:lineRule="auto"/>
              <w:jc w:val="right"/>
              <w:rPr>
                <w:rFonts w:ascii="Calibri" w:eastAsia="Times New Roman" w:hAnsi="Calibri" w:cs="Calibri"/>
                <w:color w:val="000000"/>
              </w:rPr>
            </w:pPr>
          </w:p>
        </w:tc>
        <w:tc>
          <w:tcPr>
            <w:tcW w:w="1047" w:type="dxa"/>
            <w:gridSpan w:val="2"/>
            <w:tcBorders>
              <w:top w:val="nil"/>
              <w:left w:val="nil"/>
              <w:bottom w:val="nil"/>
              <w:right w:val="nil"/>
            </w:tcBorders>
            <w:shd w:val="clear" w:color="auto" w:fill="auto"/>
            <w:noWrap/>
            <w:vAlign w:val="bottom"/>
            <w:hideMark/>
          </w:tcPr>
          <w:p w14:paraId="225CFD53" w14:textId="77777777" w:rsidR="003B6893" w:rsidRPr="00B77038" w:rsidRDefault="003B6893" w:rsidP="003B6893">
            <w:pPr>
              <w:spacing w:after="0" w:line="240" w:lineRule="auto"/>
              <w:rPr>
                <w:rFonts w:ascii="Times New Roman" w:eastAsia="Times New Roman" w:hAnsi="Times New Roman" w:cs="Times New Roman"/>
                <w:sz w:val="20"/>
                <w:szCs w:val="20"/>
              </w:rPr>
            </w:pPr>
          </w:p>
        </w:tc>
        <w:tc>
          <w:tcPr>
            <w:tcW w:w="1335" w:type="dxa"/>
            <w:gridSpan w:val="2"/>
            <w:tcBorders>
              <w:top w:val="nil"/>
              <w:left w:val="nil"/>
              <w:bottom w:val="nil"/>
              <w:right w:val="nil"/>
            </w:tcBorders>
            <w:shd w:val="clear" w:color="auto" w:fill="auto"/>
            <w:noWrap/>
            <w:vAlign w:val="bottom"/>
            <w:hideMark/>
          </w:tcPr>
          <w:p w14:paraId="646F2068"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(17.81)</w:t>
            </w:r>
          </w:p>
        </w:tc>
        <w:tc>
          <w:tcPr>
            <w:tcW w:w="1335" w:type="dxa"/>
            <w:gridSpan w:val="2"/>
            <w:tcBorders>
              <w:top w:val="nil"/>
              <w:left w:val="nil"/>
              <w:bottom w:val="nil"/>
              <w:right w:val="nil"/>
            </w:tcBorders>
            <w:shd w:val="clear" w:color="auto" w:fill="auto"/>
            <w:noWrap/>
            <w:vAlign w:val="bottom"/>
            <w:hideMark/>
          </w:tcPr>
          <w:p w14:paraId="163B2C05"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(44.98)</w:t>
            </w:r>
          </w:p>
        </w:tc>
      </w:tr>
      <w:tr w:rsidR="003B6893" w:rsidRPr="00B77038" w14:paraId="5D9C3950" w14:textId="77777777" w:rsidTr="00FC6147">
        <w:trPr>
          <w:trHeight w:val="295"/>
        </w:trPr>
        <w:tc>
          <w:tcPr>
            <w:tcW w:w="3001" w:type="dxa"/>
            <w:tcBorders>
              <w:top w:val="nil"/>
              <w:left w:val="nil"/>
              <w:bottom w:val="nil"/>
              <w:right w:val="nil"/>
            </w:tcBorders>
            <w:shd w:val="clear" w:color="D9D9D9" w:fill="D9D9D9"/>
            <w:noWrap/>
            <w:vAlign w:val="bottom"/>
            <w:hideMark/>
          </w:tcPr>
          <w:p w14:paraId="699BF846" w14:textId="77777777" w:rsidR="003B6893" w:rsidRPr="00B77038" w:rsidRDefault="003B6893"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ln(# floors)</w:t>
            </w:r>
          </w:p>
        </w:tc>
        <w:tc>
          <w:tcPr>
            <w:tcW w:w="1047" w:type="dxa"/>
            <w:gridSpan w:val="2"/>
            <w:tcBorders>
              <w:top w:val="nil"/>
              <w:left w:val="nil"/>
              <w:bottom w:val="nil"/>
              <w:right w:val="nil"/>
            </w:tcBorders>
            <w:shd w:val="clear" w:color="D9D9D9" w:fill="D9D9D9"/>
            <w:noWrap/>
            <w:vAlign w:val="bottom"/>
            <w:hideMark/>
          </w:tcPr>
          <w:p w14:paraId="1F907E8E" w14:textId="77777777" w:rsidR="003B6893" w:rsidRPr="00B77038" w:rsidRDefault="003B6893" w:rsidP="003B6893">
            <w:pPr>
              <w:spacing w:after="0" w:line="240" w:lineRule="auto"/>
              <w:rPr>
                <w:rFonts w:ascii="Calibri" w:eastAsia="Times New Roman" w:hAnsi="Calibri" w:cs="Calibri"/>
                <w:color w:val="000000"/>
              </w:rPr>
            </w:pPr>
          </w:p>
        </w:tc>
        <w:tc>
          <w:tcPr>
            <w:tcW w:w="1335" w:type="dxa"/>
            <w:gridSpan w:val="2"/>
            <w:tcBorders>
              <w:top w:val="nil"/>
              <w:left w:val="nil"/>
              <w:bottom w:val="nil"/>
              <w:right w:val="nil"/>
            </w:tcBorders>
            <w:shd w:val="clear" w:color="D9D9D9" w:fill="D9D9D9"/>
            <w:noWrap/>
            <w:vAlign w:val="bottom"/>
            <w:hideMark/>
          </w:tcPr>
          <w:p w14:paraId="0553E15C"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0.0733</w:t>
            </w:r>
          </w:p>
        </w:tc>
        <w:tc>
          <w:tcPr>
            <w:tcW w:w="1335" w:type="dxa"/>
            <w:gridSpan w:val="2"/>
            <w:tcBorders>
              <w:top w:val="nil"/>
              <w:left w:val="nil"/>
              <w:bottom w:val="nil"/>
              <w:right w:val="nil"/>
            </w:tcBorders>
            <w:shd w:val="clear" w:color="D9D9D9" w:fill="D9D9D9"/>
            <w:noWrap/>
            <w:vAlign w:val="bottom"/>
            <w:hideMark/>
          </w:tcPr>
          <w:p w14:paraId="7DF93CBE"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0.0339</w:t>
            </w:r>
          </w:p>
        </w:tc>
      </w:tr>
      <w:tr w:rsidR="003B6893" w:rsidRPr="00B77038" w14:paraId="19C9F586" w14:textId="77777777" w:rsidTr="00FC6147">
        <w:trPr>
          <w:trHeight w:val="295"/>
        </w:trPr>
        <w:tc>
          <w:tcPr>
            <w:tcW w:w="3001" w:type="dxa"/>
            <w:tcBorders>
              <w:top w:val="nil"/>
              <w:left w:val="nil"/>
              <w:bottom w:val="nil"/>
              <w:right w:val="nil"/>
            </w:tcBorders>
            <w:shd w:val="clear" w:color="auto" w:fill="auto"/>
            <w:noWrap/>
            <w:vAlign w:val="bottom"/>
            <w:hideMark/>
          </w:tcPr>
          <w:p w14:paraId="4D4F884E" w14:textId="77777777" w:rsidR="003B6893" w:rsidRPr="00B77038" w:rsidRDefault="003B6893" w:rsidP="003B6893">
            <w:pPr>
              <w:spacing w:after="0" w:line="240" w:lineRule="auto"/>
              <w:jc w:val="right"/>
              <w:rPr>
                <w:rFonts w:ascii="Calibri" w:eastAsia="Times New Roman" w:hAnsi="Calibri" w:cs="Calibri"/>
                <w:color w:val="000000"/>
              </w:rPr>
            </w:pPr>
          </w:p>
        </w:tc>
        <w:tc>
          <w:tcPr>
            <w:tcW w:w="1047" w:type="dxa"/>
            <w:gridSpan w:val="2"/>
            <w:tcBorders>
              <w:top w:val="nil"/>
              <w:left w:val="nil"/>
              <w:bottom w:val="nil"/>
              <w:right w:val="nil"/>
            </w:tcBorders>
            <w:shd w:val="clear" w:color="auto" w:fill="auto"/>
            <w:noWrap/>
            <w:vAlign w:val="bottom"/>
            <w:hideMark/>
          </w:tcPr>
          <w:p w14:paraId="7F2CF4CB" w14:textId="77777777" w:rsidR="003B6893" w:rsidRPr="00B77038" w:rsidRDefault="003B6893" w:rsidP="003B6893">
            <w:pPr>
              <w:spacing w:after="0" w:line="240" w:lineRule="auto"/>
              <w:rPr>
                <w:rFonts w:ascii="Times New Roman" w:eastAsia="Times New Roman" w:hAnsi="Times New Roman" w:cs="Times New Roman"/>
                <w:sz w:val="20"/>
                <w:szCs w:val="20"/>
              </w:rPr>
            </w:pPr>
          </w:p>
        </w:tc>
        <w:tc>
          <w:tcPr>
            <w:tcW w:w="1335" w:type="dxa"/>
            <w:gridSpan w:val="2"/>
            <w:tcBorders>
              <w:top w:val="nil"/>
              <w:left w:val="nil"/>
              <w:bottom w:val="nil"/>
              <w:right w:val="nil"/>
            </w:tcBorders>
            <w:shd w:val="clear" w:color="auto" w:fill="auto"/>
            <w:noWrap/>
            <w:vAlign w:val="bottom"/>
            <w:hideMark/>
          </w:tcPr>
          <w:p w14:paraId="7AB8157D"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(1.48)</w:t>
            </w:r>
          </w:p>
        </w:tc>
        <w:tc>
          <w:tcPr>
            <w:tcW w:w="1335" w:type="dxa"/>
            <w:gridSpan w:val="2"/>
            <w:tcBorders>
              <w:top w:val="nil"/>
              <w:left w:val="nil"/>
              <w:bottom w:val="nil"/>
              <w:right w:val="nil"/>
            </w:tcBorders>
            <w:shd w:val="clear" w:color="auto" w:fill="auto"/>
            <w:noWrap/>
            <w:vAlign w:val="bottom"/>
            <w:hideMark/>
          </w:tcPr>
          <w:p w14:paraId="031D6575"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(1.69)</w:t>
            </w:r>
          </w:p>
        </w:tc>
      </w:tr>
      <w:tr w:rsidR="003B6893" w:rsidRPr="00B77038" w14:paraId="638C5A9C" w14:textId="77777777" w:rsidTr="00FC6147">
        <w:trPr>
          <w:trHeight w:val="295"/>
        </w:trPr>
        <w:tc>
          <w:tcPr>
            <w:tcW w:w="3001" w:type="dxa"/>
            <w:tcBorders>
              <w:top w:val="nil"/>
              <w:left w:val="nil"/>
              <w:bottom w:val="nil"/>
              <w:right w:val="nil"/>
            </w:tcBorders>
            <w:shd w:val="clear" w:color="D9D9D9" w:fill="D9D9D9"/>
            <w:noWrap/>
            <w:vAlign w:val="bottom"/>
            <w:hideMark/>
          </w:tcPr>
          <w:p w14:paraId="73DCDC1D" w14:textId="516F6999" w:rsidR="003B6893" w:rsidRPr="00B77038" w:rsidRDefault="002263EA" w:rsidP="003B6893">
            <w:pPr>
              <w:spacing w:after="0" w:line="240" w:lineRule="auto"/>
              <w:rPr>
                <w:rFonts w:ascii="Calibri" w:eastAsia="Times New Roman" w:hAnsi="Calibri" w:cs="Calibri"/>
                <w:color w:val="000000"/>
              </w:rPr>
            </w:pPr>
            <w:r>
              <w:rPr>
                <w:rFonts w:ascii="Calibri" w:eastAsia="Times New Roman" w:hAnsi="Calibri" w:cs="Calibri"/>
                <w:color w:val="000000"/>
              </w:rPr>
              <w:t>D</w:t>
            </w:r>
            <w:r w:rsidR="003B6893" w:rsidRPr="00B77038">
              <w:rPr>
                <w:rFonts w:ascii="Calibri" w:eastAsia="Times New Roman" w:hAnsi="Calibri" w:cs="Calibri"/>
                <w:color w:val="000000"/>
              </w:rPr>
              <w:t>ist. to shore (miles)</w:t>
            </w:r>
          </w:p>
        </w:tc>
        <w:tc>
          <w:tcPr>
            <w:tcW w:w="1047" w:type="dxa"/>
            <w:gridSpan w:val="2"/>
            <w:tcBorders>
              <w:top w:val="nil"/>
              <w:left w:val="nil"/>
              <w:bottom w:val="nil"/>
              <w:right w:val="nil"/>
            </w:tcBorders>
            <w:shd w:val="clear" w:color="D9D9D9" w:fill="D9D9D9"/>
            <w:noWrap/>
            <w:vAlign w:val="bottom"/>
            <w:hideMark/>
          </w:tcPr>
          <w:p w14:paraId="7AF52B7C" w14:textId="77777777" w:rsidR="003B6893" w:rsidRPr="00B77038" w:rsidRDefault="003B6893" w:rsidP="003B6893">
            <w:pPr>
              <w:spacing w:after="0" w:line="240" w:lineRule="auto"/>
              <w:rPr>
                <w:rFonts w:ascii="Calibri" w:eastAsia="Times New Roman" w:hAnsi="Calibri" w:cs="Calibri"/>
                <w:color w:val="000000"/>
              </w:rPr>
            </w:pPr>
          </w:p>
        </w:tc>
        <w:tc>
          <w:tcPr>
            <w:tcW w:w="1335" w:type="dxa"/>
            <w:gridSpan w:val="2"/>
            <w:tcBorders>
              <w:top w:val="nil"/>
              <w:left w:val="nil"/>
              <w:bottom w:val="nil"/>
              <w:right w:val="nil"/>
            </w:tcBorders>
            <w:shd w:val="clear" w:color="D9D9D9" w:fill="D9D9D9"/>
            <w:noWrap/>
            <w:vAlign w:val="bottom"/>
            <w:hideMark/>
          </w:tcPr>
          <w:p w14:paraId="2A922411" w14:textId="77777777" w:rsidR="003B6893" w:rsidRPr="00B77038" w:rsidRDefault="003B6893" w:rsidP="003B6893">
            <w:pPr>
              <w:spacing w:after="0" w:line="240" w:lineRule="auto"/>
              <w:jc w:val="right"/>
              <w:rPr>
                <w:rFonts w:ascii="Times New Roman" w:eastAsia="Times New Roman" w:hAnsi="Times New Roman" w:cs="Times New Roman"/>
                <w:sz w:val="20"/>
                <w:szCs w:val="20"/>
              </w:rPr>
            </w:pPr>
          </w:p>
        </w:tc>
        <w:tc>
          <w:tcPr>
            <w:tcW w:w="1335" w:type="dxa"/>
            <w:gridSpan w:val="2"/>
            <w:tcBorders>
              <w:top w:val="nil"/>
              <w:left w:val="nil"/>
              <w:bottom w:val="nil"/>
              <w:right w:val="nil"/>
            </w:tcBorders>
            <w:shd w:val="clear" w:color="D9D9D9" w:fill="D9D9D9"/>
            <w:noWrap/>
            <w:vAlign w:val="bottom"/>
            <w:hideMark/>
          </w:tcPr>
          <w:p w14:paraId="437E68EE"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0.121</w:t>
            </w:r>
          </w:p>
        </w:tc>
      </w:tr>
      <w:tr w:rsidR="003B6893" w:rsidRPr="00B77038" w14:paraId="7BE90F6B" w14:textId="77777777" w:rsidTr="00FC6147">
        <w:trPr>
          <w:trHeight w:val="295"/>
        </w:trPr>
        <w:tc>
          <w:tcPr>
            <w:tcW w:w="3001" w:type="dxa"/>
            <w:tcBorders>
              <w:top w:val="nil"/>
              <w:left w:val="nil"/>
              <w:bottom w:val="nil"/>
              <w:right w:val="nil"/>
            </w:tcBorders>
            <w:shd w:val="clear" w:color="auto" w:fill="auto"/>
            <w:noWrap/>
            <w:vAlign w:val="bottom"/>
            <w:hideMark/>
          </w:tcPr>
          <w:p w14:paraId="1A7CFEF2" w14:textId="77777777" w:rsidR="003B6893" w:rsidRPr="00B77038" w:rsidRDefault="003B6893" w:rsidP="003B6893">
            <w:pPr>
              <w:spacing w:after="0" w:line="240" w:lineRule="auto"/>
              <w:jc w:val="right"/>
              <w:rPr>
                <w:rFonts w:ascii="Calibri" w:eastAsia="Times New Roman" w:hAnsi="Calibri" w:cs="Calibri"/>
                <w:color w:val="000000"/>
              </w:rPr>
            </w:pPr>
          </w:p>
        </w:tc>
        <w:tc>
          <w:tcPr>
            <w:tcW w:w="1047" w:type="dxa"/>
            <w:gridSpan w:val="2"/>
            <w:tcBorders>
              <w:top w:val="nil"/>
              <w:left w:val="nil"/>
              <w:bottom w:val="nil"/>
              <w:right w:val="nil"/>
            </w:tcBorders>
            <w:shd w:val="clear" w:color="auto" w:fill="auto"/>
            <w:noWrap/>
            <w:vAlign w:val="bottom"/>
            <w:hideMark/>
          </w:tcPr>
          <w:p w14:paraId="484D4F73" w14:textId="77777777" w:rsidR="003B6893" w:rsidRPr="00B77038" w:rsidRDefault="003B6893" w:rsidP="003B6893">
            <w:pPr>
              <w:spacing w:after="0" w:line="240" w:lineRule="auto"/>
              <w:rPr>
                <w:rFonts w:ascii="Times New Roman" w:eastAsia="Times New Roman" w:hAnsi="Times New Roman" w:cs="Times New Roman"/>
                <w:sz w:val="20"/>
                <w:szCs w:val="20"/>
              </w:rPr>
            </w:pPr>
          </w:p>
        </w:tc>
        <w:tc>
          <w:tcPr>
            <w:tcW w:w="1335" w:type="dxa"/>
            <w:gridSpan w:val="2"/>
            <w:tcBorders>
              <w:top w:val="nil"/>
              <w:left w:val="nil"/>
              <w:bottom w:val="nil"/>
              <w:right w:val="nil"/>
            </w:tcBorders>
            <w:shd w:val="clear" w:color="auto" w:fill="auto"/>
            <w:noWrap/>
            <w:vAlign w:val="bottom"/>
            <w:hideMark/>
          </w:tcPr>
          <w:p w14:paraId="58EDB7D5" w14:textId="77777777" w:rsidR="003B6893" w:rsidRPr="00B77038" w:rsidRDefault="003B6893" w:rsidP="003B6893">
            <w:pPr>
              <w:spacing w:after="0" w:line="240" w:lineRule="auto"/>
              <w:jc w:val="right"/>
              <w:rPr>
                <w:rFonts w:ascii="Times New Roman" w:eastAsia="Times New Roman" w:hAnsi="Times New Roman" w:cs="Times New Roman"/>
                <w:sz w:val="20"/>
                <w:szCs w:val="20"/>
              </w:rPr>
            </w:pPr>
          </w:p>
        </w:tc>
        <w:tc>
          <w:tcPr>
            <w:tcW w:w="1335" w:type="dxa"/>
            <w:gridSpan w:val="2"/>
            <w:tcBorders>
              <w:top w:val="nil"/>
              <w:left w:val="nil"/>
              <w:bottom w:val="nil"/>
              <w:right w:val="nil"/>
            </w:tcBorders>
            <w:shd w:val="clear" w:color="auto" w:fill="auto"/>
            <w:noWrap/>
            <w:vAlign w:val="bottom"/>
            <w:hideMark/>
          </w:tcPr>
          <w:p w14:paraId="32B2440A"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(1.23)</w:t>
            </w:r>
          </w:p>
        </w:tc>
      </w:tr>
      <w:tr w:rsidR="003B6893" w:rsidRPr="00B77038" w14:paraId="75A315AA" w14:textId="77777777" w:rsidTr="00FC6147">
        <w:trPr>
          <w:trHeight w:val="295"/>
        </w:trPr>
        <w:tc>
          <w:tcPr>
            <w:tcW w:w="3001" w:type="dxa"/>
            <w:tcBorders>
              <w:top w:val="nil"/>
              <w:left w:val="nil"/>
              <w:bottom w:val="nil"/>
              <w:right w:val="nil"/>
            </w:tcBorders>
            <w:shd w:val="clear" w:color="D9D9D9" w:fill="D9D9D9"/>
            <w:noWrap/>
            <w:vAlign w:val="bottom"/>
            <w:hideMark/>
          </w:tcPr>
          <w:p w14:paraId="37016944" w14:textId="52145555" w:rsidR="003B6893" w:rsidRPr="00B77038" w:rsidRDefault="002263EA" w:rsidP="003B6893">
            <w:pPr>
              <w:spacing w:after="0" w:line="240" w:lineRule="auto"/>
              <w:rPr>
                <w:rFonts w:ascii="Calibri" w:eastAsia="Times New Roman" w:hAnsi="Calibri" w:cs="Calibri"/>
                <w:color w:val="000000"/>
              </w:rPr>
            </w:pPr>
            <w:r>
              <w:rPr>
                <w:rFonts w:ascii="Calibri" w:eastAsia="Times New Roman" w:hAnsi="Calibri" w:cs="Calibri"/>
                <w:color w:val="000000"/>
              </w:rPr>
              <w:t>C</w:t>
            </w:r>
            <w:r w:rsidR="003B6893" w:rsidRPr="00B77038">
              <w:rPr>
                <w:rFonts w:ascii="Calibri" w:eastAsia="Times New Roman" w:hAnsi="Calibri" w:cs="Calibri"/>
                <w:color w:val="000000"/>
              </w:rPr>
              <w:t>onstant</w:t>
            </w:r>
          </w:p>
        </w:tc>
        <w:tc>
          <w:tcPr>
            <w:tcW w:w="1047" w:type="dxa"/>
            <w:gridSpan w:val="2"/>
            <w:tcBorders>
              <w:top w:val="nil"/>
              <w:left w:val="nil"/>
              <w:bottom w:val="nil"/>
              <w:right w:val="nil"/>
            </w:tcBorders>
            <w:shd w:val="clear" w:color="D9D9D9" w:fill="D9D9D9"/>
            <w:noWrap/>
            <w:vAlign w:val="bottom"/>
            <w:hideMark/>
          </w:tcPr>
          <w:p w14:paraId="4C303709"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5.445***</w:t>
            </w:r>
          </w:p>
        </w:tc>
        <w:tc>
          <w:tcPr>
            <w:tcW w:w="1335" w:type="dxa"/>
            <w:gridSpan w:val="2"/>
            <w:tcBorders>
              <w:top w:val="nil"/>
              <w:left w:val="nil"/>
              <w:bottom w:val="nil"/>
              <w:right w:val="nil"/>
            </w:tcBorders>
            <w:shd w:val="clear" w:color="D9D9D9" w:fill="D9D9D9"/>
            <w:noWrap/>
            <w:vAlign w:val="bottom"/>
            <w:hideMark/>
          </w:tcPr>
          <w:p w14:paraId="70BC2C3C"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7.855***</w:t>
            </w:r>
          </w:p>
        </w:tc>
        <w:tc>
          <w:tcPr>
            <w:tcW w:w="1335" w:type="dxa"/>
            <w:gridSpan w:val="2"/>
            <w:tcBorders>
              <w:top w:val="nil"/>
              <w:left w:val="nil"/>
              <w:bottom w:val="nil"/>
              <w:right w:val="nil"/>
            </w:tcBorders>
            <w:shd w:val="clear" w:color="D9D9D9" w:fill="D9D9D9"/>
            <w:noWrap/>
            <w:vAlign w:val="bottom"/>
            <w:hideMark/>
          </w:tcPr>
          <w:p w14:paraId="7DF9DD13"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7.595***</w:t>
            </w:r>
          </w:p>
        </w:tc>
      </w:tr>
      <w:tr w:rsidR="003B6893" w:rsidRPr="00B77038" w14:paraId="3366211B" w14:textId="77777777" w:rsidTr="00FC6147">
        <w:trPr>
          <w:trHeight w:val="295"/>
        </w:trPr>
        <w:tc>
          <w:tcPr>
            <w:tcW w:w="3001" w:type="dxa"/>
            <w:tcBorders>
              <w:top w:val="nil"/>
              <w:left w:val="nil"/>
              <w:bottom w:val="single" w:sz="4" w:space="0" w:color="auto"/>
              <w:right w:val="nil"/>
            </w:tcBorders>
            <w:shd w:val="clear" w:color="auto" w:fill="auto"/>
            <w:noWrap/>
            <w:vAlign w:val="bottom"/>
            <w:hideMark/>
          </w:tcPr>
          <w:p w14:paraId="0C830D07" w14:textId="77777777" w:rsidR="003B6893" w:rsidRPr="00B77038" w:rsidRDefault="003B6893"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 </w:t>
            </w:r>
          </w:p>
        </w:tc>
        <w:tc>
          <w:tcPr>
            <w:tcW w:w="1047" w:type="dxa"/>
            <w:gridSpan w:val="2"/>
            <w:tcBorders>
              <w:top w:val="nil"/>
              <w:left w:val="nil"/>
              <w:bottom w:val="single" w:sz="4" w:space="0" w:color="auto"/>
              <w:right w:val="nil"/>
            </w:tcBorders>
            <w:shd w:val="clear" w:color="auto" w:fill="auto"/>
            <w:noWrap/>
            <w:vAlign w:val="bottom"/>
            <w:hideMark/>
          </w:tcPr>
          <w:p w14:paraId="1A97792C"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(176.18)</w:t>
            </w:r>
          </w:p>
        </w:tc>
        <w:tc>
          <w:tcPr>
            <w:tcW w:w="1335" w:type="dxa"/>
            <w:gridSpan w:val="2"/>
            <w:tcBorders>
              <w:top w:val="nil"/>
              <w:left w:val="nil"/>
              <w:bottom w:val="single" w:sz="4" w:space="0" w:color="auto"/>
              <w:right w:val="nil"/>
            </w:tcBorders>
            <w:shd w:val="clear" w:color="auto" w:fill="auto"/>
            <w:noWrap/>
            <w:vAlign w:val="bottom"/>
            <w:hideMark/>
          </w:tcPr>
          <w:p w14:paraId="4010463B"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(22.05)</w:t>
            </w:r>
          </w:p>
        </w:tc>
        <w:tc>
          <w:tcPr>
            <w:tcW w:w="1335" w:type="dxa"/>
            <w:gridSpan w:val="2"/>
            <w:tcBorders>
              <w:top w:val="nil"/>
              <w:left w:val="nil"/>
              <w:bottom w:val="single" w:sz="4" w:space="0" w:color="auto"/>
              <w:right w:val="nil"/>
            </w:tcBorders>
            <w:shd w:val="clear" w:color="auto" w:fill="auto"/>
            <w:noWrap/>
            <w:vAlign w:val="bottom"/>
            <w:hideMark/>
          </w:tcPr>
          <w:p w14:paraId="4B631695"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(45.23)</w:t>
            </w:r>
          </w:p>
        </w:tc>
      </w:tr>
      <w:tr w:rsidR="003B6893" w:rsidRPr="00B77038" w14:paraId="53E0E42A" w14:textId="77777777" w:rsidTr="00FC6147">
        <w:trPr>
          <w:trHeight w:val="295"/>
        </w:trPr>
        <w:tc>
          <w:tcPr>
            <w:tcW w:w="3001" w:type="dxa"/>
            <w:tcBorders>
              <w:top w:val="nil"/>
              <w:left w:val="nil"/>
              <w:bottom w:val="nil"/>
              <w:right w:val="nil"/>
            </w:tcBorders>
            <w:shd w:val="clear" w:color="D9D9D9" w:fill="D9D9D9"/>
            <w:noWrap/>
            <w:vAlign w:val="bottom"/>
            <w:hideMark/>
          </w:tcPr>
          <w:p w14:paraId="7010CD84" w14:textId="77777777" w:rsidR="003B6893" w:rsidRPr="00B77038" w:rsidRDefault="003B6893"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N</w:t>
            </w:r>
          </w:p>
        </w:tc>
        <w:tc>
          <w:tcPr>
            <w:tcW w:w="1047" w:type="dxa"/>
            <w:gridSpan w:val="2"/>
            <w:tcBorders>
              <w:top w:val="nil"/>
              <w:left w:val="nil"/>
              <w:bottom w:val="nil"/>
              <w:right w:val="nil"/>
            </w:tcBorders>
            <w:shd w:val="clear" w:color="D9D9D9" w:fill="D9D9D9"/>
            <w:noWrap/>
            <w:vAlign w:val="bottom"/>
            <w:hideMark/>
          </w:tcPr>
          <w:p w14:paraId="4FA93072"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6831</w:t>
            </w:r>
          </w:p>
        </w:tc>
        <w:tc>
          <w:tcPr>
            <w:tcW w:w="1335" w:type="dxa"/>
            <w:gridSpan w:val="2"/>
            <w:tcBorders>
              <w:top w:val="nil"/>
              <w:left w:val="nil"/>
              <w:bottom w:val="nil"/>
              <w:right w:val="nil"/>
            </w:tcBorders>
            <w:shd w:val="clear" w:color="D9D9D9" w:fill="D9D9D9"/>
            <w:noWrap/>
            <w:vAlign w:val="bottom"/>
            <w:hideMark/>
          </w:tcPr>
          <w:p w14:paraId="28B46A0B"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6801</w:t>
            </w:r>
          </w:p>
        </w:tc>
        <w:tc>
          <w:tcPr>
            <w:tcW w:w="1335" w:type="dxa"/>
            <w:gridSpan w:val="2"/>
            <w:tcBorders>
              <w:top w:val="nil"/>
              <w:left w:val="nil"/>
              <w:bottom w:val="nil"/>
              <w:right w:val="nil"/>
            </w:tcBorders>
            <w:shd w:val="clear" w:color="D9D9D9" w:fill="D9D9D9"/>
            <w:noWrap/>
            <w:vAlign w:val="bottom"/>
            <w:hideMark/>
          </w:tcPr>
          <w:p w14:paraId="2C54FFAA"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6801</w:t>
            </w:r>
          </w:p>
        </w:tc>
      </w:tr>
      <w:tr w:rsidR="003B6893" w:rsidRPr="00B77038" w14:paraId="0AB8BBB5" w14:textId="77777777" w:rsidTr="00FC6147">
        <w:trPr>
          <w:trHeight w:val="295"/>
        </w:trPr>
        <w:tc>
          <w:tcPr>
            <w:tcW w:w="3001" w:type="dxa"/>
            <w:tcBorders>
              <w:top w:val="nil"/>
              <w:left w:val="nil"/>
              <w:bottom w:val="nil"/>
              <w:right w:val="nil"/>
            </w:tcBorders>
            <w:shd w:val="clear" w:color="auto" w:fill="auto"/>
            <w:noWrap/>
            <w:vAlign w:val="bottom"/>
            <w:hideMark/>
          </w:tcPr>
          <w:p w14:paraId="759DFD11" w14:textId="77777777" w:rsidR="003B6893" w:rsidRPr="00B77038" w:rsidRDefault="003B6893"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R-sq</w:t>
            </w:r>
          </w:p>
        </w:tc>
        <w:tc>
          <w:tcPr>
            <w:tcW w:w="1047" w:type="dxa"/>
            <w:gridSpan w:val="2"/>
            <w:tcBorders>
              <w:top w:val="nil"/>
              <w:left w:val="nil"/>
              <w:bottom w:val="nil"/>
              <w:right w:val="nil"/>
            </w:tcBorders>
            <w:shd w:val="clear" w:color="auto" w:fill="auto"/>
            <w:noWrap/>
            <w:vAlign w:val="bottom"/>
            <w:hideMark/>
          </w:tcPr>
          <w:p w14:paraId="49025EE6"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0.526</w:t>
            </w:r>
          </w:p>
        </w:tc>
        <w:tc>
          <w:tcPr>
            <w:tcW w:w="1335" w:type="dxa"/>
            <w:gridSpan w:val="2"/>
            <w:tcBorders>
              <w:top w:val="nil"/>
              <w:left w:val="nil"/>
              <w:bottom w:val="nil"/>
              <w:right w:val="nil"/>
            </w:tcBorders>
            <w:shd w:val="clear" w:color="auto" w:fill="auto"/>
            <w:noWrap/>
            <w:vAlign w:val="bottom"/>
            <w:hideMark/>
          </w:tcPr>
          <w:p w14:paraId="7AFF82C8"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0.609</w:t>
            </w:r>
          </w:p>
        </w:tc>
        <w:tc>
          <w:tcPr>
            <w:tcW w:w="1335" w:type="dxa"/>
            <w:gridSpan w:val="2"/>
            <w:tcBorders>
              <w:top w:val="nil"/>
              <w:left w:val="nil"/>
              <w:bottom w:val="nil"/>
              <w:right w:val="nil"/>
            </w:tcBorders>
            <w:shd w:val="clear" w:color="auto" w:fill="auto"/>
            <w:noWrap/>
            <w:vAlign w:val="bottom"/>
            <w:hideMark/>
          </w:tcPr>
          <w:p w14:paraId="37491BB5"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0.629</w:t>
            </w:r>
          </w:p>
        </w:tc>
      </w:tr>
      <w:tr w:rsidR="003B6893" w:rsidRPr="00B77038" w14:paraId="369EBFB5" w14:textId="77777777" w:rsidTr="00FC6147">
        <w:trPr>
          <w:trHeight w:val="295"/>
        </w:trPr>
        <w:tc>
          <w:tcPr>
            <w:tcW w:w="3001" w:type="dxa"/>
            <w:tcBorders>
              <w:top w:val="nil"/>
              <w:left w:val="nil"/>
              <w:bottom w:val="nil"/>
              <w:right w:val="nil"/>
            </w:tcBorders>
            <w:shd w:val="clear" w:color="D9D9D9" w:fill="D9D9D9"/>
            <w:noWrap/>
            <w:vAlign w:val="bottom"/>
            <w:hideMark/>
          </w:tcPr>
          <w:p w14:paraId="6C05D722" w14:textId="77777777" w:rsidR="003B6893" w:rsidRPr="00B77038" w:rsidRDefault="003B6893"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adj. R-sq</w:t>
            </w:r>
          </w:p>
        </w:tc>
        <w:tc>
          <w:tcPr>
            <w:tcW w:w="1047" w:type="dxa"/>
            <w:gridSpan w:val="2"/>
            <w:tcBorders>
              <w:top w:val="nil"/>
              <w:left w:val="nil"/>
              <w:bottom w:val="nil"/>
              <w:right w:val="nil"/>
            </w:tcBorders>
            <w:shd w:val="clear" w:color="D9D9D9" w:fill="D9D9D9"/>
            <w:noWrap/>
            <w:vAlign w:val="bottom"/>
            <w:hideMark/>
          </w:tcPr>
          <w:p w14:paraId="371B1F06"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0.431</w:t>
            </w:r>
          </w:p>
        </w:tc>
        <w:tc>
          <w:tcPr>
            <w:tcW w:w="1335" w:type="dxa"/>
            <w:gridSpan w:val="2"/>
            <w:tcBorders>
              <w:top w:val="nil"/>
              <w:left w:val="nil"/>
              <w:bottom w:val="nil"/>
              <w:right w:val="nil"/>
            </w:tcBorders>
            <w:shd w:val="clear" w:color="D9D9D9" w:fill="D9D9D9"/>
            <w:noWrap/>
            <w:vAlign w:val="bottom"/>
            <w:hideMark/>
          </w:tcPr>
          <w:p w14:paraId="268203C5"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0.53</w:t>
            </w:r>
          </w:p>
        </w:tc>
        <w:tc>
          <w:tcPr>
            <w:tcW w:w="1335" w:type="dxa"/>
            <w:gridSpan w:val="2"/>
            <w:tcBorders>
              <w:top w:val="nil"/>
              <w:left w:val="nil"/>
              <w:bottom w:val="nil"/>
              <w:right w:val="nil"/>
            </w:tcBorders>
            <w:shd w:val="clear" w:color="D9D9D9" w:fill="D9D9D9"/>
            <w:noWrap/>
            <w:vAlign w:val="bottom"/>
            <w:hideMark/>
          </w:tcPr>
          <w:p w14:paraId="64D76731"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0.551</w:t>
            </w:r>
          </w:p>
        </w:tc>
      </w:tr>
      <w:tr w:rsidR="003B6893" w:rsidRPr="00B77038" w14:paraId="631B1136" w14:textId="77777777" w:rsidTr="00FC6147">
        <w:trPr>
          <w:trHeight w:val="295"/>
        </w:trPr>
        <w:tc>
          <w:tcPr>
            <w:tcW w:w="3001" w:type="dxa"/>
            <w:tcBorders>
              <w:top w:val="nil"/>
              <w:left w:val="nil"/>
              <w:bottom w:val="nil"/>
              <w:right w:val="nil"/>
            </w:tcBorders>
            <w:shd w:val="clear" w:color="auto" w:fill="auto"/>
            <w:noWrap/>
            <w:vAlign w:val="bottom"/>
            <w:hideMark/>
          </w:tcPr>
          <w:p w14:paraId="032D54BB" w14:textId="77777777" w:rsidR="003B6893" w:rsidRPr="00B77038" w:rsidRDefault="003B6893"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AIC</w:t>
            </w:r>
          </w:p>
        </w:tc>
        <w:tc>
          <w:tcPr>
            <w:tcW w:w="1047" w:type="dxa"/>
            <w:gridSpan w:val="2"/>
            <w:tcBorders>
              <w:top w:val="nil"/>
              <w:left w:val="nil"/>
              <w:bottom w:val="nil"/>
              <w:right w:val="nil"/>
            </w:tcBorders>
            <w:shd w:val="clear" w:color="auto" w:fill="auto"/>
            <w:noWrap/>
            <w:vAlign w:val="bottom"/>
            <w:hideMark/>
          </w:tcPr>
          <w:p w14:paraId="7D183277"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5618.2</w:t>
            </w:r>
          </w:p>
        </w:tc>
        <w:tc>
          <w:tcPr>
            <w:tcW w:w="1335" w:type="dxa"/>
            <w:gridSpan w:val="2"/>
            <w:tcBorders>
              <w:top w:val="nil"/>
              <w:left w:val="nil"/>
              <w:bottom w:val="nil"/>
              <w:right w:val="nil"/>
            </w:tcBorders>
            <w:shd w:val="clear" w:color="auto" w:fill="auto"/>
            <w:noWrap/>
            <w:vAlign w:val="bottom"/>
            <w:hideMark/>
          </w:tcPr>
          <w:p w14:paraId="245509B4"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4305.8</w:t>
            </w:r>
          </w:p>
        </w:tc>
        <w:tc>
          <w:tcPr>
            <w:tcW w:w="1335" w:type="dxa"/>
            <w:gridSpan w:val="2"/>
            <w:tcBorders>
              <w:top w:val="nil"/>
              <w:left w:val="nil"/>
              <w:bottom w:val="nil"/>
              <w:right w:val="nil"/>
            </w:tcBorders>
            <w:shd w:val="clear" w:color="auto" w:fill="auto"/>
            <w:noWrap/>
            <w:vAlign w:val="bottom"/>
            <w:hideMark/>
          </w:tcPr>
          <w:p w14:paraId="6D61FC5B"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3945.6</w:t>
            </w:r>
          </w:p>
        </w:tc>
      </w:tr>
      <w:tr w:rsidR="003B6893" w:rsidRPr="00B77038" w14:paraId="5BD8CB49" w14:textId="77777777" w:rsidTr="00FC6147">
        <w:trPr>
          <w:trHeight w:val="295"/>
        </w:trPr>
        <w:tc>
          <w:tcPr>
            <w:tcW w:w="3001" w:type="dxa"/>
            <w:tcBorders>
              <w:top w:val="nil"/>
              <w:left w:val="nil"/>
              <w:bottom w:val="single" w:sz="4" w:space="0" w:color="000000"/>
              <w:right w:val="nil"/>
            </w:tcBorders>
            <w:shd w:val="clear" w:color="D9D9D9" w:fill="D9D9D9"/>
            <w:noWrap/>
            <w:vAlign w:val="bottom"/>
            <w:hideMark/>
          </w:tcPr>
          <w:p w14:paraId="20704306" w14:textId="77777777" w:rsidR="003B6893" w:rsidRPr="00B77038" w:rsidRDefault="003B6893" w:rsidP="003B6893">
            <w:pPr>
              <w:spacing w:after="0" w:line="240" w:lineRule="auto"/>
              <w:rPr>
                <w:rFonts w:ascii="Calibri" w:eastAsia="Times New Roman" w:hAnsi="Calibri" w:cs="Calibri"/>
                <w:color w:val="000000"/>
              </w:rPr>
            </w:pPr>
            <w:r w:rsidRPr="00B77038">
              <w:rPr>
                <w:rFonts w:ascii="Calibri" w:eastAsia="Times New Roman" w:hAnsi="Calibri" w:cs="Calibri"/>
                <w:color w:val="000000"/>
              </w:rPr>
              <w:t>BIC</w:t>
            </w:r>
          </w:p>
        </w:tc>
        <w:tc>
          <w:tcPr>
            <w:tcW w:w="1047" w:type="dxa"/>
            <w:gridSpan w:val="2"/>
            <w:tcBorders>
              <w:top w:val="nil"/>
              <w:left w:val="nil"/>
              <w:bottom w:val="single" w:sz="4" w:space="0" w:color="000000"/>
              <w:right w:val="nil"/>
            </w:tcBorders>
            <w:shd w:val="clear" w:color="D9D9D9" w:fill="D9D9D9"/>
            <w:noWrap/>
            <w:vAlign w:val="bottom"/>
            <w:hideMark/>
          </w:tcPr>
          <w:p w14:paraId="0DC80111"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5645.5</w:t>
            </w:r>
          </w:p>
        </w:tc>
        <w:tc>
          <w:tcPr>
            <w:tcW w:w="1335" w:type="dxa"/>
            <w:gridSpan w:val="2"/>
            <w:tcBorders>
              <w:top w:val="nil"/>
              <w:left w:val="nil"/>
              <w:bottom w:val="single" w:sz="4" w:space="0" w:color="000000"/>
              <w:right w:val="nil"/>
            </w:tcBorders>
            <w:shd w:val="clear" w:color="D9D9D9" w:fill="D9D9D9"/>
            <w:noWrap/>
            <w:vAlign w:val="bottom"/>
            <w:hideMark/>
          </w:tcPr>
          <w:p w14:paraId="4CDDB261"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4333.1</w:t>
            </w:r>
          </w:p>
        </w:tc>
        <w:tc>
          <w:tcPr>
            <w:tcW w:w="1335" w:type="dxa"/>
            <w:gridSpan w:val="2"/>
            <w:tcBorders>
              <w:top w:val="nil"/>
              <w:left w:val="nil"/>
              <w:bottom w:val="single" w:sz="4" w:space="0" w:color="000000"/>
              <w:right w:val="nil"/>
            </w:tcBorders>
            <w:shd w:val="clear" w:color="D9D9D9" w:fill="D9D9D9"/>
            <w:noWrap/>
            <w:vAlign w:val="bottom"/>
            <w:hideMark/>
          </w:tcPr>
          <w:p w14:paraId="70111ED5" w14:textId="77777777" w:rsidR="003B6893" w:rsidRPr="00B77038" w:rsidRDefault="003B6893" w:rsidP="003B6893">
            <w:pPr>
              <w:spacing w:after="0" w:line="240" w:lineRule="auto"/>
              <w:jc w:val="right"/>
              <w:rPr>
                <w:rFonts w:ascii="Calibri" w:eastAsia="Times New Roman" w:hAnsi="Calibri" w:cs="Calibri"/>
                <w:color w:val="000000"/>
              </w:rPr>
            </w:pPr>
            <w:r w:rsidRPr="00B77038">
              <w:rPr>
                <w:rFonts w:ascii="Calibri" w:eastAsia="Times New Roman" w:hAnsi="Calibri" w:cs="Calibri"/>
                <w:color w:val="000000"/>
              </w:rPr>
              <w:t>3972.9</w:t>
            </w:r>
          </w:p>
        </w:tc>
      </w:tr>
    </w:tbl>
    <w:p w14:paraId="26FB9DBE" w14:textId="77777777" w:rsidR="003B6893" w:rsidRDefault="003B6893" w:rsidP="003B6893">
      <w:pPr>
        <w:pStyle w:val="NoSpacing"/>
        <w:rPr>
          <w:rFonts w:ascii="Times New Roman" w:hAnsi="Times New Roman" w:cs="Times New Roman"/>
          <w:sz w:val="20"/>
          <w:szCs w:val="20"/>
        </w:rPr>
      </w:pPr>
      <w:r w:rsidRPr="00C650CD">
        <w:rPr>
          <w:rFonts w:ascii="Times New Roman" w:hAnsi="Times New Roman" w:cs="Times New Roman"/>
          <w:sz w:val="20"/>
          <w:szCs w:val="20"/>
        </w:rPr>
        <w:t>Note</w:t>
      </w:r>
      <w:r>
        <w:rPr>
          <w:rFonts w:ascii="Times New Roman" w:hAnsi="Times New Roman" w:cs="Times New Roman"/>
          <w:sz w:val="20"/>
          <w:szCs w:val="20"/>
        </w:rPr>
        <w:t>s</w:t>
      </w:r>
      <w:r w:rsidRPr="00C650CD">
        <w:rPr>
          <w:rFonts w:ascii="Times New Roman" w:hAnsi="Times New Roman" w:cs="Times New Roman"/>
          <w:sz w:val="20"/>
          <w:szCs w:val="20"/>
        </w:rPr>
        <w:t>: additional building-level controls not shown. t statistics in parentheses.  * p&lt;0.10, ** p&lt;0.05, *** p&lt;0.01. Standard errors clustered by borough.</w:t>
      </w:r>
      <w:r>
        <w:rPr>
          <w:rFonts w:ascii="Times New Roman" w:hAnsi="Times New Roman" w:cs="Times New Roman"/>
          <w:sz w:val="20"/>
          <w:szCs w:val="20"/>
        </w:rPr>
        <w:t xml:space="preserve"> All regressions contain year-quarter dummies and census tract fixed effects.</w:t>
      </w:r>
    </w:p>
    <w:p w14:paraId="06B9155F" w14:textId="77777777" w:rsidR="00AE0D87" w:rsidRDefault="003B6893" w:rsidP="003C5EA8">
      <w:pPr>
        <w:rPr>
          <w:rFonts w:ascii="Times New Roman" w:hAnsi="Times New Roman" w:cs="Times New Roman"/>
          <w:b/>
          <w:bCs/>
          <w:sz w:val="24"/>
          <w:szCs w:val="24"/>
        </w:rPr>
      </w:pPr>
      <w:r>
        <w:rPr>
          <w:rFonts w:ascii="Times New Roman" w:hAnsi="Times New Roman" w:cs="Times New Roman"/>
          <w:b/>
          <w:bCs/>
          <w:sz w:val="24"/>
          <w:szCs w:val="24"/>
        </w:rPr>
        <w:br w:type="page"/>
      </w:r>
      <w:r w:rsidR="003C5EA8" w:rsidRPr="00FF00CF">
        <w:rPr>
          <w:rFonts w:ascii="Times New Roman" w:hAnsi="Times New Roman" w:cs="Times New Roman"/>
          <w:b/>
          <w:bCs/>
          <w:sz w:val="24"/>
          <w:szCs w:val="24"/>
        </w:rPr>
        <w:t xml:space="preserve">Table 6: Falsification Diff-n-Diff. </w:t>
      </w:r>
    </w:p>
    <w:p w14:paraId="72F58791" w14:textId="2E9E3737" w:rsidR="003C5EA8" w:rsidRPr="00FC6147" w:rsidRDefault="003C5EA8" w:rsidP="003C5EA8">
      <w:pPr>
        <w:rPr>
          <w:rFonts w:ascii="Times New Roman" w:hAnsi="Times New Roman" w:cs="Times New Roman"/>
          <w:sz w:val="24"/>
          <w:szCs w:val="24"/>
        </w:rPr>
      </w:pPr>
      <w:r w:rsidRPr="00FC6147">
        <w:rPr>
          <w:rFonts w:ascii="Times New Roman" w:hAnsi="Times New Roman" w:cs="Times New Roman"/>
          <w:sz w:val="24"/>
          <w:szCs w:val="24"/>
        </w:rPr>
        <w:t xml:space="preserve">A fake “post storm” dummy was created that was on Oct. 29, 2011 one year before the actual storm. Sample is from January 1, 2011 to Oct. 28, 2012. </w:t>
      </w:r>
      <w:r w:rsidR="00A26968" w:rsidRPr="00FC6147">
        <w:rPr>
          <w:rFonts w:ascii="Times New Roman" w:hAnsi="Times New Roman" w:cs="Times New Roman"/>
          <w:sz w:val="24"/>
          <w:szCs w:val="24"/>
        </w:rPr>
        <w:t>The “fake” treatment effect is statistically insignificant.</w:t>
      </w:r>
    </w:p>
    <w:p w14:paraId="505EC0A2" w14:textId="77777777" w:rsidR="003C5EA8" w:rsidRPr="00FF00CF" w:rsidRDefault="003C5EA8" w:rsidP="003C5EA8">
      <w:pPr>
        <w:rPr>
          <w:rFonts w:ascii="Times New Roman" w:hAnsi="Times New Roman" w:cs="Times New Roman"/>
          <w:b/>
          <w:bCs/>
          <w:sz w:val="24"/>
          <w:szCs w:val="24"/>
        </w:rPr>
      </w:pPr>
      <w:r w:rsidRPr="00FF00CF">
        <w:rPr>
          <w:rFonts w:ascii="Times New Roman" w:hAnsi="Times New Roman" w:cs="Times New Roman"/>
          <w:b/>
          <w:bCs/>
          <w:sz w:val="24"/>
          <w:szCs w:val="24"/>
        </w:rPr>
        <w:t>Dep. Var.: Ln(Price per square foot)</w:t>
      </w:r>
    </w:p>
    <w:tbl>
      <w:tblPr>
        <w:tblW w:w="6866" w:type="dxa"/>
        <w:tblLook w:val="04A0" w:firstRow="1" w:lastRow="0" w:firstColumn="1" w:lastColumn="0" w:noHBand="0" w:noVBand="1"/>
      </w:tblPr>
      <w:tblGrid>
        <w:gridCol w:w="3184"/>
        <w:gridCol w:w="1047"/>
        <w:gridCol w:w="1158"/>
        <w:gridCol w:w="177"/>
        <w:gridCol w:w="1158"/>
        <w:gridCol w:w="142"/>
      </w:tblGrid>
      <w:tr w:rsidR="003C5EA8" w:rsidRPr="00FF00CF" w14:paraId="3902EE39" w14:textId="77777777" w:rsidTr="00581AB1">
        <w:trPr>
          <w:trHeight w:val="310"/>
        </w:trPr>
        <w:tc>
          <w:tcPr>
            <w:tcW w:w="3184" w:type="dxa"/>
            <w:tcBorders>
              <w:top w:val="single" w:sz="4" w:space="0" w:color="000000"/>
              <w:left w:val="nil"/>
              <w:bottom w:val="single" w:sz="4" w:space="0" w:color="000000"/>
              <w:right w:val="nil"/>
            </w:tcBorders>
            <w:shd w:val="clear" w:color="auto" w:fill="auto"/>
            <w:noWrap/>
            <w:vAlign w:val="bottom"/>
            <w:hideMark/>
          </w:tcPr>
          <w:p w14:paraId="5E10E389" w14:textId="77777777" w:rsidR="003C5EA8" w:rsidRPr="00FF00CF" w:rsidRDefault="003C5EA8" w:rsidP="00581AB1">
            <w:pPr>
              <w:spacing w:after="0" w:line="240" w:lineRule="auto"/>
              <w:rPr>
                <w:rFonts w:ascii="Calibri" w:eastAsia="Times New Roman" w:hAnsi="Calibri" w:cs="Calibri"/>
                <w:b/>
                <w:bCs/>
                <w:color w:val="000000"/>
              </w:rPr>
            </w:pPr>
            <w:r w:rsidRPr="00FF00CF">
              <w:rPr>
                <w:rFonts w:ascii="Calibri" w:eastAsia="Times New Roman" w:hAnsi="Calibri" w:cs="Calibri"/>
                <w:b/>
                <w:bCs/>
                <w:color w:val="000000"/>
              </w:rPr>
              <w:t>Variable</w:t>
            </w:r>
          </w:p>
        </w:tc>
        <w:tc>
          <w:tcPr>
            <w:tcW w:w="1047" w:type="dxa"/>
            <w:tcBorders>
              <w:top w:val="single" w:sz="4" w:space="0" w:color="000000"/>
              <w:left w:val="nil"/>
              <w:bottom w:val="single" w:sz="4" w:space="0" w:color="000000"/>
              <w:right w:val="nil"/>
            </w:tcBorders>
            <w:shd w:val="clear" w:color="auto" w:fill="auto"/>
            <w:noWrap/>
            <w:vAlign w:val="bottom"/>
            <w:hideMark/>
          </w:tcPr>
          <w:p w14:paraId="48F5F30F" w14:textId="77777777" w:rsidR="003C5EA8" w:rsidRPr="00FF00CF" w:rsidRDefault="003C5EA8" w:rsidP="00581AB1">
            <w:pPr>
              <w:spacing w:after="0" w:line="240" w:lineRule="auto"/>
              <w:jc w:val="center"/>
              <w:rPr>
                <w:rFonts w:ascii="Calibri" w:eastAsia="Times New Roman" w:hAnsi="Calibri" w:cs="Calibri"/>
                <w:b/>
                <w:bCs/>
                <w:color w:val="000000"/>
              </w:rPr>
            </w:pPr>
            <w:r w:rsidRPr="00FF00CF">
              <w:rPr>
                <w:rFonts w:ascii="Calibri" w:eastAsia="Times New Roman" w:hAnsi="Calibri" w:cs="Calibri"/>
                <w:b/>
                <w:bCs/>
                <w:color w:val="000000"/>
              </w:rPr>
              <w:t>(1)</w:t>
            </w:r>
          </w:p>
        </w:tc>
        <w:tc>
          <w:tcPr>
            <w:tcW w:w="1335" w:type="dxa"/>
            <w:gridSpan w:val="2"/>
            <w:tcBorders>
              <w:top w:val="single" w:sz="4" w:space="0" w:color="000000"/>
              <w:left w:val="nil"/>
              <w:bottom w:val="single" w:sz="4" w:space="0" w:color="000000"/>
              <w:right w:val="nil"/>
            </w:tcBorders>
            <w:shd w:val="clear" w:color="auto" w:fill="auto"/>
            <w:noWrap/>
            <w:vAlign w:val="bottom"/>
            <w:hideMark/>
          </w:tcPr>
          <w:p w14:paraId="1E7A5CB2" w14:textId="77777777" w:rsidR="003C5EA8" w:rsidRPr="00FF00CF" w:rsidRDefault="003C5EA8" w:rsidP="00581AB1">
            <w:pPr>
              <w:spacing w:after="0" w:line="240" w:lineRule="auto"/>
              <w:jc w:val="center"/>
              <w:rPr>
                <w:rFonts w:ascii="Calibri" w:eastAsia="Times New Roman" w:hAnsi="Calibri" w:cs="Calibri"/>
                <w:b/>
                <w:bCs/>
                <w:color w:val="000000"/>
              </w:rPr>
            </w:pPr>
            <w:r w:rsidRPr="00FF00CF">
              <w:rPr>
                <w:rFonts w:ascii="Calibri" w:eastAsia="Times New Roman" w:hAnsi="Calibri" w:cs="Calibri"/>
                <w:b/>
                <w:bCs/>
                <w:color w:val="000000"/>
              </w:rPr>
              <w:t>(2)</w:t>
            </w:r>
          </w:p>
        </w:tc>
        <w:tc>
          <w:tcPr>
            <w:tcW w:w="1300" w:type="dxa"/>
            <w:gridSpan w:val="2"/>
            <w:tcBorders>
              <w:top w:val="single" w:sz="4" w:space="0" w:color="000000"/>
              <w:left w:val="nil"/>
              <w:bottom w:val="single" w:sz="4" w:space="0" w:color="000000"/>
              <w:right w:val="nil"/>
            </w:tcBorders>
            <w:shd w:val="clear" w:color="auto" w:fill="auto"/>
            <w:noWrap/>
            <w:vAlign w:val="bottom"/>
            <w:hideMark/>
          </w:tcPr>
          <w:p w14:paraId="5742CEC3" w14:textId="77777777" w:rsidR="003C5EA8" w:rsidRPr="00FF00CF" w:rsidRDefault="003C5EA8" w:rsidP="00581AB1">
            <w:pPr>
              <w:spacing w:after="0" w:line="240" w:lineRule="auto"/>
              <w:jc w:val="center"/>
              <w:rPr>
                <w:rFonts w:ascii="Calibri" w:eastAsia="Times New Roman" w:hAnsi="Calibri" w:cs="Calibri"/>
                <w:b/>
                <w:bCs/>
                <w:color w:val="000000"/>
              </w:rPr>
            </w:pPr>
            <w:r w:rsidRPr="00FF00CF">
              <w:rPr>
                <w:rFonts w:ascii="Calibri" w:eastAsia="Times New Roman" w:hAnsi="Calibri" w:cs="Calibri"/>
                <w:b/>
                <w:bCs/>
                <w:color w:val="000000"/>
              </w:rPr>
              <w:t>(3)</w:t>
            </w:r>
          </w:p>
        </w:tc>
      </w:tr>
      <w:tr w:rsidR="003C5EA8" w:rsidRPr="00FF00CF" w14:paraId="09C07D2C" w14:textId="77777777" w:rsidTr="00581AB1">
        <w:trPr>
          <w:trHeight w:val="295"/>
        </w:trPr>
        <w:tc>
          <w:tcPr>
            <w:tcW w:w="3184" w:type="dxa"/>
            <w:tcBorders>
              <w:top w:val="nil"/>
              <w:left w:val="nil"/>
              <w:bottom w:val="nil"/>
              <w:right w:val="nil"/>
            </w:tcBorders>
            <w:shd w:val="clear" w:color="D9D9D9" w:fill="D9D9D9"/>
            <w:noWrap/>
            <w:vAlign w:val="center"/>
            <w:hideMark/>
          </w:tcPr>
          <w:p w14:paraId="4079E350" w14:textId="77777777" w:rsidR="003C5EA8" w:rsidRPr="00FF00CF" w:rsidRDefault="003C5EA8" w:rsidP="00581AB1">
            <w:pPr>
              <w:spacing w:after="0" w:line="240" w:lineRule="auto"/>
              <w:rPr>
                <w:rFonts w:ascii="Calibri" w:eastAsia="Times New Roman" w:hAnsi="Calibri" w:cs="Calibri"/>
                <w:color w:val="000000"/>
              </w:rPr>
            </w:pPr>
            <w:r w:rsidRPr="00FF00CF">
              <w:rPr>
                <w:rFonts w:ascii="Calibri" w:eastAsia="Times New Roman" w:hAnsi="Calibri" w:cs="Calibri"/>
                <w:color w:val="000000"/>
              </w:rPr>
              <w:t>Dist</w:t>
            </w:r>
            <w:r>
              <w:rPr>
                <w:rFonts w:ascii="Calibri" w:eastAsia="Times New Roman" w:hAnsi="Calibri" w:cs="Calibri"/>
                <w:color w:val="000000"/>
              </w:rPr>
              <w:t>.</w:t>
            </w:r>
            <w:r w:rsidRPr="00FF00CF">
              <w:rPr>
                <w:rFonts w:ascii="Calibri" w:eastAsia="Times New Roman" w:hAnsi="Calibri" w:cs="Calibri"/>
                <w:color w:val="000000"/>
              </w:rPr>
              <w:t xml:space="preserve"> Sandy (miles) x Post29Oct2011</w:t>
            </w:r>
          </w:p>
        </w:tc>
        <w:tc>
          <w:tcPr>
            <w:tcW w:w="1047" w:type="dxa"/>
            <w:tcBorders>
              <w:top w:val="nil"/>
              <w:left w:val="nil"/>
              <w:bottom w:val="nil"/>
              <w:right w:val="nil"/>
            </w:tcBorders>
            <w:shd w:val="clear" w:color="D9D9D9" w:fill="D9D9D9"/>
            <w:noWrap/>
            <w:vAlign w:val="bottom"/>
            <w:hideMark/>
          </w:tcPr>
          <w:p w14:paraId="1F124F67"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0.0174</w:t>
            </w:r>
          </w:p>
        </w:tc>
        <w:tc>
          <w:tcPr>
            <w:tcW w:w="1335" w:type="dxa"/>
            <w:gridSpan w:val="2"/>
            <w:tcBorders>
              <w:top w:val="nil"/>
              <w:left w:val="nil"/>
              <w:bottom w:val="nil"/>
              <w:right w:val="nil"/>
            </w:tcBorders>
            <w:shd w:val="clear" w:color="D9D9D9" w:fill="D9D9D9"/>
            <w:noWrap/>
            <w:vAlign w:val="bottom"/>
            <w:hideMark/>
          </w:tcPr>
          <w:p w14:paraId="1C7CE601"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0.00257</w:t>
            </w:r>
          </w:p>
        </w:tc>
        <w:tc>
          <w:tcPr>
            <w:tcW w:w="1300" w:type="dxa"/>
            <w:gridSpan w:val="2"/>
            <w:tcBorders>
              <w:top w:val="nil"/>
              <w:left w:val="nil"/>
              <w:bottom w:val="nil"/>
              <w:right w:val="nil"/>
            </w:tcBorders>
            <w:shd w:val="clear" w:color="D9D9D9" w:fill="D9D9D9"/>
            <w:noWrap/>
            <w:vAlign w:val="bottom"/>
            <w:hideMark/>
          </w:tcPr>
          <w:p w14:paraId="7E90880E"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0.000599</w:t>
            </w:r>
          </w:p>
        </w:tc>
      </w:tr>
      <w:tr w:rsidR="003C5EA8" w:rsidRPr="00FF00CF" w14:paraId="5FD99EA8" w14:textId="77777777" w:rsidTr="00581AB1">
        <w:trPr>
          <w:trHeight w:val="295"/>
        </w:trPr>
        <w:tc>
          <w:tcPr>
            <w:tcW w:w="3184" w:type="dxa"/>
            <w:tcBorders>
              <w:top w:val="nil"/>
              <w:left w:val="nil"/>
              <w:bottom w:val="nil"/>
              <w:right w:val="nil"/>
            </w:tcBorders>
            <w:shd w:val="clear" w:color="auto" w:fill="auto"/>
            <w:noWrap/>
            <w:vAlign w:val="bottom"/>
            <w:hideMark/>
          </w:tcPr>
          <w:p w14:paraId="388EACAB" w14:textId="77777777" w:rsidR="003C5EA8" w:rsidRPr="00FF00CF" w:rsidRDefault="003C5EA8" w:rsidP="00581AB1">
            <w:pPr>
              <w:spacing w:after="0" w:line="240" w:lineRule="auto"/>
              <w:jc w:val="righ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14:paraId="5482F1FD"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(1.31)</w:t>
            </w:r>
          </w:p>
        </w:tc>
        <w:tc>
          <w:tcPr>
            <w:tcW w:w="1335" w:type="dxa"/>
            <w:gridSpan w:val="2"/>
            <w:tcBorders>
              <w:top w:val="nil"/>
              <w:left w:val="nil"/>
              <w:bottom w:val="nil"/>
              <w:right w:val="nil"/>
            </w:tcBorders>
            <w:shd w:val="clear" w:color="auto" w:fill="auto"/>
            <w:noWrap/>
            <w:vAlign w:val="bottom"/>
            <w:hideMark/>
          </w:tcPr>
          <w:p w14:paraId="3E8A56E5"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(0.16)</w:t>
            </w:r>
          </w:p>
        </w:tc>
        <w:tc>
          <w:tcPr>
            <w:tcW w:w="1300" w:type="dxa"/>
            <w:gridSpan w:val="2"/>
            <w:tcBorders>
              <w:top w:val="nil"/>
              <w:left w:val="nil"/>
              <w:bottom w:val="nil"/>
              <w:right w:val="nil"/>
            </w:tcBorders>
            <w:shd w:val="clear" w:color="auto" w:fill="auto"/>
            <w:noWrap/>
            <w:vAlign w:val="bottom"/>
            <w:hideMark/>
          </w:tcPr>
          <w:p w14:paraId="5C345CD1"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(0.04)</w:t>
            </w:r>
          </w:p>
        </w:tc>
      </w:tr>
      <w:tr w:rsidR="003C5EA8" w:rsidRPr="00FF00CF" w14:paraId="553970D9" w14:textId="77777777" w:rsidTr="00581AB1">
        <w:trPr>
          <w:trHeight w:val="295"/>
        </w:trPr>
        <w:tc>
          <w:tcPr>
            <w:tcW w:w="3184" w:type="dxa"/>
            <w:tcBorders>
              <w:top w:val="nil"/>
              <w:left w:val="nil"/>
              <w:bottom w:val="nil"/>
              <w:right w:val="nil"/>
            </w:tcBorders>
            <w:shd w:val="clear" w:color="D9D9D9" w:fill="D9D9D9"/>
            <w:noWrap/>
            <w:vAlign w:val="center"/>
            <w:hideMark/>
          </w:tcPr>
          <w:p w14:paraId="3AA87FFA" w14:textId="77777777" w:rsidR="003C5EA8" w:rsidRPr="00FF00CF" w:rsidRDefault="003C5EA8" w:rsidP="00581AB1">
            <w:pPr>
              <w:spacing w:after="0" w:line="240" w:lineRule="auto"/>
              <w:rPr>
                <w:rFonts w:ascii="Calibri" w:eastAsia="Times New Roman" w:hAnsi="Calibri" w:cs="Calibri"/>
                <w:color w:val="000000"/>
              </w:rPr>
            </w:pPr>
            <w:r w:rsidRPr="00FF00CF">
              <w:rPr>
                <w:rFonts w:ascii="Calibri" w:eastAsia="Times New Roman" w:hAnsi="Calibri" w:cs="Calibri"/>
                <w:color w:val="000000"/>
              </w:rPr>
              <w:t>Dist. to FEMA (miles</w:t>
            </w:r>
          </w:p>
        </w:tc>
        <w:tc>
          <w:tcPr>
            <w:tcW w:w="1047" w:type="dxa"/>
            <w:tcBorders>
              <w:top w:val="nil"/>
              <w:left w:val="nil"/>
              <w:bottom w:val="nil"/>
              <w:right w:val="nil"/>
            </w:tcBorders>
            <w:shd w:val="clear" w:color="D9D9D9" w:fill="D9D9D9"/>
            <w:noWrap/>
            <w:vAlign w:val="bottom"/>
            <w:hideMark/>
          </w:tcPr>
          <w:p w14:paraId="6D4277B4"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-0.0346</w:t>
            </w:r>
          </w:p>
        </w:tc>
        <w:tc>
          <w:tcPr>
            <w:tcW w:w="1335" w:type="dxa"/>
            <w:gridSpan w:val="2"/>
            <w:tcBorders>
              <w:top w:val="nil"/>
              <w:left w:val="nil"/>
              <w:bottom w:val="nil"/>
              <w:right w:val="nil"/>
            </w:tcBorders>
            <w:shd w:val="clear" w:color="D9D9D9" w:fill="D9D9D9"/>
            <w:noWrap/>
            <w:vAlign w:val="bottom"/>
            <w:hideMark/>
          </w:tcPr>
          <w:p w14:paraId="29F72516"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-0.019</w:t>
            </w:r>
          </w:p>
        </w:tc>
        <w:tc>
          <w:tcPr>
            <w:tcW w:w="1300" w:type="dxa"/>
            <w:gridSpan w:val="2"/>
            <w:tcBorders>
              <w:top w:val="nil"/>
              <w:left w:val="nil"/>
              <w:bottom w:val="nil"/>
              <w:right w:val="nil"/>
            </w:tcBorders>
            <w:shd w:val="clear" w:color="D9D9D9" w:fill="D9D9D9"/>
            <w:noWrap/>
            <w:vAlign w:val="bottom"/>
            <w:hideMark/>
          </w:tcPr>
          <w:p w14:paraId="095677AA"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 xml:space="preserve">-0.0717** </w:t>
            </w:r>
          </w:p>
        </w:tc>
      </w:tr>
      <w:tr w:rsidR="003C5EA8" w:rsidRPr="00FF00CF" w14:paraId="06C592CC" w14:textId="77777777" w:rsidTr="00581AB1">
        <w:trPr>
          <w:trHeight w:val="295"/>
        </w:trPr>
        <w:tc>
          <w:tcPr>
            <w:tcW w:w="3184" w:type="dxa"/>
            <w:tcBorders>
              <w:top w:val="nil"/>
              <w:left w:val="nil"/>
              <w:bottom w:val="nil"/>
              <w:right w:val="nil"/>
            </w:tcBorders>
            <w:shd w:val="clear" w:color="auto" w:fill="auto"/>
            <w:noWrap/>
            <w:vAlign w:val="bottom"/>
            <w:hideMark/>
          </w:tcPr>
          <w:p w14:paraId="17AB2899" w14:textId="77777777" w:rsidR="003C5EA8" w:rsidRPr="00FF00CF" w:rsidRDefault="003C5EA8" w:rsidP="00581AB1">
            <w:pPr>
              <w:spacing w:after="0" w:line="240" w:lineRule="auto"/>
              <w:jc w:val="righ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14:paraId="1C414169"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(1.40)</w:t>
            </w:r>
          </w:p>
        </w:tc>
        <w:tc>
          <w:tcPr>
            <w:tcW w:w="1335" w:type="dxa"/>
            <w:gridSpan w:val="2"/>
            <w:tcBorders>
              <w:top w:val="nil"/>
              <w:left w:val="nil"/>
              <w:bottom w:val="nil"/>
              <w:right w:val="nil"/>
            </w:tcBorders>
            <w:shd w:val="clear" w:color="auto" w:fill="auto"/>
            <w:noWrap/>
            <w:vAlign w:val="bottom"/>
            <w:hideMark/>
          </w:tcPr>
          <w:p w14:paraId="0E772C18"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(0.83)</w:t>
            </w:r>
          </w:p>
        </w:tc>
        <w:tc>
          <w:tcPr>
            <w:tcW w:w="1300" w:type="dxa"/>
            <w:gridSpan w:val="2"/>
            <w:tcBorders>
              <w:top w:val="nil"/>
              <w:left w:val="nil"/>
              <w:bottom w:val="nil"/>
              <w:right w:val="nil"/>
            </w:tcBorders>
            <w:shd w:val="clear" w:color="auto" w:fill="auto"/>
            <w:noWrap/>
            <w:vAlign w:val="bottom"/>
            <w:hideMark/>
          </w:tcPr>
          <w:p w14:paraId="0CE34B1F"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(2.86)</w:t>
            </w:r>
          </w:p>
        </w:tc>
      </w:tr>
      <w:tr w:rsidR="003C5EA8" w:rsidRPr="00FF00CF" w14:paraId="32D1069E" w14:textId="77777777" w:rsidTr="00581AB1">
        <w:trPr>
          <w:trHeight w:val="295"/>
        </w:trPr>
        <w:tc>
          <w:tcPr>
            <w:tcW w:w="3184" w:type="dxa"/>
            <w:tcBorders>
              <w:top w:val="nil"/>
              <w:left w:val="nil"/>
              <w:bottom w:val="nil"/>
              <w:right w:val="nil"/>
            </w:tcBorders>
            <w:shd w:val="clear" w:color="D9D9D9" w:fill="D9D9D9"/>
            <w:noWrap/>
            <w:vAlign w:val="center"/>
            <w:hideMark/>
          </w:tcPr>
          <w:p w14:paraId="649D47DE" w14:textId="77777777" w:rsidR="003C5EA8" w:rsidRPr="00FF00CF" w:rsidRDefault="003C5EA8" w:rsidP="00581AB1">
            <w:pPr>
              <w:spacing w:after="0" w:line="240" w:lineRule="auto"/>
              <w:rPr>
                <w:rFonts w:ascii="Calibri" w:eastAsia="Times New Roman" w:hAnsi="Calibri" w:cs="Calibri"/>
                <w:color w:val="000000"/>
              </w:rPr>
            </w:pPr>
            <w:r w:rsidRPr="00FF00CF">
              <w:rPr>
                <w:rFonts w:ascii="Calibri" w:eastAsia="Times New Roman" w:hAnsi="Calibri" w:cs="Calibri"/>
                <w:color w:val="000000"/>
              </w:rPr>
              <w:t>ln(# units)</w:t>
            </w:r>
          </w:p>
        </w:tc>
        <w:tc>
          <w:tcPr>
            <w:tcW w:w="1047" w:type="dxa"/>
            <w:tcBorders>
              <w:top w:val="nil"/>
              <w:left w:val="nil"/>
              <w:bottom w:val="nil"/>
              <w:right w:val="nil"/>
            </w:tcBorders>
            <w:shd w:val="clear" w:color="D9D9D9" w:fill="D9D9D9"/>
            <w:noWrap/>
            <w:vAlign w:val="bottom"/>
            <w:hideMark/>
          </w:tcPr>
          <w:p w14:paraId="00DAEC7D" w14:textId="77777777" w:rsidR="003C5EA8" w:rsidRPr="00FF00CF" w:rsidRDefault="003C5EA8" w:rsidP="00581AB1">
            <w:pPr>
              <w:spacing w:after="0" w:line="240" w:lineRule="auto"/>
              <w:rPr>
                <w:rFonts w:ascii="Calibri" w:eastAsia="Times New Roman" w:hAnsi="Calibri" w:cs="Calibri"/>
                <w:color w:val="000000"/>
              </w:rPr>
            </w:pPr>
          </w:p>
        </w:tc>
        <w:tc>
          <w:tcPr>
            <w:tcW w:w="1335" w:type="dxa"/>
            <w:gridSpan w:val="2"/>
            <w:tcBorders>
              <w:top w:val="nil"/>
              <w:left w:val="nil"/>
              <w:bottom w:val="nil"/>
              <w:right w:val="nil"/>
            </w:tcBorders>
            <w:shd w:val="clear" w:color="D9D9D9" w:fill="D9D9D9"/>
            <w:noWrap/>
            <w:vAlign w:val="bottom"/>
            <w:hideMark/>
          </w:tcPr>
          <w:p w14:paraId="69AF2CE8"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0.111***</w:t>
            </w:r>
          </w:p>
        </w:tc>
        <w:tc>
          <w:tcPr>
            <w:tcW w:w="1300" w:type="dxa"/>
            <w:gridSpan w:val="2"/>
            <w:tcBorders>
              <w:top w:val="nil"/>
              <w:left w:val="nil"/>
              <w:bottom w:val="nil"/>
              <w:right w:val="nil"/>
            </w:tcBorders>
            <w:shd w:val="clear" w:color="D9D9D9" w:fill="D9D9D9"/>
            <w:noWrap/>
            <w:vAlign w:val="bottom"/>
            <w:hideMark/>
          </w:tcPr>
          <w:p w14:paraId="005AB4A6"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0.345***</w:t>
            </w:r>
          </w:p>
        </w:tc>
      </w:tr>
      <w:tr w:rsidR="003C5EA8" w:rsidRPr="00FF00CF" w14:paraId="090C1F92" w14:textId="77777777" w:rsidTr="00581AB1">
        <w:trPr>
          <w:trHeight w:val="295"/>
        </w:trPr>
        <w:tc>
          <w:tcPr>
            <w:tcW w:w="3184" w:type="dxa"/>
            <w:tcBorders>
              <w:top w:val="nil"/>
              <w:left w:val="nil"/>
              <w:bottom w:val="nil"/>
              <w:right w:val="nil"/>
            </w:tcBorders>
            <w:shd w:val="clear" w:color="auto" w:fill="auto"/>
            <w:noWrap/>
            <w:vAlign w:val="bottom"/>
            <w:hideMark/>
          </w:tcPr>
          <w:p w14:paraId="17F7ABBA" w14:textId="77777777" w:rsidR="003C5EA8" w:rsidRPr="00FF00CF" w:rsidRDefault="003C5EA8" w:rsidP="00581AB1">
            <w:pPr>
              <w:spacing w:after="0" w:line="240" w:lineRule="auto"/>
              <w:jc w:val="righ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14:paraId="1383B5A5" w14:textId="77777777" w:rsidR="003C5EA8" w:rsidRPr="00FF00CF" w:rsidRDefault="003C5EA8" w:rsidP="00581AB1">
            <w:pPr>
              <w:spacing w:after="0" w:line="240" w:lineRule="auto"/>
              <w:rPr>
                <w:rFonts w:ascii="Times New Roman" w:eastAsia="Times New Roman" w:hAnsi="Times New Roman" w:cs="Times New Roman"/>
                <w:sz w:val="20"/>
                <w:szCs w:val="20"/>
              </w:rPr>
            </w:pPr>
          </w:p>
        </w:tc>
        <w:tc>
          <w:tcPr>
            <w:tcW w:w="1335" w:type="dxa"/>
            <w:gridSpan w:val="2"/>
            <w:tcBorders>
              <w:top w:val="nil"/>
              <w:left w:val="nil"/>
              <w:bottom w:val="nil"/>
              <w:right w:val="nil"/>
            </w:tcBorders>
            <w:shd w:val="clear" w:color="auto" w:fill="auto"/>
            <w:noWrap/>
            <w:vAlign w:val="bottom"/>
            <w:hideMark/>
          </w:tcPr>
          <w:p w14:paraId="3EDC41D3"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(4.79)</w:t>
            </w:r>
          </w:p>
        </w:tc>
        <w:tc>
          <w:tcPr>
            <w:tcW w:w="1300" w:type="dxa"/>
            <w:gridSpan w:val="2"/>
            <w:tcBorders>
              <w:top w:val="nil"/>
              <w:left w:val="nil"/>
              <w:bottom w:val="nil"/>
              <w:right w:val="nil"/>
            </w:tcBorders>
            <w:shd w:val="clear" w:color="auto" w:fill="auto"/>
            <w:noWrap/>
            <w:vAlign w:val="bottom"/>
            <w:hideMark/>
          </w:tcPr>
          <w:p w14:paraId="22D60F0D"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(14.00)</w:t>
            </w:r>
          </w:p>
        </w:tc>
      </w:tr>
      <w:tr w:rsidR="003C5EA8" w:rsidRPr="00FF00CF" w14:paraId="3DAEF444" w14:textId="77777777" w:rsidTr="00581AB1">
        <w:trPr>
          <w:trHeight w:val="295"/>
        </w:trPr>
        <w:tc>
          <w:tcPr>
            <w:tcW w:w="3184" w:type="dxa"/>
            <w:tcBorders>
              <w:top w:val="nil"/>
              <w:left w:val="nil"/>
              <w:bottom w:val="nil"/>
              <w:right w:val="nil"/>
            </w:tcBorders>
            <w:shd w:val="clear" w:color="D9D9D9" w:fill="D9D9D9"/>
            <w:noWrap/>
            <w:vAlign w:val="center"/>
            <w:hideMark/>
          </w:tcPr>
          <w:p w14:paraId="3123E035" w14:textId="77777777" w:rsidR="003C5EA8" w:rsidRPr="00FF00CF" w:rsidRDefault="003C5EA8" w:rsidP="00581AB1">
            <w:pPr>
              <w:spacing w:after="0" w:line="240" w:lineRule="auto"/>
              <w:rPr>
                <w:rFonts w:ascii="Calibri" w:eastAsia="Times New Roman" w:hAnsi="Calibri" w:cs="Calibri"/>
                <w:color w:val="000000"/>
              </w:rPr>
            </w:pPr>
            <w:r w:rsidRPr="00FF00CF">
              <w:rPr>
                <w:rFonts w:ascii="Calibri" w:eastAsia="Times New Roman" w:hAnsi="Calibri" w:cs="Calibri"/>
                <w:color w:val="000000"/>
              </w:rPr>
              <w:t>ln(land area)</w:t>
            </w:r>
          </w:p>
        </w:tc>
        <w:tc>
          <w:tcPr>
            <w:tcW w:w="1047" w:type="dxa"/>
            <w:tcBorders>
              <w:top w:val="nil"/>
              <w:left w:val="nil"/>
              <w:bottom w:val="nil"/>
              <w:right w:val="nil"/>
            </w:tcBorders>
            <w:shd w:val="clear" w:color="D9D9D9" w:fill="D9D9D9"/>
            <w:noWrap/>
            <w:vAlign w:val="bottom"/>
            <w:hideMark/>
          </w:tcPr>
          <w:p w14:paraId="485D259F" w14:textId="77777777" w:rsidR="003C5EA8" w:rsidRPr="00FF00CF" w:rsidRDefault="003C5EA8" w:rsidP="00581AB1">
            <w:pPr>
              <w:spacing w:after="0" w:line="240" w:lineRule="auto"/>
              <w:rPr>
                <w:rFonts w:ascii="Calibri" w:eastAsia="Times New Roman" w:hAnsi="Calibri" w:cs="Calibri"/>
                <w:color w:val="000000"/>
              </w:rPr>
            </w:pPr>
          </w:p>
        </w:tc>
        <w:tc>
          <w:tcPr>
            <w:tcW w:w="1335" w:type="dxa"/>
            <w:gridSpan w:val="2"/>
            <w:tcBorders>
              <w:top w:val="nil"/>
              <w:left w:val="nil"/>
              <w:bottom w:val="nil"/>
              <w:right w:val="nil"/>
            </w:tcBorders>
            <w:shd w:val="clear" w:color="D9D9D9" w:fill="D9D9D9"/>
            <w:noWrap/>
            <w:vAlign w:val="bottom"/>
            <w:hideMark/>
          </w:tcPr>
          <w:p w14:paraId="387932D5"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0.243***</w:t>
            </w:r>
          </w:p>
        </w:tc>
        <w:tc>
          <w:tcPr>
            <w:tcW w:w="1300" w:type="dxa"/>
            <w:gridSpan w:val="2"/>
            <w:tcBorders>
              <w:top w:val="nil"/>
              <w:left w:val="nil"/>
              <w:bottom w:val="nil"/>
              <w:right w:val="nil"/>
            </w:tcBorders>
            <w:shd w:val="clear" w:color="D9D9D9" w:fill="D9D9D9"/>
            <w:noWrap/>
            <w:vAlign w:val="bottom"/>
            <w:hideMark/>
          </w:tcPr>
          <w:p w14:paraId="1C9FE8B4"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0.181***</w:t>
            </w:r>
          </w:p>
        </w:tc>
      </w:tr>
      <w:tr w:rsidR="003C5EA8" w:rsidRPr="00FF00CF" w14:paraId="6C20012A" w14:textId="77777777" w:rsidTr="00581AB1">
        <w:trPr>
          <w:trHeight w:val="295"/>
        </w:trPr>
        <w:tc>
          <w:tcPr>
            <w:tcW w:w="3184" w:type="dxa"/>
            <w:tcBorders>
              <w:top w:val="nil"/>
              <w:left w:val="nil"/>
              <w:bottom w:val="nil"/>
              <w:right w:val="nil"/>
            </w:tcBorders>
            <w:shd w:val="clear" w:color="auto" w:fill="auto"/>
            <w:noWrap/>
            <w:vAlign w:val="bottom"/>
            <w:hideMark/>
          </w:tcPr>
          <w:p w14:paraId="7BDDBB5A" w14:textId="77777777" w:rsidR="003C5EA8" w:rsidRPr="00FF00CF" w:rsidRDefault="003C5EA8" w:rsidP="00581AB1">
            <w:pPr>
              <w:spacing w:after="0" w:line="240" w:lineRule="auto"/>
              <w:jc w:val="righ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14:paraId="0469660F" w14:textId="77777777" w:rsidR="003C5EA8" w:rsidRPr="00FF00CF" w:rsidRDefault="003C5EA8" w:rsidP="00581AB1">
            <w:pPr>
              <w:spacing w:after="0" w:line="240" w:lineRule="auto"/>
              <w:rPr>
                <w:rFonts w:ascii="Times New Roman" w:eastAsia="Times New Roman" w:hAnsi="Times New Roman" w:cs="Times New Roman"/>
                <w:sz w:val="20"/>
                <w:szCs w:val="20"/>
              </w:rPr>
            </w:pPr>
          </w:p>
        </w:tc>
        <w:tc>
          <w:tcPr>
            <w:tcW w:w="1335" w:type="dxa"/>
            <w:gridSpan w:val="2"/>
            <w:tcBorders>
              <w:top w:val="nil"/>
              <w:left w:val="nil"/>
              <w:bottom w:val="nil"/>
              <w:right w:val="nil"/>
            </w:tcBorders>
            <w:shd w:val="clear" w:color="auto" w:fill="auto"/>
            <w:noWrap/>
            <w:vAlign w:val="bottom"/>
            <w:hideMark/>
          </w:tcPr>
          <w:p w14:paraId="5A7CF263"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(14.18)</w:t>
            </w:r>
          </w:p>
        </w:tc>
        <w:tc>
          <w:tcPr>
            <w:tcW w:w="1300" w:type="dxa"/>
            <w:gridSpan w:val="2"/>
            <w:tcBorders>
              <w:top w:val="nil"/>
              <w:left w:val="nil"/>
              <w:bottom w:val="nil"/>
              <w:right w:val="nil"/>
            </w:tcBorders>
            <w:shd w:val="clear" w:color="auto" w:fill="auto"/>
            <w:noWrap/>
            <w:vAlign w:val="bottom"/>
            <w:hideMark/>
          </w:tcPr>
          <w:p w14:paraId="066BAEDD"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(19.19)</w:t>
            </w:r>
          </w:p>
        </w:tc>
      </w:tr>
      <w:tr w:rsidR="003C5EA8" w:rsidRPr="00FF00CF" w14:paraId="69B1F92B" w14:textId="77777777" w:rsidTr="00581AB1">
        <w:trPr>
          <w:trHeight w:val="295"/>
        </w:trPr>
        <w:tc>
          <w:tcPr>
            <w:tcW w:w="3184" w:type="dxa"/>
            <w:tcBorders>
              <w:top w:val="nil"/>
              <w:left w:val="nil"/>
              <w:bottom w:val="nil"/>
              <w:right w:val="nil"/>
            </w:tcBorders>
            <w:shd w:val="clear" w:color="D9D9D9" w:fill="D9D9D9"/>
            <w:noWrap/>
            <w:vAlign w:val="center"/>
            <w:hideMark/>
          </w:tcPr>
          <w:p w14:paraId="22D9A0E5" w14:textId="77777777" w:rsidR="003C5EA8" w:rsidRPr="00FF00CF" w:rsidRDefault="003C5EA8" w:rsidP="00581AB1">
            <w:pPr>
              <w:spacing w:after="0" w:line="240" w:lineRule="auto"/>
              <w:rPr>
                <w:rFonts w:ascii="Calibri" w:eastAsia="Times New Roman" w:hAnsi="Calibri" w:cs="Calibri"/>
                <w:color w:val="000000"/>
              </w:rPr>
            </w:pPr>
            <w:r w:rsidRPr="00FF00CF">
              <w:rPr>
                <w:rFonts w:ascii="Calibri" w:eastAsia="Times New Roman" w:hAnsi="Calibri" w:cs="Calibri"/>
                <w:color w:val="000000"/>
              </w:rPr>
              <w:t>ln(age)</w:t>
            </w:r>
          </w:p>
        </w:tc>
        <w:tc>
          <w:tcPr>
            <w:tcW w:w="1047" w:type="dxa"/>
            <w:tcBorders>
              <w:top w:val="nil"/>
              <w:left w:val="nil"/>
              <w:bottom w:val="nil"/>
              <w:right w:val="nil"/>
            </w:tcBorders>
            <w:shd w:val="clear" w:color="D9D9D9" w:fill="D9D9D9"/>
            <w:noWrap/>
            <w:vAlign w:val="bottom"/>
            <w:hideMark/>
          </w:tcPr>
          <w:p w14:paraId="11FE35C1" w14:textId="77777777" w:rsidR="003C5EA8" w:rsidRPr="00FF00CF" w:rsidRDefault="003C5EA8" w:rsidP="00581AB1">
            <w:pPr>
              <w:spacing w:after="0" w:line="240" w:lineRule="auto"/>
              <w:rPr>
                <w:rFonts w:ascii="Calibri" w:eastAsia="Times New Roman" w:hAnsi="Calibri" w:cs="Calibri"/>
                <w:color w:val="000000"/>
              </w:rPr>
            </w:pPr>
          </w:p>
        </w:tc>
        <w:tc>
          <w:tcPr>
            <w:tcW w:w="1335" w:type="dxa"/>
            <w:gridSpan w:val="2"/>
            <w:tcBorders>
              <w:top w:val="nil"/>
              <w:left w:val="nil"/>
              <w:bottom w:val="nil"/>
              <w:right w:val="nil"/>
            </w:tcBorders>
            <w:shd w:val="clear" w:color="D9D9D9" w:fill="D9D9D9"/>
            <w:noWrap/>
            <w:vAlign w:val="bottom"/>
            <w:hideMark/>
          </w:tcPr>
          <w:p w14:paraId="6060E84E"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-0.0641***</w:t>
            </w:r>
          </w:p>
        </w:tc>
        <w:tc>
          <w:tcPr>
            <w:tcW w:w="1300" w:type="dxa"/>
            <w:gridSpan w:val="2"/>
            <w:tcBorders>
              <w:top w:val="nil"/>
              <w:left w:val="nil"/>
              <w:bottom w:val="nil"/>
              <w:right w:val="nil"/>
            </w:tcBorders>
            <w:shd w:val="clear" w:color="D9D9D9" w:fill="D9D9D9"/>
            <w:noWrap/>
            <w:vAlign w:val="bottom"/>
            <w:hideMark/>
          </w:tcPr>
          <w:p w14:paraId="00BCE536"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-0.0826***</w:t>
            </w:r>
          </w:p>
        </w:tc>
      </w:tr>
      <w:tr w:rsidR="003C5EA8" w:rsidRPr="00FF00CF" w14:paraId="3BE4FEA8" w14:textId="77777777" w:rsidTr="00581AB1">
        <w:trPr>
          <w:trHeight w:val="295"/>
        </w:trPr>
        <w:tc>
          <w:tcPr>
            <w:tcW w:w="3184" w:type="dxa"/>
            <w:tcBorders>
              <w:top w:val="nil"/>
              <w:left w:val="nil"/>
              <w:bottom w:val="nil"/>
              <w:right w:val="nil"/>
            </w:tcBorders>
            <w:shd w:val="clear" w:color="auto" w:fill="auto"/>
            <w:noWrap/>
            <w:vAlign w:val="bottom"/>
            <w:hideMark/>
          </w:tcPr>
          <w:p w14:paraId="6BB0DB6F" w14:textId="77777777" w:rsidR="003C5EA8" w:rsidRPr="00FF00CF" w:rsidRDefault="003C5EA8" w:rsidP="00581AB1">
            <w:pPr>
              <w:spacing w:after="0" w:line="240" w:lineRule="auto"/>
              <w:jc w:val="righ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14:paraId="7ADF1D71" w14:textId="77777777" w:rsidR="003C5EA8" w:rsidRPr="00FF00CF" w:rsidRDefault="003C5EA8" w:rsidP="00581AB1">
            <w:pPr>
              <w:spacing w:after="0" w:line="240" w:lineRule="auto"/>
              <w:rPr>
                <w:rFonts w:ascii="Times New Roman" w:eastAsia="Times New Roman" w:hAnsi="Times New Roman" w:cs="Times New Roman"/>
                <w:sz w:val="20"/>
                <w:szCs w:val="20"/>
              </w:rPr>
            </w:pPr>
          </w:p>
        </w:tc>
        <w:tc>
          <w:tcPr>
            <w:tcW w:w="1335" w:type="dxa"/>
            <w:gridSpan w:val="2"/>
            <w:tcBorders>
              <w:top w:val="nil"/>
              <w:left w:val="nil"/>
              <w:bottom w:val="nil"/>
              <w:right w:val="nil"/>
            </w:tcBorders>
            <w:shd w:val="clear" w:color="auto" w:fill="auto"/>
            <w:noWrap/>
            <w:vAlign w:val="bottom"/>
            <w:hideMark/>
          </w:tcPr>
          <w:p w14:paraId="5C797C73"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(8.48)</w:t>
            </w:r>
          </w:p>
        </w:tc>
        <w:tc>
          <w:tcPr>
            <w:tcW w:w="1300" w:type="dxa"/>
            <w:gridSpan w:val="2"/>
            <w:tcBorders>
              <w:top w:val="nil"/>
              <w:left w:val="nil"/>
              <w:bottom w:val="nil"/>
              <w:right w:val="nil"/>
            </w:tcBorders>
            <w:shd w:val="clear" w:color="auto" w:fill="auto"/>
            <w:noWrap/>
            <w:vAlign w:val="bottom"/>
            <w:hideMark/>
          </w:tcPr>
          <w:p w14:paraId="3BA8201E"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(7.66)</w:t>
            </w:r>
          </w:p>
        </w:tc>
      </w:tr>
      <w:tr w:rsidR="003C5EA8" w:rsidRPr="00FF00CF" w14:paraId="6019E226" w14:textId="77777777" w:rsidTr="00581AB1">
        <w:trPr>
          <w:gridAfter w:val="1"/>
          <w:wAfter w:w="142" w:type="dxa"/>
          <w:trHeight w:val="295"/>
        </w:trPr>
        <w:tc>
          <w:tcPr>
            <w:tcW w:w="4231" w:type="dxa"/>
            <w:gridSpan w:val="2"/>
            <w:tcBorders>
              <w:top w:val="nil"/>
              <w:left w:val="nil"/>
              <w:bottom w:val="nil"/>
              <w:right w:val="nil"/>
            </w:tcBorders>
            <w:shd w:val="clear" w:color="D9D9D9" w:fill="D9D9D9"/>
            <w:noWrap/>
            <w:vAlign w:val="center"/>
            <w:hideMark/>
          </w:tcPr>
          <w:p w14:paraId="5B0A521D" w14:textId="613B8526" w:rsidR="003C5EA8" w:rsidRPr="00FF00CF" w:rsidRDefault="003C5EA8" w:rsidP="00581AB1">
            <w:pPr>
              <w:spacing w:after="0" w:line="240" w:lineRule="auto"/>
              <w:rPr>
                <w:rFonts w:ascii="Calibri" w:eastAsia="Times New Roman" w:hAnsi="Calibri" w:cs="Calibri"/>
                <w:color w:val="000000"/>
              </w:rPr>
            </w:pPr>
            <w:r w:rsidRPr="00FF00CF">
              <w:rPr>
                <w:rFonts w:ascii="Calibri" w:eastAsia="Times New Roman" w:hAnsi="Calibri" w:cs="Calibri"/>
                <w:color w:val="000000"/>
              </w:rPr>
              <w:t>ln(building area)</w:t>
            </w:r>
            <w:r w:rsidR="009F2364">
              <w:rPr>
                <w:rFonts w:ascii="Calibri" w:eastAsia="Times New Roman" w:hAnsi="Calibri" w:cs="Calibri"/>
                <w:color w:val="000000"/>
              </w:rPr>
              <w:t xml:space="preserve">  </w:t>
            </w:r>
          </w:p>
        </w:tc>
        <w:tc>
          <w:tcPr>
            <w:tcW w:w="1158" w:type="dxa"/>
            <w:tcBorders>
              <w:top w:val="nil"/>
              <w:left w:val="nil"/>
              <w:bottom w:val="nil"/>
              <w:right w:val="nil"/>
            </w:tcBorders>
            <w:shd w:val="clear" w:color="D9D9D9" w:fill="D9D9D9"/>
            <w:noWrap/>
            <w:vAlign w:val="bottom"/>
            <w:hideMark/>
          </w:tcPr>
          <w:p w14:paraId="35FD0FA2"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-0.547***</w:t>
            </w:r>
          </w:p>
        </w:tc>
        <w:tc>
          <w:tcPr>
            <w:tcW w:w="1335" w:type="dxa"/>
            <w:gridSpan w:val="2"/>
            <w:tcBorders>
              <w:top w:val="nil"/>
              <w:left w:val="nil"/>
              <w:bottom w:val="nil"/>
              <w:right w:val="nil"/>
            </w:tcBorders>
            <w:shd w:val="clear" w:color="D9D9D9" w:fill="D9D9D9"/>
            <w:noWrap/>
            <w:vAlign w:val="bottom"/>
            <w:hideMark/>
          </w:tcPr>
          <w:p w14:paraId="484D7F4F"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-0.596***</w:t>
            </w:r>
          </w:p>
        </w:tc>
      </w:tr>
      <w:tr w:rsidR="003C5EA8" w:rsidRPr="00FF00CF" w14:paraId="444F1A85" w14:textId="77777777" w:rsidTr="00581AB1">
        <w:trPr>
          <w:trHeight w:val="295"/>
        </w:trPr>
        <w:tc>
          <w:tcPr>
            <w:tcW w:w="3184" w:type="dxa"/>
            <w:tcBorders>
              <w:top w:val="nil"/>
              <w:left w:val="nil"/>
              <w:bottom w:val="nil"/>
              <w:right w:val="nil"/>
            </w:tcBorders>
            <w:shd w:val="clear" w:color="auto" w:fill="auto"/>
            <w:noWrap/>
            <w:vAlign w:val="bottom"/>
            <w:hideMark/>
          </w:tcPr>
          <w:p w14:paraId="5C05AD96" w14:textId="77777777" w:rsidR="003C5EA8" w:rsidRPr="00FF00CF" w:rsidRDefault="003C5EA8" w:rsidP="00581AB1">
            <w:pPr>
              <w:spacing w:after="0" w:line="240" w:lineRule="auto"/>
              <w:jc w:val="righ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14:paraId="60E12EE7" w14:textId="77777777" w:rsidR="003C5EA8" w:rsidRPr="00FF00CF" w:rsidRDefault="003C5EA8" w:rsidP="00581AB1">
            <w:pPr>
              <w:spacing w:after="0" w:line="240" w:lineRule="auto"/>
              <w:rPr>
                <w:rFonts w:ascii="Times New Roman" w:eastAsia="Times New Roman" w:hAnsi="Times New Roman" w:cs="Times New Roman"/>
                <w:sz w:val="20"/>
                <w:szCs w:val="20"/>
              </w:rPr>
            </w:pPr>
          </w:p>
        </w:tc>
        <w:tc>
          <w:tcPr>
            <w:tcW w:w="1335" w:type="dxa"/>
            <w:gridSpan w:val="2"/>
            <w:tcBorders>
              <w:top w:val="nil"/>
              <w:left w:val="nil"/>
              <w:bottom w:val="nil"/>
              <w:right w:val="nil"/>
            </w:tcBorders>
            <w:shd w:val="clear" w:color="auto" w:fill="auto"/>
            <w:noWrap/>
            <w:vAlign w:val="bottom"/>
            <w:hideMark/>
          </w:tcPr>
          <w:p w14:paraId="39D144D6"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(20.07)</w:t>
            </w:r>
          </w:p>
        </w:tc>
        <w:tc>
          <w:tcPr>
            <w:tcW w:w="1300" w:type="dxa"/>
            <w:gridSpan w:val="2"/>
            <w:tcBorders>
              <w:top w:val="nil"/>
              <w:left w:val="nil"/>
              <w:bottom w:val="nil"/>
              <w:right w:val="nil"/>
            </w:tcBorders>
            <w:shd w:val="clear" w:color="auto" w:fill="auto"/>
            <w:noWrap/>
            <w:vAlign w:val="bottom"/>
            <w:hideMark/>
          </w:tcPr>
          <w:p w14:paraId="2C4A9551"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(35.56)</w:t>
            </w:r>
          </w:p>
        </w:tc>
      </w:tr>
      <w:tr w:rsidR="003C5EA8" w:rsidRPr="00FF00CF" w14:paraId="6713D8B5" w14:textId="77777777" w:rsidTr="00581AB1">
        <w:trPr>
          <w:trHeight w:val="295"/>
        </w:trPr>
        <w:tc>
          <w:tcPr>
            <w:tcW w:w="3184" w:type="dxa"/>
            <w:tcBorders>
              <w:top w:val="nil"/>
              <w:left w:val="nil"/>
              <w:bottom w:val="nil"/>
              <w:right w:val="nil"/>
            </w:tcBorders>
            <w:shd w:val="clear" w:color="D9D9D9" w:fill="D9D9D9"/>
            <w:noWrap/>
            <w:vAlign w:val="center"/>
            <w:hideMark/>
          </w:tcPr>
          <w:p w14:paraId="29B92ED8" w14:textId="77777777" w:rsidR="003C5EA8" w:rsidRPr="00FF00CF" w:rsidRDefault="003C5EA8" w:rsidP="00581AB1">
            <w:pPr>
              <w:spacing w:after="0" w:line="240" w:lineRule="auto"/>
              <w:rPr>
                <w:rFonts w:ascii="Calibri" w:eastAsia="Times New Roman" w:hAnsi="Calibri" w:cs="Calibri"/>
                <w:color w:val="000000"/>
              </w:rPr>
            </w:pPr>
            <w:r w:rsidRPr="00FF00CF">
              <w:rPr>
                <w:rFonts w:ascii="Calibri" w:eastAsia="Times New Roman" w:hAnsi="Calibri" w:cs="Calibri"/>
                <w:color w:val="000000"/>
              </w:rPr>
              <w:t>ln(# floors)</w:t>
            </w:r>
          </w:p>
        </w:tc>
        <w:tc>
          <w:tcPr>
            <w:tcW w:w="1047" w:type="dxa"/>
            <w:tcBorders>
              <w:top w:val="nil"/>
              <w:left w:val="nil"/>
              <w:bottom w:val="nil"/>
              <w:right w:val="nil"/>
            </w:tcBorders>
            <w:shd w:val="clear" w:color="D9D9D9" w:fill="D9D9D9"/>
            <w:noWrap/>
            <w:vAlign w:val="bottom"/>
            <w:hideMark/>
          </w:tcPr>
          <w:p w14:paraId="4046D5BB" w14:textId="77777777" w:rsidR="003C5EA8" w:rsidRPr="00FF00CF" w:rsidRDefault="003C5EA8" w:rsidP="00581AB1">
            <w:pPr>
              <w:spacing w:after="0" w:line="240" w:lineRule="auto"/>
              <w:rPr>
                <w:rFonts w:ascii="Calibri" w:eastAsia="Times New Roman" w:hAnsi="Calibri" w:cs="Calibri"/>
                <w:color w:val="000000"/>
              </w:rPr>
            </w:pPr>
          </w:p>
        </w:tc>
        <w:tc>
          <w:tcPr>
            <w:tcW w:w="1335" w:type="dxa"/>
            <w:gridSpan w:val="2"/>
            <w:tcBorders>
              <w:top w:val="nil"/>
              <w:left w:val="nil"/>
              <w:bottom w:val="nil"/>
              <w:right w:val="nil"/>
            </w:tcBorders>
            <w:shd w:val="clear" w:color="D9D9D9" w:fill="D9D9D9"/>
            <w:noWrap/>
            <w:vAlign w:val="bottom"/>
            <w:hideMark/>
          </w:tcPr>
          <w:p w14:paraId="788248C9"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0.0649</w:t>
            </w:r>
          </w:p>
        </w:tc>
        <w:tc>
          <w:tcPr>
            <w:tcW w:w="1300" w:type="dxa"/>
            <w:gridSpan w:val="2"/>
            <w:tcBorders>
              <w:top w:val="nil"/>
              <w:left w:val="nil"/>
              <w:bottom w:val="nil"/>
              <w:right w:val="nil"/>
            </w:tcBorders>
            <w:shd w:val="clear" w:color="D9D9D9" w:fill="D9D9D9"/>
            <w:noWrap/>
            <w:vAlign w:val="bottom"/>
            <w:hideMark/>
          </w:tcPr>
          <w:p w14:paraId="392F4FC4"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0.0113</w:t>
            </w:r>
          </w:p>
        </w:tc>
      </w:tr>
      <w:tr w:rsidR="003C5EA8" w:rsidRPr="00FF00CF" w14:paraId="1DD68B38" w14:textId="77777777" w:rsidTr="00581AB1">
        <w:trPr>
          <w:trHeight w:val="295"/>
        </w:trPr>
        <w:tc>
          <w:tcPr>
            <w:tcW w:w="3184" w:type="dxa"/>
            <w:tcBorders>
              <w:top w:val="nil"/>
              <w:left w:val="nil"/>
              <w:bottom w:val="nil"/>
              <w:right w:val="nil"/>
            </w:tcBorders>
            <w:shd w:val="clear" w:color="auto" w:fill="auto"/>
            <w:noWrap/>
            <w:vAlign w:val="bottom"/>
            <w:hideMark/>
          </w:tcPr>
          <w:p w14:paraId="7F6D9508" w14:textId="77777777" w:rsidR="003C5EA8" w:rsidRPr="00FF00CF" w:rsidRDefault="003C5EA8" w:rsidP="00581AB1">
            <w:pPr>
              <w:spacing w:after="0" w:line="240" w:lineRule="auto"/>
              <w:jc w:val="righ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14:paraId="29FB48B9" w14:textId="77777777" w:rsidR="003C5EA8" w:rsidRPr="00FF00CF" w:rsidRDefault="003C5EA8" w:rsidP="00581AB1">
            <w:pPr>
              <w:spacing w:after="0" w:line="240" w:lineRule="auto"/>
              <w:rPr>
                <w:rFonts w:ascii="Times New Roman" w:eastAsia="Times New Roman" w:hAnsi="Times New Roman" w:cs="Times New Roman"/>
                <w:sz w:val="20"/>
                <w:szCs w:val="20"/>
              </w:rPr>
            </w:pPr>
          </w:p>
        </w:tc>
        <w:tc>
          <w:tcPr>
            <w:tcW w:w="1335" w:type="dxa"/>
            <w:gridSpan w:val="2"/>
            <w:tcBorders>
              <w:top w:val="nil"/>
              <w:left w:val="nil"/>
              <w:bottom w:val="nil"/>
              <w:right w:val="nil"/>
            </w:tcBorders>
            <w:shd w:val="clear" w:color="auto" w:fill="auto"/>
            <w:noWrap/>
            <w:vAlign w:val="bottom"/>
            <w:hideMark/>
          </w:tcPr>
          <w:p w14:paraId="28219B94"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(1.34)</w:t>
            </w:r>
          </w:p>
        </w:tc>
        <w:tc>
          <w:tcPr>
            <w:tcW w:w="1300" w:type="dxa"/>
            <w:gridSpan w:val="2"/>
            <w:tcBorders>
              <w:top w:val="nil"/>
              <w:left w:val="nil"/>
              <w:bottom w:val="nil"/>
              <w:right w:val="nil"/>
            </w:tcBorders>
            <w:shd w:val="clear" w:color="auto" w:fill="auto"/>
            <w:noWrap/>
            <w:vAlign w:val="bottom"/>
            <w:hideMark/>
          </w:tcPr>
          <w:p w14:paraId="2C5A4359"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(0.60)</w:t>
            </w:r>
          </w:p>
        </w:tc>
      </w:tr>
      <w:tr w:rsidR="003C5EA8" w:rsidRPr="00FF00CF" w14:paraId="4E48CB8B" w14:textId="77777777" w:rsidTr="00581AB1">
        <w:trPr>
          <w:gridAfter w:val="1"/>
          <w:wAfter w:w="142" w:type="dxa"/>
          <w:trHeight w:val="295"/>
        </w:trPr>
        <w:tc>
          <w:tcPr>
            <w:tcW w:w="4231" w:type="dxa"/>
            <w:gridSpan w:val="2"/>
            <w:tcBorders>
              <w:top w:val="nil"/>
              <w:left w:val="nil"/>
              <w:bottom w:val="nil"/>
              <w:right w:val="nil"/>
            </w:tcBorders>
            <w:shd w:val="clear" w:color="D9D9D9" w:fill="D9D9D9"/>
            <w:noWrap/>
            <w:vAlign w:val="center"/>
            <w:hideMark/>
          </w:tcPr>
          <w:p w14:paraId="4AA7ADAC" w14:textId="77777777" w:rsidR="003C5EA8" w:rsidRPr="00FF00CF" w:rsidRDefault="003C5EA8" w:rsidP="00581AB1">
            <w:pPr>
              <w:spacing w:after="0" w:line="240" w:lineRule="auto"/>
              <w:rPr>
                <w:rFonts w:ascii="Calibri" w:eastAsia="Times New Roman" w:hAnsi="Calibri" w:cs="Calibri"/>
                <w:color w:val="000000"/>
              </w:rPr>
            </w:pPr>
            <w:r w:rsidRPr="00FF00CF">
              <w:rPr>
                <w:rFonts w:ascii="Calibri" w:eastAsia="Times New Roman" w:hAnsi="Calibri" w:cs="Calibri"/>
                <w:color w:val="000000"/>
              </w:rPr>
              <w:t>Dist. to shore (miles)</w:t>
            </w:r>
          </w:p>
        </w:tc>
        <w:tc>
          <w:tcPr>
            <w:tcW w:w="1158" w:type="dxa"/>
            <w:tcBorders>
              <w:top w:val="nil"/>
              <w:left w:val="nil"/>
              <w:bottom w:val="nil"/>
              <w:right w:val="nil"/>
            </w:tcBorders>
            <w:shd w:val="clear" w:color="D9D9D9" w:fill="D9D9D9"/>
            <w:noWrap/>
            <w:vAlign w:val="bottom"/>
            <w:hideMark/>
          </w:tcPr>
          <w:p w14:paraId="1DBE8085" w14:textId="77777777" w:rsidR="003C5EA8" w:rsidRPr="00FF00CF" w:rsidRDefault="003C5EA8" w:rsidP="00581AB1">
            <w:pPr>
              <w:spacing w:after="0" w:line="240" w:lineRule="auto"/>
              <w:jc w:val="right"/>
              <w:rPr>
                <w:rFonts w:ascii="Calibri" w:eastAsia="Times New Roman" w:hAnsi="Calibri" w:cs="Calibri"/>
                <w:color w:val="000000"/>
              </w:rPr>
            </w:pPr>
          </w:p>
        </w:tc>
        <w:tc>
          <w:tcPr>
            <w:tcW w:w="1335" w:type="dxa"/>
            <w:gridSpan w:val="2"/>
            <w:tcBorders>
              <w:top w:val="nil"/>
              <w:left w:val="nil"/>
              <w:bottom w:val="nil"/>
              <w:right w:val="nil"/>
            </w:tcBorders>
            <w:shd w:val="clear" w:color="D9D9D9" w:fill="D9D9D9"/>
            <w:noWrap/>
            <w:vAlign w:val="bottom"/>
            <w:hideMark/>
          </w:tcPr>
          <w:p w14:paraId="30552A69"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0.0777***</w:t>
            </w:r>
          </w:p>
        </w:tc>
      </w:tr>
      <w:tr w:rsidR="003C5EA8" w:rsidRPr="00FF00CF" w14:paraId="2C6196E9" w14:textId="77777777" w:rsidTr="00581AB1">
        <w:trPr>
          <w:trHeight w:val="295"/>
        </w:trPr>
        <w:tc>
          <w:tcPr>
            <w:tcW w:w="3184" w:type="dxa"/>
            <w:tcBorders>
              <w:top w:val="nil"/>
              <w:left w:val="nil"/>
              <w:bottom w:val="nil"/>
              <w:right w:val="nil"/>
            </w:tcBorders>
            <w:shd w:val="clear" w:color="auto" w:fill="auto"/>
            <w:noWrap/>
            <w:vAlign w:val="bottom"/>
            <w:hideMark/>
          </w:tcPr>
          <w:p w14:paraId="59B585B0" w14:textId="77777777" w:rsidR="003C5EA8" w:rsidRPr="00FF00CF" w:rsidRDefault="003C5EA8" w:rsidP="00581AB1">
            <w:pPr>
              <w:spacing w:after="0" w:line="240" w:lineRule="auto"/>
              <w:jc w:val="right"/>
              <w:rPr>
                <w:rFonts w:ascii="Calibri" w:eastAsia="Times New Roman" w:hAnsi="Calibri" w:cs="Calibri"/>
                <w:color w:val="000000"/>
              </w:rPr>
            </w:pPr>
          </w:p>
        </w:tc>
        <w:tc>
          <w:tcPr>
            <w:tcW w:w="1047" w:type="dxa"/>
            <w:tcBorders>
              <w:top w:val="nil"/>
              <w:left w:val="nil"/>
              <w:bottom w:val="nil"/>
              <w:right w:val="nil"/>
            </w:tcBorders>
            <w:shd w:val="clear" w:color="auto" w:fill="auto"/>
            <w:noWrap/>
            <w:vAlign w:val="bottom"/>
            <w:hideMark/>
          </w:tcPr>
          <w:p w14:paraId="23D683E3" w14:textId="77777777" w:rsidR="003C5EA8" w:rsidRPr="00FF00CF" w:rsidRDefault="003C5EA8" w:rsidP="00581AB1">
            <w:pPr>
              <w:spacing w:after="0" w:line="240" w:lineRule="auto"/>
              <w:rPr>
                <w:rFonts w:ascii="Times New Roman" w:eastAsia="Times New Roman" w:hAnsi="Times New Roman" w:cs="Times New Roman"/>
                <w:sz w:val="20"/>
                <w:szCs w:val="20"/>
              </w:rPr>
            </w:pPr>
          </w:p>
        </w:tc>
        <w:tc>
          <w:tcPr>
            <w:tcW w:w="1335" w:type="dxa"/>
            <w:gridSpan w:val="2"/>
            <w:tcBorders>
              <w:top w:val="nil"/>
              <w:left w:val="nil"/>
              <w:bottom w:val="nil"/>
              <w:right w:val="nil"/>
            </w:tcBorders>
            <w:shd w:val="clear" w:color="auto" w:fill="auto"/>
            <w:noWrap/>
            <w:vAlign w:val="bottom"/>
            <w:hideMark/>
          </w:tcPr>
          <w:p w14:paraId="778E51DC" w14:textId="77777777" w:rsidR="003C5EA8" w:rsidRPr="00FF00CF" w:rsidRDefault="003C5EA8" w:rsidP="00581AB1">
            <w:pPr>
              <w:spacing w:after="0" w:line="240" w:lineRule="auto"/>
              <w:jc w:val="right"/>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29E7602E"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(11.08)</w:t>
            </w:r>
          </w:p>
        </w:tc>
      </w:tr>
      <w:tr w:rsidR="003C5EA8" w:rsidRPr="00FF00CF" w14:paraId="5C42A128" w14:textId="77777777" w:rsidTr="00581AB1">
        <w:trPr>
          <w:trHeight w:val="295"/>
        </w:trPr>
        <w:tc>
          <w:tcPr>
            <w:tcW w:w="3184" w:type="dxa"/>
            <w:tcBorders>
              <w:top w:val="nil"/>
              <w:left w:val="nil"/>
              <w:bottom w:val="nil"/>
              <w:right w:val="nil"/>
            </w:tcBorders>
            <w:shd w:val="clear" w:color="D9D9D9" w:fill="D9D9D9"/>
            <w:noWrap/>
            <w:vAlign w:val="center"/>
            <w:hideMark/>
          </w:tcPr>
          <w:p w14:paraId="36E72616" w14:textId="77777777" w:rsidR="003C5EA8" w:rsidRPr="00FF00CF" w:rsidRDefault="003C5EA8" w:rsidP="00581AB1">
            <w:pPr>
              <w:spacing w:after="0" w:line="240" w:lineRule="auto"/>
              <w:rPr>
                <w:rFonts w:ascii="Calibri" w:eastAsia="Times New Roman" w:hAnsi="Calibri" w:cs="Calibri"/>
                <w:color w:val="000000"/>
              </w:rPr>
            </w:pPr>
            <w:r w:rsidRPr="00FF00CF">
              <w:rPr>
                <w:rFonts w:ascii="Calibri" w:eastAsia="Times New Roman" w:hAnsi="Calibri" w:cs="Calibri"/>
                <w:color w:val="000000"/>
              </w:rPr>
              <w:t>Constant</w:t>
            </w:r>
          </w:p>
        </w:tc>
        <w:tc>
          <w:tcPr>
            <w:tcW w:w="1047" w:type="dxa"/>
            <w:tcBorders>
              <w:top w:val="nil"/>
              <w:left w:val="nil"/>
              <w:bottom w:val="nil"/>
              <w:right w:val="nil"/>
            </w:tcBorders>
            <w:shd w:val="clear" w:color="D9D9D9" w:fill="D9D9D9"/>
            <w:noWrap/>
            <w:vAlign w:val="bottom"/>
            <w:hideMark/>
          </w:tcPr>
          <w:p w14:paraId="5CACF1BB"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5.426***</w:t>
            </w:r>
          </w:p>
        </w:tc>
        <w:tc>
          <w:tcPr>
            <w:tcW w:w="1335" w:type="dxa"/>
            <w:gridSpan w:val="2"/>
            <w:tcBorders>
              <w:top w:val="nil"/>
              <w:left w:val="nil"/>
              <w:bottom w:val="nil"/>
              <w:right w:val="nil"/>
            </w:tcBorders>
            <w:shd w:val="clear" w:color="D9D9D9" w:fill="D9D9D9"/>
            <w:noWrap/>
            <w:vAlign w:val="bottom"/>
            <w:hideMark/>
          </w:tcPr>
          <w:p w14:paraId="71C287AB"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7.833***</w:t>
            </w:r>
          </w:p>
        </w:tc>
        <w:tc>
          <w:tcPr>
            <w:tcW w:w="1300" w:type="dxa"/>
            <w:gridSpan w:val="2"/>
            <w:tcBorders>
              <w:top w:val="nil"/>
              <w:left w:val="nil"/>
              <w:bottom w:val="nil"/>
              <w:right w:val="nil"/>
            </w:tcBorders>
            <w:shd w:val="clear" w:color="D9D9D9" w:fill="D9D9D9"/>
            <w:noWrap/>
            <w:vAlign w:val="bottom"/>
            <w:hideMark/>
          </w:tcPr>
          <w:p w14:paraId="4EDBAB2C"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9.273***</w:t>
            </w:r>
          </w:p>
        </w:tc>
      </w:tr>
      <w:tr w:rsidR="003C5EA8" w:rsidRPr="00FF00CF" w14:paraId="564B4E1D" w14:textId="77777777" w:rsidTr="00581AB1">
        <w:trPr>
          <w:trHeight w:val="310"/>
        </w:trPr>
        <w:tc>
          <w:tcPr>
            <w:tcW w:w="3184" w:type="dxa"/>
            <w:tcBorders>
              <w:top w:val="nil"/>
              <w:left w:val="nil"/>
              <w:bottom w:val="single" w:sz="4" w:space="0" w:color="auto"/>
              <w:right w:val="nil"/>
            </w:tcBorders>
            <w:shd w:val="clear" w:color="auto" w:fill="auto"/>
            <w:noWrap/>
            <w:vAlign w:val="center"/>
            <w:hideMark/>
          </w:tcPr>
          <w:p w14:paraId="032D6423" w14:textId="77777777" w:rsidR="003C5EA8" w:rsidRPr="00FF00CF" w:rsidRDefault="003C5EA8" w:rsidP="00581AB1">
            <w:pPr>
              <w:spacing w:after="0" w:line="240" w:lineRule="auto"/>
              <w:rPr>
                <w:rFonts w:ascii="Calibri" w:eastAsia="Times New Roman" w:hAnsi="Calibri" w:cs="Calibri"/>
                <w:color w:val="000000"/>
              </w:rPr>
            </w:pPr>
            <w:r w:rsidRPr="00FF00CF">
              <w:rPr>
                <w:rFonts w:ascii="Calibri" w:eastAsia="Times New Roman" w:hAnsi="Calibri" w:cs="Calibri"/>
                <w:color w:val="000000"/>
              </w:rPr>
              <w:t> </w:t>
            </w:r>
          </w:p>
        </w:tc>
        <w:tc>
          <w:tcPr>
            <w:tcW w:w="1047" w:type="dxa"/>
            <w:tcBorders>
              <w:top w:val="nil"/>
              <w:left w:val="nil"/>
              <w:bottom w:val="single" w:sz="4" w:space="0" w:color="auto"/>
              <w:right w:val="nil"/>
            </w:tcBorders>
            <w:shd w:val="clear" w:color="auto" w:fill="auto"/>
            <w:noWrap/>
            <w:vAlign w:val="bottom"/>
            <w:hideMark/>
          </w:tcPr>
          <w:p w14:paraId="7F6735B4"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(247.75)</w:t>
            </w:r>
          </w:p>
        </w:tc>
        <w:tc>
          <w:tcPr>
            <w:tcW w:w="1335" w:type="dxa"/>
            <w:gridSpan w:val="2"/>
            <w:tcBorders>
              <w:top w:val="nil"/>
              <w:left w:val="nil"/>
              <w:bottom w:val="single" w:sz="4" w:space="0" w:color="auto"/>
              <w:right w:val="nil"/>
            </w:tcBorders>
            <w:shd w:val="clear" w:color="auto" w:fill="auto"/>
            <w:noWrap/>
            <w:vAlign w:val="bottom"/>
            <w:hideMark/>
          </w:tcPr>
          <w:p w14:paraId="358433ED"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(22.28)</w:t>
            </w:r>
          </w:p>
        </w:tc>
        <w:tc>
          <w:tcPr>
            <w:tcW w:w="1300" w:type="dxa"/>
            <w:gridSpan w:val="2"/>
            <w:tcBorders>
              <w:top w:val="nil"/>
              <w:left w:val="nil"/>
              <w:bottom w:val="single" w:sz="4" w:space="0" w:color="auto"/>
              <w:right w:val="nil"/>
            </w:tcBorders>
            <w:shd w:val="clear" w:color="auto" w:fill="auto"/>
            <w:noWrap/>
            <w:vAlign w:val="bottom"/>
            <w:hideMark/>
          </w:tcPr>
          <w:p w14:paraId="2BC8ED7B"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(46.45)</w:t>
            </w:r>
          </w:p>
        </w:tc>
      </w:tr>
      <w:tr w:rsidR="003C5EA8" w:rsidRPr="00FF00CF" w14:paraId="2C61F54B" w14:textId="77777777" w:rsidTr="00581AB1">
        <w:trPr>
          <w:trHeight w:val="295"/>
        </w:trPr>
        <w:tc>
          <w:tcPr>
            <w:tcW w:w="3184" w:type="dxa"/>
            <w:tcBorders>
              <w:top w:val="nil"/>
              <w:left w:val="nil"/>
              <w:bottom w:val="nil"/>
              <w:right w:val="nil"/>
            </w:tcBorders>
            <w:shd w:val="clear" w:color="D9D9D9" w:fill="D9D9D9"/>
            <w:noWrap/>
            <w:vAlign w:val="center"/>
            <w:hideMark/>
          </w:tcPr>
          <w:p w14:paraId="2200A4D9" w14:textId="77777777" w:rsidR="003C5EA8" w:rsidRPr="00FF00CF" w:rsidRDefault="003C5EA8" w:rsidP="00581AB1">
            <w:pPr>
              <w:spacing w:after="0" w:line="240" w:lineRule="auto"/>
              <w:rPr>
                <w:rFonts w:ascii="Calibri" w:eastAsia="Times New Roman" w:hAnsi="Calibri" w:cs="Calibri"/>
                <w:color w:val="000000"/>
              </w:rPr>
            </w:pPr>
            <w:r w:rsidRPr="00FF00CF">
              <w:rPr>
                <w:rFonts w:ascii="Calibri" w:eastAsia="Times New Roman" w:hAnsi="Calibri" w:cs="Calibri"/>
                <w:color w:val="000000"/>
              </w:rPr>
              <w:t>N</w:t>
            </w:r>
          </w:p>
        </w:tc>
        <w:tc>
          <w:tcPr>
            <w:tcW w:w="1047" w:type="dxa"/>
            <w:tcBorders>
              <w:top w:val="nil"/>
              <w:left w:val="nil"/>
              <w:bottom w:val="nil"/>
              <w:right w:val="nil"/>
            </w:tcBorders>
            <w:shd w:val="clear" w:color="D9D9D9" w:fill="D9D9D9"/>
            <w:noWrap/>
            <w:vAlign w:val="bottom"/>
            <w:hideMark/>
          </w:tcPr>
          <w:p w14:paraId="0DC0EB68"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13028</w:t>
            </w:r>
          </w:p>
        </w:tc>
        <w:tc>
          <w:tcPr>
            <w:tcW w:w="1335" w:type="dxa"/>
            <w:gridSpan w:val="2"/>
            <w:tcBorders>
              <w:top w:val="nil"/>
              <w:left w:val="nil"/>
              <w:bottom w:val="nil"/>
              <w:right w:val="nil"/>
            </w:tcBorders>
            <w:shd w:val="clear" w:color="D9D9D9" w:fill="D9D9D9"/>
            <w:noWrap/>
            <w:vAlign w:val="bottom"/>
            <w:hideMark/>
          </w:tcPr>
          <w:p w14:paraId="3D13AEB4"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12983</w:t>
            </w:r>
          </w:p>
        </w:tc>
        <w:tc>
          <w:tcPr>
            <w:tcW w:w="1300" w:type="dxa"/>
            <w:gridSpan w:val="2"/>
            <w:tcBorders>
              <w:top w:val="nil"/>
              <w:left w:val="nil"/>
              <w:bottom w:val="nil"/>
              <w:right w:val="nil"/>
            </w:tcBorders>
            <w:shd w:val="clear" w:color="D9D9D9" w:fill="D9D9D9"/>
            <w:noWrap/>
            <w:vAlign w:val="bottom"/>
            <w:hideMark/>
          </w:tcPr>
          <w:p w14:paraId="3721F287"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12983</w:t>
            </w:r>
          </w:p>
        </w:tc>
      </w:tr>
      <w:tr w:rsidR="003C5EA8" w:rsidRPr="00FF00CF" w14:paraId="57BD7035" w14:textId="77777777" w:rsidTr="00581AB1">
        <w:trPr>
          <w:trHeight w:val="295"/>
        </w:trPr>
        <w:tc>
          <w:tcPr>
            <w:tcW w:w="3184" w:type="dxa"/>
            <w:tcBorders>
              <w:top w:val="nil"/>
              <w:left w:val="nil"/>
              <w:bottom w:val="nil"/>
              <w:right w:val="nil"/>
            </w:tcBorders>
            <w:shd w:val="clear" w:color="auto" w:fill="auto"/>
            <w:noWrap/>
            <w:vAlign w:val="center"/>
            <w:hideMark/>
          </w:tcPr>
          <w:p w14:paraId="450C0654" w14:textId="77777777" w:rsidR="003C5EA8" w:rsidRPr="00FF00CF" w:rsidRDefault="003C5EA8" w:rsidP="00581AB1">
            <w:pPr>
              <w:spacing w:after="0" w:line="240" w:lineRule="auto"/>
              <w:rPr>
                <w:rFonts w:ascii="Calibri" w:eastAsia="Times New Roman" w:hAnsi="Calibri" w:cs="Calibri"/>
                <w:color w:val="000000"/>
              </w:rPr>
            </w:pPr>
            <w:r w:rsidRPr="00FF00CF">
              <w:rPr>
                <w:rFonts w:ascii="Calibri" w:eastAsia="Times New Roman" w:hAnsi="Calibri" w:cs="Calibri"/>
                <w:color w:val="000000"/>
              </w:rPr>
              <w:t>R-sq</w:t>
            </w:r>
          </w:p>
        </w:tc>
        <w:tc>
          <w:tcPr>
            <w:tcW w:w="1047" w:type="dxa"/>
            <w:tcBorders>
              <w:top w:val="nil"/>
              <w:left w:val="nil"/>
              <w:bottom w:val="nil"/>
              <w:right w:val="nil"/>
            </w:tcBorders>
            <w:shd w:val="clear" w:color="auto" w:fill="auto"/>
            <w:noWrap/>
            <w:vAlign w:val="bottom"/>
            <w:hideMark/>
          </w:tcPr>
          <w:p w14:paraId="795B9450"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0.482</w:t>
            </w:r>
          </w:p>
        </w:tc>
        <w:tc>
          <w:tcPr>
            <w:tcW w:w="1335" w:type="dxa"/>
            <w:gridSpan w:val="2"/>
            <w:tcBorders>
              <w:top w:val="nil"/>
              <w:left w:val="nil"/>
              <w:bottom w:val="nil"/>
              <w:right w:val="nil"/>
            </w:tcBorders>
            <w:shd w:val="clear" w:color="auto" w:fill="auto"/>
            <w:noWrap/>
            <w:vAlign w:val="bottom"/>
            <w:hideMark/>
          </w:tcPr>
          <w:p w14:paraId="4955AC0F"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0.569</w:t>
            </w:r>
          </w:p>
        </w:tc>
        <w:tc>
          <w:tcPr>
            <w:tcW w:w="1300" w:type="dxa"/>
            <w:gridSpan w:val="2"/>
            <w:tcBorders>
              <w:top w:val="nil"/>
              <w:left w:val="nil"/>
              <w:bottom w:val="nil"/>
              <w:right w:val="nil"/>
            </w:tcBorders>
            <w:shd w:val="clear" w:color="auto" w:fill="auto"/>
            <w:noWrap/>
            <w:vAlign w:val="bottom"/>
            <w:hideMark/>
          </w:tcPr>
          <w:p w14:paraId="76B6A3F9"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0.588</w:t>
            </w:r>
          </w:p>
        </w:tc>
      </w:tr>
      <w:tr w:rsidR="003C5EA8" w:rsidRPr="00FF00CF" w14:paraId="6D8A897B" w14:textId="77777777" w:rsidTr="00581AB1">
        <w:trPr>
          <w:trHeight w:val="295"/>
        </w:trPr>
        <w:tc>
          <w:tcPr>
            <w:tcW w:w="3184" w:type="dxa"/>
            <w:tcBorders>
              <w:top w:val="nil"/>
              <w:left w:val="nil"/>
              <w:bottom w:val="nil"/>
              <w:right w:val="nil"/>
            </w:tcBorders>
            <w:shd w:val="clear" w:color="D9D9D9" w:fill="D9D9D9"/>
            <w:noWrap/>
            <w:vAlign w:val="center"/>
            <w:hideMark/>
          </w:tcPr>
          <w:p w14:paraId="198678B3" w14:textId="77777777" w:rsidR="003C5EA8" w:rsidRPr="00FF00CF" w:rsidRDefault="003C5EA8" w:rsidP="00581AB1">
            <w:pPr>
              <w:spacing w:after="0" w:line="240" w:lineRule="auto"/>
              <w:rPr>
                <w:rFonts w:ascii="Calibri" w:eastAsia="Times New Roman" w:hAnsi="Calibri" w:cs="Calibri"/>
                <w:color w:val="000000"/>
              </w:rPr>
            </w:pPr>
            <w:r w:rsidRPr="00FF00CF">
              <w:rPr>
                <w:rFonts w:ascii="Calibri" w:eastAsia="Times New Roman" w:hAnsi="Calibri" w:cs="Calibri"/>
                <w:color w:val="000000"/>
              </w:rPr>
              <w:t>adj. R-sq</w:t>
            </w:r>
          </w:p>
        </w:tc>
        <w:tc>
          <w:tcPr>
            <w:tcW w:w="1047" w:type="dxa"/>
            <w:tcBorders>
              <w:top w:val="nil"/>
              <w:left w:val="nil"/>
              <w:bottom w:val="nil"/>
              <w:right w:val="nil"/>
            </w:tcBorders>
            <w:shd w:val="clear" w:color="D9D9D9" w:fill="D9D9D9"/>
            <w:noWrap/>
            <w:vAlign w:val="bottom"/>
            <w:hideMark/>
          </w:tcPr>
          <w:p w14:paraId="56D11D87"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0.426</w:t>
            </w:r>
          </w:p>
        </w:tc>
        <w:tc>
          <w:tcPr>
            <w:tcW w:w="1335" w:type="dxa"/>
            <w:gridSpan w:val="2"/>
            <w:tcBorders>
              <w:top w:val="nil"/>
              <w:left w:val="nil"/>
              <w:bottom w:val="nil"/>
              <w:right w:val="nil"/>
            </w:tcBorders>
            <w:shd w:val="clear" w:color="D9D9D9" w:fill="D9D9D9"/>
            <w:noWrap/>
            <w:vAlign w:val="bottom"/>
            <w:hideMark/>
          </w:tcPr>
          <w:p w14:paraId="2F66AE38"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0.522</w:t>
            </w:r>
          </w:p>
        </w:tc>
        <w:tc>
          <w:tcPr>
            <w:tcW w:w="1300" w:type="dxa"/>
            <w:gridSpan w:val="2"/>
            <w:tcBorders>
              <w:top w:val="nil"/>
              <w:left w:val="nil"/>
              <w:bottom w:val="nil"/>
              <w:right w:val="nil"/>
            </w:tcBorders>
            <w:shd w:val="clear" w:color="D9D9D9" w:fill="D9D9D9"/>
            <w:noWrap/>
            <w:vAlign w:val="bottom"/>
            <w:hideMark/>
          </w:tcPr>
          <w:p w14:paraId="11365C95"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0.541</w:t>
            </w:r>
          </w:p>
        </w:tc>
      </w:tr>
      <w:tr w:rsidR="003C5EA8" w:rsidRPr="00FF00CF" w14:paraId="6B4C2AA0" w14:textId="77777777" w:rsidTr="00581AB1">
        <w:trPr>
          <w:trHeight w:val="295"/>
        </w:trPr>
        <w:tc>
          <w:tcPr>
            <w:tcW w:w="3184" w:type="dxa"/>
            <w:tcBorders>
              <w:top w:val="nil"/>
              <w:left w:val="nil"/>
              <w:bottom w:val="nil"/>
              <w:right w:val="nil"/>
            </w:tcBorders>
            <w:shd w:val="clear" w:color="auto" w:fill="auto"/>
            <w:noWrap/>
            <w:vAlign w:val="center"/>
            <w:hideMark/>
          </w:tcPr>
          <w:p w14:paraId="76C92D37" w14:textId="77777777" w:rsidR="003C5EA8" w:rsidRPr="00FF00CF" w:rsidRDefault="003C5EA8" w:rsidP="00581AB1">
            <w:pPr>
              <w:spacing w:after="0" w:line="240" w:lineRule="auto"/>
              <w:rPr>
                <w:rFonts w:ascii="Calibri" w:eastAsia="Times New Roman" w:hAnsi="Calibri" w:cs="Calibri"/>
                <w:color w:val="000000"/>
              </w:rPr>
            </w:pPr>
            <w:r w:rsidRPr="00FF00CF">
              <w:rPr>
                <w:rFonts w:ascii="Calibri" w:eastAsia="Times New Roman" w:hAnsi="Calibri" w:cs="Calibri"/>
                <w:color w:val="000000"/>
              </w:rPr>
              <w:t>AIC</w:t>
            </w:r>
          </w:p>
        </w:tc>
        <w:tc>
          <w:tcPr>
            <w:tcW w:w="1047" w:type="dxa"/>
            <w:tcBorders>
              <w:top w:val="nil"/>
              <w:left w:val="nil"/>
              <w:bottom w:val="nil"/>
              <w:right w:val="nil"/>
            </w:tcBorders>
            <w:shd w:val="clear" w:color="auto" w:fill="auto"/>
            <w:noWrap/>
            <w:vAlign w:val="bottom"/>
            <w:hideMark/>
          </w:tcPr>
          <w:p w14:paraId="1ED888CD"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11961</w:t>
            </w:r>
          </w:p>
        </w:tc>
        <w:tc>
          <w:tcPr>
            <w:tcW w:w="1335" w:type="dxa"/>
            <w:gridSpan w:val="2"/>
            <w:tcBorders>
              <w:top w:val="nil"/>
              <w:left w:val="nil"/>
              <w:bottom w:val="nil"/>
              <w:right w:val="nil"/>
            </w:tcBorders>
            <w:shd w:val="clear" w:color="auto" w:fill="auto"/>
            <w:noWrap/>
            <w:vAlign w:val="bottom"/>
            <w:hideMark/>
          </w:tcPr>
          <w:p w14:paraId="7404D0A6"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9566.3</w:t>
            </w:r>
          </w:p>
        </w:tc>
        <w:tc>
          <w:tcPr>
            <w:tcW w:w="1300" w:type="dxa"/>
            <w:gridSpan w:val="2"/>
            <w:tcBorders>
              <w:top w:val="nil"/>
              <w:left w:val="nil"/>
              <w:bottom w:val="nil"/>
              <w:right w:val="nil"/>
            </w:tcBorders>
            <w:shd w:val="clear" w:color="auto" w:fill="auto"/>
            <w:noWrap/>
            <w:vAlign w:val="bottom"/>
            <w:hideMark/>
          </w:tcPr>
          <w:p w14:paraId="77C568A3"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8980.5</w:t>
            </w:r>
          </w:p>
        </w:tc>
      </w:tr>
      <w:tr w:rsidR="003C5EA8" w:rsidRPr="00FF00CF" w14:paraId="7445821B" w14:textId="77777777" w:rsidTr="00581AB1">
        <w:trPr>
          <w:trHeight w:val="310"/>
        </w:trPr>
        <w:tc>
          <w:tcPr>
            <w:tcW w:w="3184" w:type="dxa"/>
            <w:tcBorders>
              <w:top w:val="nil"/>
              <w:left w:val="nil"/>
              <w:bottom w:val="single" w:sz="4" w:space="0" w:color="auto"/>
              <w:right w:val="nil"/>
            </w:tcBorders>
            <w:shd w:val="clear" w:color="D9D9D9" w:fill="D9D9D9"/>
            <w:noWrap/>
            <w:vAlign w:val="center"/>
            <w:hideMark/>
          </w:tcPr>
          <w:p w14:paraId="640C2E3D" w14:textId="77777777" w:rsidR="003C5EA8" w:rsidRPr="00FF00CF" w:rsidRDefault="003C5EA8" w:rsidP="00581AB1">
            <w:pPr>
              <w:spacing w:after="0" w:line="240" w:lineRule="auto"/>
              <w:rPr>
                <w:rFonts w:ascii="Calibri" w:eastAsia="Times New Roman" w:hAnsi="Calibri" w:cs="Calibri"/>
                <w:color w:val="000000"/>
              </w:rPr>
            </w:pPr>
            <w:r w:rsidRPr="00FF00CF">
              <w:rPr>
                <w:rFonts w:ascii="Calibri" w:eastAsia="Times New Roman" w:hAnsi="Calibri" w:cs="Calibri"/>
                <w:color w:val="000000"/>
              </w:rPr>
              <w:t>BIC</w:t>
            </w:r>
          </w:p>
        </w:tc>
        <w:tc>
          <w:tcPr>
            <w:tcW w:w="1047" w:type="dxa"/>
            <w:tcBorders>
              <w:top w:val="nil"/>
              <w:left w:val="nil"/>
              <w:bottom w:val="single" w:sz="4" w:space="0" w:color="auto"/>
              <w:right w:val="nil"/>
            </w:tcBorders>
            <w:shd w:val="clear" w:color="D9D9D9" w:fill="D9D9D9"/>
            <w:noWrap/>
            <w:vAlign w:val="bottom"/>
            <w:hideMark/>
          </w:tcPr>
          <w:p w14:paraId="4256CC93"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11990.9</w:t>
            </w:r>
          </w:p>
        </w:tc>
        <w:tc>
          <w:tcPr>
            <w:tcW w:w="1335" w:type="dxa"/>
            <w:gridSpan w:val="2"/>
            <w:tcBorders>
              <w:top w:val="nil"/>
              <w:left w:val="nil"/>
              <w:bottom w:val="single" w:sz="4" w:space="0" w:color="auto"/>
              <w:right w:val="nil"/>
            </w:tcBorders>
            <w:shd w:val="clear" w:color="D9D9D9" w:fill="D9D9D9"/>
            <w:noWrap/>
            <w:vAlign w:val="bottom"/>
            <w:hideMark/>
          </w:tcPr>
          <w:p w14:paraId="16F30B41"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9596.2</w:t>
            </w:r>
          </w:p>
        </w:tc>
        <w:tc>
          <w:tcPr>
            <w:tcW w:w="1300" w:type="dxa"/>
            <w:gridSpan w:val="2"/>
            <w:tcBorders>
              <w:top w:val="nil"/>
              <w:left w:val="nil"/>
              <w:bottom w:val="single" w:sz="4" w:space="0" w:color="auto"/>
              <w:right w:val="nil"/>
            </w:tcBorders>
            <w:shd w:val="clear" w:color="D9D9D9" w:fill="D9D9D9"/>
            <w:noWrap/>
            <w:vAlign w:val="bottom"/>
            <w:hideMark/>
          </w:tcPr>
          <w:p w14:paraId="05038D04" w14:textId="77777777" w:rsidR="003C5EA8" w:rsidRPr="00FF00CF" w:rsidRDefault="003C5EA8" w:rsidP="00581AB1">
            <w:pPr>
              <w:spacing w:after="0" w:line="240" w:lineRule="auto"/>
              <w:jc w:val="right"/>
              <w:rPr>
                <w:rFonts w:ascii="Calibri" w:eastAsia="Times New Roman" w:hAnsi="Calibri" w:cs="Calibri"/>
                <w:color w:val="000000"/>
              </w:rPr>
            </w:pPr>
            <w:r w:rsidRPr="00FF00CF">
              <w:rPr>
                <w:rFonts w:ascii="Calibri" w:eastAsia="Times New Roman" w:hAnsi="Calibri" w:cs="Calibri"/>
                <w:color w:val="000000"/>
              </w:rPr>
              <w:t>9017.8</w:t>
            </w:r>
          </w:p>
        </w:tc>
      </w:tr>
    </w:tbl>
    <w:p w14:paraId="299D33BB" w14:textId="77777777" w:rsidR="003C5EA8" w:rsidRDefault="003C5EA8" w:rsidP="003C5EA8">
      <w:pPr>
        <w:pStyle w:val="NoSpacing"/>
        <w:rPr>
          <w:rFonts w:ascii="Times New Roman" w:hAnsi="Times New Roman" w:cs="Times New Roman"/>
          <w:sz w:val="20"/>
          <w:szCs w:val="20"/>
        </w:rPr>
      </w:pPr>
      <w:r w:rsidRPr="00C650CD">
        <w:rPr>
          <w:rFonts w:ascii="Times New Roman" w:hAnsi="Times New Roman" w:cs="Times New Roman"/>
          <w:sz w:val="20"/>
          <w:szCs w:val="20"/>
        </w:rPr>
        <w:t>Note</w:t>
      </w:r>
      <w:r>
        <w:rPr>
          <w:rFonts w:ascii="Times New Roman" w:hAnsi="Times New Roman" w:cs="Times New Roman"/>
          <w:sz w:val="20"/>
          <w:szCs w:val="20"/>
        </w:rPr>
        <w:t>s</w:t>
      </w:r>
      <w:r w:rsidRPr="00C650CD">
        <w:rPr>
          <w:rFonts w:ascii="Times New Roman" w:hAnsi="Times New Roman" w:cs="Times New Roman"/>
          <w:sz w:val="20"/>
          <w:szCs w:val="20"/>
        </w:rPr>
        <w:t>: additional building-level controls not shown. t statistics in parentheses.  * p&lt;0.10, ** p&lt;0.05, *** p&lt;0.01. Standard errors clustered by borough.</w:t>
      </w:r>
      <w:r>
        <w:rPr>
          <w:rFonts w:ascii="Times New Roman" w:hAnsi="Times New Roman" w:cs="Times New Roman"/>
          <w:sz w:val="20"/>
          <w:szCs w:val="20"/>
        </w:rPr>
        <w:t xml:space="preserve"> All regressions contain year-quarter dummies and census tract fixed effects.</w:t>
      </w:r>
    </w:p>
    <w:p w14:paraId="0ED65265" w14:textId="77777777" w:rsidR="003C5EA8" w:rsidRDefault="003C5EA8" w:rsidP="003C5EA8">
      <w:pPr>
        <w:rPr>
          <w:b/>
          <w:bCs/>
        </w:rPr>
      </w:pPr>
    </w:p>
    <w:p w14:paraId="2D676760" w14:textId="77777777" w:rsidR="003B6893" w:rsidRDefault="003B6893" w:rsidP="003B6893">
      <w:pPr>
        <w:rPr>
          <w:rFonts w:ascii="Times New Roman" w:hAnsi="Times New Roman" w:cs="Times New Roman"/>
          <w:b/>
          <w:bCs/>
          <w:sz w:val="24"/>
          <w:szCs w:val="24"/>
        </w:rPr>
      </w:pPr>
    </w:p>
    <w:p w14:paraId="6311228F" w14:textId="4D8E84DC" w:rsidR="00B85118" w:rsidRPr="00B71FFE" w:rsidRDefault="00B85118" w:rsidP="00B85118">
      <w:pPr>
        <w:pStyle w:val="NoSpacing"/>
        <w:rPr>
          <w:rFonts w:ascii="Courier New" w:hAnsi="Courier New" w:cs="Courier New"/>
          <w:sz w:val="20"/>
          <w:szCs w:val="20"/>
        </w:rPr>
      </w:pPr>
      <w:r w:rsidRPr="00B71FFE">
        <w:rPr>
          <w:rFonts w:ascii="Courier New" w:hAnsi="Courier New" w:cs="Courier New"/>
          <w:sz w:val="20"/>
          <w:szCs w:val="20"/>
        </w:rPr>
        <w:t xml:space="preserve"> </w:t>
      </w:r>
    </w:p>
    <w:p w14:paraId="7BBA4DEF" w14:textId="77777777" w:rsidR="003C5EA8" w:rsidRDefault="003C5EA8">
      <w:pPr>
        <w:rPr>
          <w:rFonts w:ascii="Times New Roman" w:hAnsi="Times New Roman" w:cs="Times New Roman"/>
          <w:b/>
          <w:bCs/>
          <w:sz w:val="24"/>
          <w:szCs w:val="24"/>
        </w:rPr>
      </w:pPr>
      <w:r>
        <w:rPr>
          <w:rFonts w:ascii="Times New Roman" w:hAnsi="Times New Roman" w:cs="Times New Roman"/>
          <w:b/>
          <w:bCs/>
          <w:sz w:val="24"/>
          <w:szCs w:val="24"/>
        </w:rPr>
        <w:br w:type="page"/>
      </w:r>
    </w:p>
    <w:p w14:paraId="06AD9CCA" w14:textId="1395FA91" w:rsidR="00B85118" w:rsidRPr="00C650CD" w:rsidRDefault="00B85118" w:rsidP="00B85118">
      <w:pPr>
        <w:pStyle w:val="NoSpacing"/>
        <w:rPr>
          <w:rFonts w:ascii="Times New Roman" w:hAnsi="Times New Roman" w:cs="Times New Roman"/>
          <w:b/>
          <w:bCs/>
          <w:sz w:val="24"/>
          <w:szCs w:val="24"/>
        </w:rPr>
      </w:pPr>
      <w:r w:rsidRPr="00C650CD">
        <w:rPr>
          <w:rFonts w:ascii="Times New Roman" w:hAnsi="Times New Roman" w:cs="Times New Roman"/>
          <w:b/>
          <w:bCs/>
          <w:sz w:val="24"/>
          <w:szCs w:val="24"/>
        </w:rPr>
        <w:t>Figures</w:t>
      </w:r>
    </w:p>
    <w:p w14:paraId="4D64AAC7" w14:textId="77777777" w:rsidR="00B85118" w:rsidRDefault="00B85118" w:rsidP="00B85118">
      <w:pPr>
        <w:pStyle w:val="NoSpacing"/>
        <w:rPr>
          <w:rFonts w:ascii="Times New Roman" w:hAnsi="Times New Roman" w:cs="Times New Roman"/>
          <w:sz w:val="20"/>
          <w:szCs w:val="20"/>
        </w:rPr>
      </w:pPr>
    </w:p>
    <w:p w14:paraId="29F87361" w14:textId="77777777" w:rsidR="00B85118" w:rsidRPr="00C650CD" w:rsidRDefault="00B85118" w:rsidP="00B85118">
      <w:pPr>
        <w:pStyle w:val="NoSpacing"/>
        <w:rPr>
          <w:rFonts w:ascii="Times New Roman" w:hAnsi="Times New Roman" w:cs="Times New Roman"/>
          <w:sz w:val="20"/>
          <w:szCs w:val="20"/>
        </w:rPr>
      </w:pPr>
    </w:p>
    <w:p w14:paraId="2FD113EB" w14:textId="18730C09" w:rsidR="00B85118" w:rsidRDefault="00F90375" w:rsidP="00B85118">
      <w:pPr>
        <w:pStyle w:val="Caption"/>
      </w:pPr>
      <w:r>
        <w:rPr>
          <w:noProof/>
        </w:rPr>
        <w:drawing>
          <wp:inline distT="0" distB="0" distL="0" distR="0" wp14:anchorId="4286ADC9" wp14:editId="0D08412C">
            <wp:extent cx="5943600" cy="4202430"/>
            <wp:effectExtent l="0" t="0" r="0" b="762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4202430"/>
                    </a:xfrm>
                    <a:prstGeom prst="rect">
                      <a:avLst/>
                    </a:prstGeom>
                  </pic:spPr>
                </pic:pic>
              </a:graphicData>
            </a:graphic>
          </wp:inline>
        </w:drawing>
      </w:r>
      <w:r w:rsidR="00B85118">
        <w:t xml:space="preserve">Figure </w:t>
      </w:r>
      <w:fldSimple w:instr=" SEQ Figure \* ARABIC ">
        <w:r w:rsidR="00775BA1">
          <w:rPr>
            <w:noProof/>
          </w:rPr>
          <w:t>1</w:t>
        </w:r>
      </w:fldSimple>
      <w:r w:rsidR="00B85118">
        <w:t>: Shock values across NYC</w:t>
      </w:r>
      <w:r>
        <w:t xml:space="preserve"> for dry properties within 1 mile of the storm surge Red dot are housing sales w</w:t>
      </w:r>
      <w:r w:rsidR="0007423B">
        <w:t>h</w:t>
      </w:r>
      <w:r>
        <w:t>ere storm came close</w:t>
      </w:r>
      <w:r w:rsidR="0007423B">
        <w:t>r</w:t>
      </w:r>
      <w:r>
        <w:t xml:space="preserve"> to the property than the closest FEMA map boundary. Blue dots are where the closest FEMA boundar</w:t>
      </w:r>
      <w:r w:rsidR="0007423B">
        <w:t>y</w:t>
      </w:r>
      <w:r>
        <w:t xml:space="preserve"> was closer to the storm. Sales shown here were after Hurricane Sandy and through 2014.</w:t>
      </w:r>
    </w:p>
    <w:p w14:paraId="02F5E076" w14:textId="77777777" w:rsidR="00B85118" w:rsidRDefault="00B85118" w:rsidP="00B85118"/>
    <w:p w14:paraId="2DB0CA49" w14:textId="569D9109" w:rsidR="00B85118" w:rsidRDefault="003B6893" w:rsidP="00B85118">
      <w:pPr>
        <w:keepNext/>
      </w:pPr>
      <w:r>
        <w:rPr>
          <w:noProof/>
        </w:rPr>
        <w:drawing>
          <wp:inline distT="0" distB="0" distL="0" distR="0" wp14:anchorId="75D1F04A" wp14:editId="0ABD4AFF">
            <wp:extent cx="4572000" cy="2743200"/>
            <wp:effectExtent l="0" t="0" r="0" b="0"/>
            <wp:docPr id="1" name="Chart 1">
              <a:extLst xmlns:a="http://schemas.openxmlformats.org/drawingml/2006/main">
                <a:ext uri="{FF2B5EF4-FFF2-40B4-BE49-F238E27FC236}">
                  <a16:creationId xmlns:a16="http://schemas.microsoft.com/office/drawing/2014/main" id="{3A1D72BE-8C37-4580-B777-BAA433ADB7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4D2DEF" w14:textId="413049E9" w:rsidR="00B85118" w:rsidRDefault="00B85118" w:rsidP="00B85118">
      <w:pPr>
        <w:pStyle w:val="Caption"/>
      </w:pPr>
      <w:r>
        <w:t xml:space="preserve">Figure </w:t>
      </w:r>
      <w:fldSimple w:instr=" SEQ Figure \* ARABIC ">
        <w:r w:rsidR="00775BA1">
          <w:rPr>
            <w:noProof/>
          </w:rPr>
          <w:t>2</w:t>
        </w:r>
      </w:fldSimple>
      <w:r>
        <w:t xml:space="preserve">: </w:t>
      </w:r>
      <w:r w:rsidR="007F3527">
        <w:t>Estimated d</w:t>
      </w:r>
      <w:r w:rsidR="003B6893">
        <w:t>istance to Sandy</w:t>
      </w:r>
      <w:r w:rsidRPr="00581386">
        <w:t xml:space="preserve"> coefficients </w:t>
      </w:r>
      <w:r>
        <w:t xml:space="preserve">for dry properties </w:t>
      </w:r>
      <w:r w:rsidRPr="00581386">
        <w:t>from</w:t>
      </w:r>
      <w:r>
        <w:t xml:space="preserve"> individual</w:t>
      </w:r>
      <w:r w:rsidRPr="00581386">
        <w:t xml:space="preserve"> quarter-by-quarter regressions (within one mile of Sandy flood zone).</w:t>
      </w:r>
      <w:r>
        <w:t xml:space="preserve"> The storm occurred in 2012Q4. The blue </w:t>
      </w:r>
      <w:r w:rsidR="007F3527">
        <w:t xml:space="preserve">vertical </w:t>
      </w:r>
      <w:r>
        <w:t>line is the approximate date of the storm.</w:t>
      </w:r>
    </w:p>
    <w:p w14:paraId="077EDF16" w14:textId="3314FD3A" w:rsidR="00B85118" w:rsidRDefault="00B85118">
      <w:pPr>
        <w:rPr>
          <w:rFonts w:ascii="Times New Roman" w:hAnsi="Times New Roman" w:cs="Times New Roman"/>
          <w:b/>
          <w:sz w:val="24"/>
          <w:szCs w:val="24"/>
        </w:rPr>
      </w:pPr>
      <w:r>
        <w:rPr>
          <w:rFonts w:ascii="Times New Roman" w:hAnsi="Times New Roman" w:cs="Times New Roman"/>
          <w:b/>
          <w:sz w:val="24"/>
          <w:szCs w:val="24"/>
        </w:rPr>
        <w:br w:type="page"/>
      </w:r>
    </w:p>
    <w:p w14:paraId="12DDBE90" w14:textId="77777777" w:rsidR="00B85118" w:rsidRPr="008B6EFB" w:rsidRDefault="00B85118" w:rsidP="00B85118">
      <w:pPr>
        <w:rPr>
          <w:rFonts w:ascii="Times New Roman" w:hAnsi="Times New Roman" w:cs="Times New Roman"/>
          <w:b/>
          <w:bCs/>
          <w:sz w:val="24"/>
          <w:szCs w:val="24"/>
        </w:rPr>
      </w:pPr>
      <w:r w:rsidRPr="008B6EFB">
        <w:rPr>
          <w:rFonts w:ascii="Times New Roman" w:hAnsi="Times New Roman" w:cs="Times New Roman"/>
          <w:b/>
          <w:bCs/>
          <w:sz w:val="24"/>
          <w:szCs w:val="24"/>
        </w:rPr>
        <w:t>Appendix 1: The Data</w:t>
      </w:r>
    </w:p>
    <w:p w14:paraId="5FE4689C" w14:textId="77777777" w:rsidR="00B85118" w:rsidRPr="008B6EFB" w:rsidRDefault="00B85118" w:rsidP="00B85118">
      <w:pPr>
        <w:pStyle w:val="ListParagraph"/>
        <w:numPr>
          <w:ilvl w:val="0"/>
          <w:numId w:val="17"/>
        </w:numPr>
        <w:rPr>
          <w:rFonts w:ascii="Times New Roman" w:hAnsi="Times New Roman" w:cs="Times New Roman"/>
          <w:sz w:val="20"/>
          <w:szCs w:val="20"/>
        </w:rPr>
      </w:pPr>
      <w:r w:rsidRPr="008B6EFB">
        <w:rPr>
          <w:rFonts w:ascii="Times New Roman" w:hAnsi="Times New Roman" w:cs="Times New Roman"/>
          <w:sz w:val="20"/>
          <w:szCs w:val="20"/>
        </w:rPr>
        <w:t xml:space="preserve"> Data Sources and Preparation</w:t>
      </w:r>
    </w:p>
    <w:p w14:paraId="588E21C1" w14:textId="77777777" w:rsidR="00B85118" w:rsidRPr="008B6EFB" w:rsidRDefault="00B85118" w:rsidP="00B85118">
      <w:pPr>
        <w:pStyle w:val="ListParagraph"/>
        <w:rPr>
          <w:rFonts w:ascii="Times New Roman" w:hAnsi="Times New Roman" w:cs="Times New Roman"/>
          <w:sz w:val="20"/>
          <w:szCs w:val="20"/>
        </w:rPr>
      </w:pPr>
    </w:p>
    <w:p w14:paraId="5FB1D755" w14:textId="1AA70E43" w:rsidR="00B85118" w:rsidRPr="008B6EFB" w:rsidRDefault="00B85118" w:rsidP="00B85118">
      <w:pPr>
        <w:pStyle w:val="ListParagraph"/>
        <w:numPr>
          <w:ilvl w:val="0"/>
          <w:numId w:val="16"/>
        </w:numPr>
        <w:rPr>
          <w:rFonts w:ascii="Times New Roman" w:hAnsi="Times New Roman" w:cs="Times New Roman"/>
          <w:sz w:val="20"/>
          <w:szCs w:val="20"/>
        </w:rPr>
      </w:pPr>
      <w:r w:rsidRPr="008B6EFB">
        <w:rPr>
          <w:rFonts w:ascii="Times New Roman" w:hAnsi="Times New Roman" w:cs="Times New Roman"/>
          <w:i/>
          <w:iCs/>
          <w:sz w:val="20"/>
          <w:szCs w:val="20"/>
        </w:rPr>
        <w:t>Real Estate Sales</w:t>
      </w:r>
      <w:r w:rsidRPr="008B6EFB">
        <w:rPr>
          <w:rFonts w:ascii="Times New Roman" w:hAnsi="Times New Roman" w:cs="Times New Roman"/>
          <w:sz w:val="20"/>
          <w:szCs w:val="20"/>
        </w:rPr>
        <w:t>: Source: New York City Department of Finance. Data about individual sales, which includes prices, sales, date, building type at sale, building type at date of download (this allows to check if the building type has changed since the sale), gross square footage, land area of lot, and year built. The sales data contains all tra</w:t>
      </w:r>
      <w:r w:rsidR="000873D4">
        <w:rPr>
          <w:rFonts w:ascii="Times New Roman" w:hAnsi="Times New Roman" w:cs="Times New Roman"/>
          <w:sz w:val="20"/>
          <w:szCs w:val="20"/>
        </w:rPr>
        <w:t>ns</w:t>
      </w:r>
      <w:r w:rsidRPr="008B6EFB">
        <w:rPr>
          <w:rFonts w:ascii="Times New Roman" w:hAnsi="Times New Roman" w:cs="Times New Roman"/>
          <w:sz w:val="20"/>
          <w:szCs w:val="20"/>
        </w:rPr>
        <w:t>fers of title. We removed all transactions that were less than $10,000 on the assumption that they were not bona fide, open market sales. Fu</w:t>
      </w:r>
      <w:r w:rsidR="000873D4">
        <w:rPr>
          <w:rFonts w:ascii="Times New Roman" w:hAnsi="Times New Roman" w:cs="Times New Roman"/>
          <w:sz w:val="20"/>
          <w:szCs w:val="20"/>
        </w:rPr>
        <w:t>r</w:t>
      </w:r>
      <w:r w:rsidRPr="008B6EFB">
        <w:rPr>
          <w:rFonts w:ascii="Times New Roman" w:hAnsi="Times New Roman" w:cs="Times New Roman"/>
          <w:sz w:val="20"/>
          <w:szCs w:val="20"/>
        </w:rPr>
        <w:t>ther in the regressions we excluded observations that were in the lower first or upper 99</w:t>
      </w:r>
      <w:r w:rsidRPr="008B6EFB">
        <w:rPr>
          <w:rFonts w:ascii="Times New Roman" w:hAnsi="Times New Roman" w:cs="Times New Roman"/>
          <w:sz w:val="20"/>
          <w:szCs w:val="20"/>
          <w:vertAlign w:val="superscript"/>
        </w:rPr>
        <w:t>th</w:t>
      </w:r>
      <w:r w:rsidRPr="008B6EFB">
        <w:rPr>
          <w:rFonts w:ascii="Times New Roman" w:hAnsi="Times New Roman" w:cs="Times New Roman"/>
          <w:sz w:val="20"/>
          <w:szCs w:val="20"/>
        </w:rPr>
        <w:t xml:space="preserve"> percentile or price per square foot of building area to further eliminate observations that were outliers (both due to possibility of being non-market transaction or were genuine outliners).</w:t>
      </w:r>
    </w:p>
    <w:p w14:paraId="449EB923" w14:textId="77777777" w:rsidR="00B85118" w:rsidRPr="008B6EFB" w:rsidRDefault="00B85118" w:rsidP="00B85118">
      <w:pPr>
        <w:pStyle w:val="ListParagraph"/>
        <w:rPr>
          <w:rFonts w:ascii="Times New Roman" w:hAnsi="Times New Roman" w:cs="Times New Roman"/>
          <w:sz w:val="20"/>
          <w:szCs w:val="20"/>
        </w:rPr>
      </w:pPr>
    </w:p>
    <w:p w14:paraId="183144B7" w14:textId="630C60D9" w:rsidR="00B85118" w:rsidRPr="008B6EFB" w:rsidRDefault="00B85118" w:rsidP="00B85118">
      <w:pPr>
        <w:pStyle w:val="ListParagraph"/>
        <w:numPr>
          <w:ilvl w:val="0"/>
          <w:numId w:val="16"/>
        </w:numPr>
        <w:rPr>
          <w:rFonts w:ascii="Times New Roman" w:hAnsi="Times New Roman" w:cs="Times New Roman"/>
          <w:sz w:val="20"/>
          <w:szCs w:val="20"/>
        </w:rPr>
      </w:pPr>
      <w:r w:rsidRPr="008B6EFB">
        <w:rPr>
          <w:rFonts w:ascii="Times New Roman" w:hAnsi="Times New Roman" w:cs="Times New Roman"/>
          <w:i/>
          <w:iCs/>
          <w:sz w:val="20"/>
          <w:szCs w:val="20"/>
        </w:rPr>
        <w:t>Additional Building Information</w:t>
      </w:r>
      <w:r w:rsidRPr="008B6EFB">
        <w:rPr>
          <w:rFonts w:ascii="Times New Roman" w:hAnsi="Times New Roman" w:cs="Times New Roman"/>
          <w:sz w:val="20"/>
          <w:szCs w:val="20"/>
        </w:rPr>
        <w:t>: Source: New York City Department of City Planning (DCP). The DCP annually produces the Primary Land Use Tax Lot Output (PLUTO) file which contains information about each tax lot in the city, including the building type, the number of units, the number of residential units, building area, age, lot size and shape, and other variables about the structure and location (see Table A.1). The PLUTO file also contains census tracts and latitude and lon</w:t>
      </w:r>
      <w:r w:rsidR="000873D4">
        <w:rPr>
          <w:rFonts w:ascii="Times New Roman" w:hAnsi="Times New Roman" w:cs="Times New Roman"/>
          <w:sz w:val="20"/>
          <w:szCs w:val="20"/>
        </w:rPr>
        <w:t>gi</w:t>
      </w:r>
      <w:r w:rsidRPr="008B6EFB">
        <w:rPr>
          <w:rFonts w:ascii="Times New Roman" w:hAnsi="Times New Roman" w:cs="Times New Roman"/>
          <w:sz w:val="20"/>
          <w:szCs w:val="20"/>
        </w:rPr>
        <w:t>t</w:t>
      </w:r>
      <w:r w:rsidR="00AD4933">
        <w:rPr>
          <w:rFonts w:ascii="Times New Roman" w:hAnsi="Times New Roman" w:cs="Times New Roman"/>
          <w:sz w:val="20"/>
          <w:szCs w:val="20"/>
        </w:rPr>
        <w:t>u</w:t>
      </w:r>
      <w:r w:rsidRPr="008B6EFB">
        <w:rPr>
          <w:rFonts w:ascii="Times New Roman" w:hAnsi="Times New Roman" w:cs="Times New Roman"/>
          <w:sz w:val="20"/>
          <w:szCs w:val="20"/>
        </w:rPr>
        <w:t>de coord</w:t>
      </w:r>
      <w:r w:rsidR="00AD4933">
        <w:rPr>
          <w:rFonts w:ascii="Times New Roman" w:hAnsi="Times New Roman" w:cs="Times New Roman"/>
          <w:sz w:val="20"/>
          <w:szCs w:val="20"/>
        </w:rPr>
        <w:t>i</w:t>
      </w:r>
      <w:r w:rsidRPr="008B6EFB">
        <w:rPr>
          <w:rFonts w:ascii="Times New Roman" w:hAnsi="Times New Roman" w:cs="Times New Roman"/>
          <w:sz w:val="20"/>
          <w:szCs w:val="20"/>
        </w:rPr>
        <w:t>nates, which we used to find the distance to the Sandy flood zone and the FEMA floodplains.</w:t>
      </w:r>
    </w:p>
    <w:p w14:paraId="3525E185" w14:textId="77777777" w:rsidR="00B85118" w:rsidRPr="008B6EFB" w:rsidRDefault="00B85118" w:rsidP="00B85118">
      <w:pPr>
        <w:pStyle w:val="ListParagraph"/>
        <w:rPr>
          <w:rFonts w:ascii="Times New Roman" w:hAnsi="Times New Roman" w:cs="Times New Roman"/>
          <w:sz w:val="20"/>
          <w:szCs w:val="20"/>
        </w:rPr>
      </w:pPr>
    </w:p>
    <w:p w14:paraId="09497845" w14:textId="5A9EE0C2" w:rsidR="00B85118" w:rsidRPr="008B6EFB" w:rsidRDefault="00B85118" w:rsidP="00B85118">
      <w:pPr>
        <w:pStyle w:val="ListParagraph"/>
        <w:rPr>
          <w:rFonts w:ascii="Times New Roman" w:hAnsi="Times New Roman" w:cs="Times New Roman"/>
          <w:sz w:val="20"/>
          <w:szCs w:val="20"/>
        </w:rPr>
      </w:pPr>
      <w:r w:rsidRPr="008B6EFB">
        <w:rPr>
          <w:rFonts w:ascii="Times New Roman" w:hAnsi="Times New Roman" w:cs="Times New Roman"/>
          <w:sz w:val="20"/>
          <w:szCs w:val="20"/>
        </w:rPr>
        <w:t>The PLUTO data was merged with the sales data by the unique borough-block-lot (BBL) id number. In the data set we retained obs</w:t>
      </w:r>
      <w:r w:rsidR="00AD4933">
        <w:rPr>
          <w:rFonts w:ascii="Times New Roman" w:hAnsi="Times New Roman" w:cs="Times New Roman"/>
          <w:sz w:val="20"/>
          <w:szCs w:val="20"/>
        </w:rPr>
        <w:t>e</w:t>
      </w:r>
      <w:r w:rsidRPr="008B6EFB">
        <w:rPr>
          <w:rFonts w:ascii="Times New Roman" w:hAnsi="Times New Roman" w:cs="Times New Roman"/>
          <w:sz w:val="20"/>
          <w:szCs w:val="20"/>
        </w:rPr>
        <w:t>rvations where the building types remained constant within the sales file and with the data in the PLUTO file. Furthermore, we dropped observation where the age, log size, building area were different across files to remove buildings that might have been torn down or sub</w:t>
      </w:r>
      <w:r w:rsidR="00AD4933">
        <w:rPr>
          <w:rFonts w:ascii="Times New Roman" w:hAnsi="Times New Roman" w:cs="Times New Roman"/>
          <w:sz w:val="20"/>
          <w:szCs w:val="20"/>
        </w:rPr>
        <w:t>s</w:t>
      </w:r>
      <w:r w:rsidRPr="008B6EFB">
        <w:rPr>
          <w:rFonts w:ascii="Times New Roman" w:hAnsi="Times New Roman" w:cs="Times New Roman"/>
          <w:sz w:val="20"/>
          <w:szCs w:val="20"/>
        </w:rPr>
        <w:t>ta</w:t>
      </w:r>
      <w:r w:rsidR="00AD4933">
        <w:rPr>
          <w:rFonts w:ascii="Times New Roman" w:hAnsi="Times New Roman" w:cs="Times New Roman"/>
          <w:sz w:val="20"/>
          <w:szCs w:val="20"/>
        </w:rPr>
        <w:t>nti</w:t>
      </w:r>
      <w:r w:rsidRPr="008B6EFB">
        <w:rPr>
          <w:rFonts w:ascii="Times New Roman" w:hAnsi="Times New Roman" w:cs="Times New Roman"/>
          <w:sz w:val="20"/>
          <w:szCs w:val="20"/>
        </w:rPr>
        <w:t xml:space="preserve">ally changed over time. </w:t>
      </w:r>
    </w:p>
    <w:p w14:paraId="6297B772" w14:textId="77777777" w:rsidR="00B85118" w:rsidRPr="008B6EFB" w:rsidRDefault="00B85118" w:rsidP="00B85118">
      <w:pPr>
        <w:pStyle w:val="ListParagraph"/>
        <w:rPr>
          <w:rFonts w:ascii="Times New Roman" w:hAnsi="Times New Roman" w:cs="Times New Roman"/>
          <w:sz w:val="20"/>
          <w:szCs w:val="20"/>
        </w:rPr>
      </w:pPr>
    </w:p>
    <w:p w14:paraId="71657C15" w14:textId="1C2153A9" w:rsidR="00B85118" w:rsidRPr="008B6EFB" w:rsidRDefault="00B85118" w:rsidP="00B85118">
      <w:pPr>
        <w:pStyle w:val="ListParagraph"/>
        <w:numPr>
          <w:ilvl w:val="0"/>
          <w:numId w:val="16"/>
        </w:numPr>
        <w:rPr>
          <w:rFonts w:ascii="Times New Roman" w:hAnsi="Times New Roman" w:cs="Times New Roman"/>
          <w:sz w:val="20"/>
          <w:szCs w:val="20"/>
        </w:rPr>
      </w:pPr>
      <w:r w:rsidRPr="008B6EFB">
        <w:rPr>
          <w:rFonts w:ascii="Times New Roman" w:hAnsi="Times New Roman" w:cs="Times New Roman"/>
          <w:i/>
          <w:iCs/>
          <w:sz w:val="20"/>
          <w:szCs w:val="20"/>
        </w:rPr>
        <w:t>Sandy Flood Zone and FEMA Floodplain</w:t>
      </w:r>
      <w:r w:rsidRPr="008B6EFB">
        <w:rPr>
          <w:rFonts w:ascii="Times New Roman" w:hAnsi="Times New Roman" w:cs="Times New Roman"/>
          <w:sz w:val="20"/>
          <w:szCs w:val="20"/>
        </w:rPr>
        <w:t xml:space="preserve">: GIS shapefiles were generously provided by the National Resources Defense Council (NRDC). They provided us with GIS shape files that indicated the locations in the city of the surge flood, and the locations of FEMA floodplain. We used the same files as shown in Figure 1 of their report on Sandy, at </w:t>
      </w:r>
      <w:hyperlink r:id="rId20" w:history="1">
        <w:r w:rsidRPr="008B6EFB">
          <w:rPr>
            <w:rStyle w:val="Hyperlink"/>
            <w:rFonts w:ascii="Times New Roman" w:hAnsi="Times New Roman" w:cs="Times New Roman"/>
            <w:sz w:val="20"/>
            <w:szCs w:val="20"/>
          </w:rPr>
          <w:t>https://www.nrdc.org/sites/default/files/hurricane-sandy-coastal-flooding-report.pdf</w:t>
        </w:r>
      </w:hyperlink>
      <w:r w:rsidRPr="008B6EFB">
        <w:rPr>
          <w:rFonts w:ascii="Times New Roman" w:hAnsi="Times New Roman" w:cs="Times New Roman"/>
          <w:sz w:val="20"/>
          <w:szCs w:val="20"/>
        </w:rPr>
        <w:t xml:space="preserve">. </w:t>
      </w:r>
    </w:p>
    <w:p w14:paraId="5D563281" w14:textId="77777777" w:rsidR="00B85118" w:rsidRPr="008B6EFB" w:rsidRDefault="00B85118" w:rsidP="00B85118">
      <w:pPr>
        <w:pStyle w:val="ListParagraph"/>
        <w:rPr>
          <w:rFonts w:ascii="Times New Roman" w:hAnsi="Times New Roman" w:cs="Times New Roman"/>
          <w:sz w:val="20"/>
          <w:szCs w:val="20"/>
        </w:rPr>
      </w:pPr>
    </w:p>
    <w:p w14:paraId="4EDC68E3" w14:textId="77777777" w:rsidR="00B85118" w:rsidRPr="008B6EFB" w:rsidRDefault="00B85118" w:rsidP="00B85118">
      <w:pPr>
        <w:pStyle w:val="ListParagraph"/>
        <w:rPr>
          <w:rFonts w:ascii="Times New Roman" w:hAnsi="Times New Roman" w:cs="Times New Roman"/>
          <w:sz w:val="20"/>
          <w:szCs w:val="20"/>
        </w:rPr>
      </w:pPr>
      <w:r w:rsidRPr="008B6EFB">
        <w:rPr>
          <w:rFonts w:ascii="Times New Roman" w:hAnsi="Times New Roman" w:cs="Times New Roman"/>
          <w:sz w:val="20"/>
          <w:szCs w:val="20"/>
        </w:rPr>
        <w:t xml:space="preserve">Using this information, we then created our Sandy-related variables, which include the distance to the flood zone boundary for all properties, the distance to the shoreline, and the distance to the FEMA floodplain boundary. For flooded properties, we ascertained whether the building was in the FEMA floodplain map that was in effect in 2012. We also used the NRDC shape file to ascertain the distance of each property to the closest shoreline.  </w:t>
      </w:r>
    </w:p>
    <w:p w14:paraId="78B0A720" w14:textId="4F94E655" w:rsidR="00711D5C" w:rsidRDefault="00711D5C">
      <w:pPr>
        <w:rPr>
          <w:rFonts w:ascii="Times New Roman" w:hAnsi="Times New Roman" w:cs="Times New Roman"/>
          <w:sz w:val="20"/>
          <w:szCs w:val="20"/>
        </w:rPr>
      </w:pPr>
      <w:r>
        <w:rPr>
          <w:rFonts w:ascii="Times New Roman" w:hAnsi="Times New Roman" w:cs="Times New Roman"/>
          <w:sz w:val="20"/>
          <w:szCs w:val="20"/>
        </w:rPr>
        <w:br w:type="page"/>
      </w:r>
    </w:p>
    <w:p w14:paraId="33652154" w14:textId="77777777" w:rsidR="00B85118" w:rsidRPr="008B6EFB" w:rsidRDefault="00B85118" w:rsidP="00B85118">
      <w:pPr>
        <w:pStyle w:val="ListParagraph"/>
        <w:numPr>
          <w:ilvl w:val="0"/>
          <w:numId w:val="17"/>
        </w:numPr>
        <w:rPr>
          <w:rFonts w:ascii="Times New Roman" w:hAnsi="Times New Roman" w:cs="Times New Roman"/>
          <w:b/>
          <w:bCs/>
          <w:sz w:val="20"/>
          <w:szCs w:val="20"/>
        </w:rPr>
      </w:pPr>
      <w:r w:rsidRPr="008B6EFB">
        <w:rPr>
          <w:rFonts w:ascii="Times New Roman" w:hAnsi="Times New Roman" w:cs="Times New Roman"/>
          <w:b/>
          <w:bCs/>
          <w:sz w:val="20"/>
          <w:szCs w:val="20"/>
        </w:rPr>
        <w:t>Additional Variables Not Shown in Regression Table</w:t>
      </w:r>
    </w:p>
    <w:p w14:paraId="49BC6364" w14:textId="53275154" w:rsidR="00B85118" w:rsidRPr="008B6EFB" w:rsidRDefault="00B85118" w:rsidP="00B85118">
      <w:pPr>
        <w:rPr>
          <w:rFonts w:ascii="Times New Roman" w:hAnsi="Times New Roman" w:cs="Times New Roman"/>
          <w:sz w:val="20"/>
          <w:szCs w:val="20"/>
        </w:rPr>
      </w:pPr>
      <w:r w:rsidRPr="008B6EFB">
        <w:rPr>
          <w:rFonts w:ascii="Times New Roman" w:hAnsi="Times New Roman" w:cs="Times New Roman"/>
          <w:sz w:val="20"/>
          <w:szCs w:val="20"/>
        </w:rPr>
        <w:t>In several specifications, we included additional building and lot controls not shown in the table. These include building type-style dummies (e.g., a dummy variable for one-family, cape-code style, one for one-family, two-story-detached, etc.), dummies for proximity to other structures, dummies for basement types, and dummies for lot shape. Descriptive statistics are avail</w:t>
      </w:r>
      <w:r w:rsidR="003F5488">
        <w:rPr>
          <w:rFonts w:ascii="Times New Roman" w:hAnsi="Times New Roman" w:cs="Times New Roman"/>
          <w:sz w:val="20"/>
          <w:szCs w:val="20"/>
        </w:rPr>
        <w:t>able</w:t>
      </w:r>
      <w:r w:rsidRPr="008B6EFB">
        <w:rPr>
          <w:rFonts w:ascii="Times New Roman" w:hAnsi="Times New Roman" w:cs="Times New Roman"/>
          <w:sz w:val="20"/>
          <w:szCs w:val="20"/>
        </w:rPr>
        <w:t xml:space="preserve"> upon request.</w:t>
      </w:r>
    </w:p>
    <w:tbl>
      <w:tblPr>
        <w:tblW w:w="7520" w:type="dxa"/>
        <w:tblLook w:val="04A0" w:firstRow="1" w:lastRow="0" w:firstColumn="1" w:lastColumn="0" w:noHBand="0" w:noVBand="1"/>
      </w:tblPr>
      <w:tblGrid>
        <w:gridCol w:w="2908"/>
        <w:gridCol w:w="4612"/>
      </w:tblGrid>
      <w:tr w:rsidR="00B85118" w:rsidRPr="00156F67" w14:paraId="6AD294DD" w14:textId="77777777" w:rsidTr="009E5F0C">
        <w:trPr>
          <w:trHeight w:val="295"/>
        </w:trPr>
        <w:tc>
          <w:tcPr>
            <w:tcW w:w="752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5B3DBEEE" w14:textId="77777777" w:rsidR="00B85118" w:rsidRPr="002C08E7" w:rsidRDefault="00B85118" w:rsidP="009E5F0C">
            <w:pPr>
              <w:spacing w:after="0" w:line="240" w:lineRule="auto"/>
              <w:jc w:val="center"/>
              <w:rPr>
                <w:rFonts w:ascii="Times New Roman" w:eastAsia="Times New Roman" w:hAnsi="Times New Roman" w:cs="Times New Roman"/>
                <w:b/>
                <w:bCs/>
                <w:color w:val="000000"/>
                <w:sz w:val="16"/>
                <w:szCs w:val="16"/>
              </w:rPr>
            </w:pPr>
            <w:r w:rsidRPr="002C08E7">
              <w:rPr>
                <w:rFonts w:ascii="Times New Roman" w:eastAsia="Times New Roman" w:hAnsi="Times New Roman" w:cs="Times New Roman"/>
                <w:b/>
                <w:bCs/>
                <w:color w:val="000000"/>
                <w:sz w:val="16"/>
                <w:szCs w:val="16"/>
              </w:rPr>
              <w:t>Building Type</w:t>
            </w:r>
          </w:p>
        </w:tc>
      </w:tr>
      <w:tr w:rsidR="00B85118" w:rsidRPr="00156F67" w14:paraId="52D82390" w14:textId="77777777" w:rsidTr="009E5F0C">
        <w:trPr>
          <w:trHeight w:val="295"/>
        </w:trPr>
        <w:tc>
          <w:tcPr>
            <w:tcW w:w="2908" w:type="dxa"/>
            <w:tcBorders>
              <w:top w:val="nil"/>
              <w:left w:val="single" w:sz="4" w:space="0" w:color="auto"/>
              <w:bottom w:val="single" w:sz="4" w:space="0" w:color="auto"/>
              <w:right w:val="nil"/>
            </w:tcBorders>
            <w:shd w:val="clear" w:color="auto" w:fill="auto"/>
            <w:noWrap/>
            <w:vAlign w:val="bottom"/>
            <w:hideMark/>
          </w:tcPr>
          <w:p w14:paraId="2BA5CB69" w14:textId="77777777" w:rsidR="00B85118" w:rsidRPr="002C08E7" w:rsidRDefault="00B85118" w:rsidP="009E5F0C">
            <w:pPr>
              <w:spacing w:after="0" w:line="240" w:lineRule="auto"/>
              <w:jc w:val="center"/>
              <w:rPr>
                <w:rFonts w:ascii="Times New Roman" w:eastAsia="Times New Roman" w:hAnsi="Times New Roman" w:cs="Times New Roman"/>
                <w:b/>
                <w:bCs/>
                <w:color w:val="000000"/>
                <w:sz w:val="16"/>
                <w:szCs w:val="16"/>
              </w:rPr>
            </w:pPr>
            <w:r w:rsidRPr="002C08E7">
              <w:rPr>
                <w:rFonts w:ascii="Times New Roman" w:eastAsia="Times New Roman" w:hAnsi="Times New Roman" w:cs="Times New Roman"/>
                <w:b/>
                <w:bCs/>
                <w:color w:val="000000"/>
                <w:sz w:val="16"/>
                <w:szCs w:val="16"/>
              </w:rPr>
              <w:t>Type</w:t>
            </w:r>
          </w:p>
        </w:tc>
        <w:tc>
          <w:tcPr>
            <w:tcW w:w="4612" w:type="dxa"/>
            <w:tcBorders>
              <w:top w:val="nil"/>
              <w:left w:val="nil"/>
              <w:bottom w:val="single" w:sz="4" w:space="0" w:color="auto"/>
              <w:right w:val="single" w:sz="4" w:space="0" w:color="auto"/>
            </w:tcBorders>
            <w:shd w:val="clear" w:color="auto" w:fill="auto"/>
            <w:noWrap/>
            <w:vAlign w:val="bottom"/>
            <w:hideMark/>
          </w:tcPr>
          <w:p w14:paraId="12794EFE" w14:textId="77777777" w:rsidR="00B85118" w:rsidRPr="002C08E7" w:rsidRDefault="00B85118" w:rsidP="009E5F0C">
            <w:pPr>
              <w:spacing w:after="0" w:line="240" w:lineRule="auto"/>
              <w:jc w:val="center"/>
              <w:rPr>
                <w:rFonts w:ascii="Times New Roman" w:eastAsia="Times New Roman" w:hAnsi="Times New Roman" w:cs="Times New Roman"/>
                <w:b/>
                <w:bCs/>
                <w:color w:val="000000"/>
                <w:sz w:val="16"/>
                <w:szCs w:val="16"/>
              </w:rPr>
            </w:pPr>
            <w:r w:rsidRPr="002C08E7">
              <w:rPr>
                <w:rFonts w:ascii="Times New Roman" w:eastAsia="Times New Roman" w:hAnsi="Times New Roman" w:cs="Times New Roman"/>
                <w:b/>
                <w:bCs/>
                <w:color w:val="000000"/>
                <w:sz w:val="16"/>
                <w:szCs w:val="16"/>
              </w:rPr>
              <w:t>Style</w:t>
            </w:r>
          </w:p>
        </w:tc>
      </w:tr>
      <w:tr w:rsidR="00B85118" w:rsidRPr="00156F67" w14:paraId="31D0C6EA"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8D93B7B"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One family dwelling</w:t>
            </w:r>
          </w:p>
        </w:tc>
        <w:tc>
          <w:tcPr>
            <w:tcW w:w="4612" w:type="dxa"/>
            <w:tcBorders>
              <w:top w:val="nil"/>
              <w:left w:val="nil"/>
              <w:bottom w:val="single" w:sz="4" w:space="0" w:color="auto"/>
              <w:right w:val="single" w:sz="4" w:space="0" w:color="auto"/>
            </w:tcBorders>
            <w:shd w:val="clear" w:color="auto" w:fill="auto"/>
            <w:noWrap/>
            <w:vAlign w:val="bottom"/>
            <w:hideMark/>
          </w:tcPr>
          <w:p w14:paraId="50CBB44D"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Cape code</w:t>
            </w:r>
          </w:p>
        </w:tc>
      </w:tr>
      <w:tr w:rsidR="00B85118" w:rsidRPr="00156F67" w14:paraId="3437E03B"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316BC9CA"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One family dwelling</w:t>
            </w:r>
          </w:p>
        </w:tc>
        <w:tc>
          <w:tcPr>
            <w:tcW w:w="4612" w:type="dxa"/>
            <w:tcBorders>
              <w:top w:val="nil"/>
              <w:left w:val="nil"/>
              <w:bottom w:val="single" w:sz="4" w:space="0" w:color="auto"/>
              <w:right w:val="single" w:sz="4" w:space="0" w:color="auto"/>
            </w:tcBorders>
            <w:shd w:val="clear" w:color="auto" w:fill="auto"/>
            <w:noWrap/>
            <w:vAlign w:val="bottom"/>
            <w:hideMark/>
          </w:tcPr>
          <w:p w14:paraId="0F290880"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Two stories, detached</w:t>
            </w:r>
          </w:p>
        </w:tc>
      </w:tr>
      <w:tr w:rsidR="00B85118" w:rsidRPr="00156F67" w14:paraId="75A689B4"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EA20715"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One family dwelling</w:t>
            </w:r>
          </w:p>
        </w:tc>
        <w:tc>
          <w:tcPr>
            <w:tcW w:w="4612" w:type="dxa"/>
            <w:tcBorders>
              <w:top w:val="nil"/>
              <w:left w:val="nil"/>
              <w:bottom w:val="single" w:sz="4" w:space="0" w:color="auto"/>
              <w:right w:val="single" w:sz="4" w:space="0" w:color="auto"/>
            </w:tcBorders>
            <w:shd w:val="clear" w:color="auto" w:fill="auto"/>
            <w:noWrap/>
            <w:vAlign w:val="bottom"/>
            <w:hideMark/>
          </w:tcPr>
          <w:p w14:paraId="08F68DB2"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One story</w:t>
            </w:r>
          </w:p>
        </w:tc>
      </w:tr>
      <w:tr w:rsidR="00B85118" w:rsidRPr="00156F67" w14:paraId="0B55CF89"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10FDA665"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One family dwelling</w:t>
            </w:r>
          </w:p>
        </w:tc>
        <w:tc>
          <w:tcPr>
            <w:tcW w:w="4612" w:type="dxa"/>
            <w:tcBorders>
              <w:top w:val="nil"/>
              <w:left w:val="nil"/>
              <w:bottom w:val="single" w:sz="4" w:space="0" w:color="auto"/>
              <w:right w:val="single" w:sz="4" w:space="0" w:color="auto"/>
            </w:tcBorders>
            <w:shd w:val="clear" w:color="auto" w:fill="auto"/>
            <w:noWrap/>
            <w:vAlign w:val="bottom"/>
            <w:hideMark/>
          </w:tcPr>
          <w:p w14:paraId="6DE528A9"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Large suburban residence</w:t>
            </w:r>
          </w:p>
        </w:tc>
      </w:tr>
      <w:tr w:rsidR="00B85118" w:rsidRPr="00156F67" w14:paraId="171370E1"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76078339"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One family dwelling</w:t>
            </w:r>
          </w:p>
        </w:tc>
        <w:tc>
          <w:tcPr>
            <w:tcW w:w="4612" w:type="dxa"/>
            <w:tcBorders>
              <w:top w:val="nil"/>
              <w:left w:val="nil"/>
              <w:bottom w:val="single" w:sz="4" w:space="0" w:color="auto"/>
              <w:right w:val="single" w:sz="4" w:space="0" w:color="auto"/>
            </w:tcBorders>
            <w:shd w:val="clear" w:color="auto" w:fill="auto"/>
            <w:noWrap/>
            <w:vAlign w:val="bottom"/>
            <w:hideMark/>
          </w:tcPr>
          <w:p w14:paraId="1942145A"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City residence</w:t>
            </w:r>
          </w:p>
        </w:tc>
      </w:tr>
      <w:tr w:rsidR="00B85118" w:rsidRPr="00156F67" w14:paraId="3B77178A"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FDE1358"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One family dwelling</w:t>
            </w:r>
          </w:p>
        </w:tc>
        <w:tc>
          <w:tcPr>
            <w:tcW w:w="4612" w:type="dxa"/>
            <w:tcBorders>
              <w:top w:val="nil"/>
              <w:left w:val="nil"/>
              <w:bottom w:val="single" w:sz="4" w:space="0" w:color="auto"/>
              <w:right w:val="single" w:sz="4" w:space="0" w:color="auto"/>
            </w:tcBorders>
            <w:shd w:val="clear" w:color="auto" w:fill="auto"/>
            <w:noWrap/>
            <w:vAlign w:val="bottom"/>
            <w:hideMark/>
          </w:tcPr>
          <w:p w14:paraId="65990C3B"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Attached or semi-detached</w:t>
            </w:r>
          </w:p>
        </w:tc>
      </w:tr>
      <w:tr w:rsidR="00B85118" w:rsidRPr="00156F67" w14:paraId="7E6819BE"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2CED662"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One family dwelling</w:t>
            </w:r>
          </w:p>
        </w:tc>
        <w:tc>
          <w:tcPr>
            <w:tcW w:w="4612" w:type="dxa"/>
            <w:tcBorders>
              <w:top w:val="nil"/>
              <w:left w:val="nil"/>
              <w:bottom w:val="single" w:sz="4" w:space="0" w:color="auto"/>
              <w:right w:val="single" w:sz="4" w:space="0" w:color="auto"/>
            </w:tcBorders>
            <w:shd w:val="clear" w:color="auto" w:fill="auto"/>
            <w:noWrap/>
            <w:vAlign w:val="bottom"/>
            <w:hideMark/>
          </w:tcPr>
          <w:p w14:paraId="340351DB"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Summer cottage</w:t>
            </w:r>
          </w:p>
        </w:tc>
      </w:tr>
      <w:tr w:rsidR="00B85118" w:rsidRPr="00156F67" w14:paraId="40B50951"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7AB09065"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One family dwelling</w:t>
            </w:r>
          </w:p>
        </w:tc>
        <w:tc>
          <w:tcPr>
            <w:tcW w:w="4612" w:type="dxa"/>
            <w:tcBorders>
              <w:top w:val="nil"/>
              <w:left w:val="nil"/>
              <w:bottom w:val="single" w:sz="4" w:space="0" w:color="auto"/>
              <w:right w:val="single" w:sz="4" w:space="0" w:color="auto"/>
            </w:tcBorders>
            <w:shd w:val="clear" w:color="auto" w:fill="auto"/>
            <w:noWrap/>
            <w:vAlign w:val="bottom"/>
            <w:hideMark/>
          </w:tcPr>
          <w:p w14:paraId="62A074FD"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Mansion or town house</w:t>
            </w:r>
          </w:p>
        </w:tc>
      </w:tr>
      <w:tr w:rsidR="00B85118" w:rsidRPr="00156F67" w14:paraId="37901D44"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7C33487B"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One family dwelling</w:t>
            </w:r>
          </w:p>
        </w:tc>
        <w:tc>
          <w:tcPr>
            <w:tcW w:w="4612" w:type="dxa"/>
            <w:tcBorders>
              <w:top w:val="nil"/>
              <w:left w:val="nil"/>
              <w:bottom w:val="single" w:sz="4" w:space="0" w:color="auto"/>
              <w:right w:val="single" w:sz="4" w:space="0" w:color="auto"/>
            </w:tcBorders>
            <w:shd w:val="clear" w:color="auto" w:fill="auto"/>
            <w:noWrap/>
            <w:vAlign w:val="bottom"/>
            <w:hideMark/>
          </w:tcPr>
          <w:p w14:paraId="567091A4"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Bungalow</w:t>
            </w:r>
          </w:p>
        </w:tc>
      </w:tr>
      <w:tr w:rsidR="00B85118" w:rsidRPr="00156F67" w14:paraId="48263F65"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2EBF87A1"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Two family dwelling</w:t>
            </w:r>
          </w:p>
        </w:tc>
        <w:tc>
          <w:tcPr>
            <w:tcW w:w="4612" w:type="dxa"/>
            <w:tcBorders>
              <w:top w:val="nil"/>
              <w:left w:val="nil"/>
              <w:bottom w:val="single" w:sz="4" w:space="0" w:color="auto"/>
              <w:right w:val="single" w:sz="4" w:space="0" w:color="auto"/>
            </w:tcBorders>
            <w:shd w:val="clear" w:color="auto" w:fill="auto"/>
            <w:noWrap/>
            <w:vAlign w:val="bottom"/>
            <w:hideMark/>
          </w:tcPr>
          <w:p w14:paraId="04C301BC"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Brick</w:t>
            </w:r>
          </w:p>
        </w:tc>
      </w:tr>
      <w:tr w:rsidR="00B85118" w:rsidRPr="00156F67" w14:paraId="71081290"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7E5AE512"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Two family dwelling</w:t>
            </w:r>
          </w:p>
        </w:tc>
        <w:tc>
          <w:tcPr>
            <w:tcW w:w="4612" w:type="dxa"/>
            <w:tcBorders>
              <w:top w:val="nil"/>
              <w:left w:val="nil"/>
              <w:bottom w:val="single" w:sz="4" w:space="0" w:color="auto"/>
              <w:right w:val="single" w:sz="4" w:space="0" w:color="auto"/>
            </w:tcBorders>
            <w:shd w:val="clear" w:color="auto" w:fill="auto"/>
            <w:noWrap/>
            <w:vAlign w:val="bottom"/>
            <w:hideMark/>
          </w:tcPr>
          <w:p w14:paraId="0012EC83"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Frame</w:t>
            </w:r>
          </w:p>
        </w:tc>
      </w:tr>
      <w:tr w:rsidR="00B85118" w:rsidRPr="00156F67" w14:paraId="79B50530"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DBD0843"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Two family dwelling</w:t>
            </w:r>
          </w:p>
        </w:tc>
        <w:tc>
          <w:tcPr>
            <w:tcW w:w="4612" w:type="dxa"/>
            <w:tcBorders>
              <w:top w:val="nil"/>
              <w:left w:val="nil"/>
              <w:bottom w:val="single" w:sz="4" w:space="0" w:color="auto"/>
              <w:right w:val="single" w:sz="4" w:space="0" w:color="auto"/>
            </w:tcBorders>
            <w:shd w:val="clear" w:color="auto" w:fill="auto"/>
            <w:noWrap/>
            <w:vAlign w:val="bottom"/>
            <w:hideMark/>
          </w:tcPr>
          <w:p w14:paraId="37F2D3D3"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Converted from one family</w:t>
            </w:r>
          </w:p>
        </w:tc>
      </w:tr>
      <w:tr w:rsidR="00B85118" w:rsidRPr="00156F67" w14:paraId="0E8C31C4"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309503D7"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Two family dwelling</w:t>
            </w:r>
          </w:p>
        </w:tc>
        <w:tc>
          <w:tcPr>
            <w:tcW w:w="4612" w:type="dxa"/>
            <w:tcBorders>
              <w:top w:val="nil"/>
              <w:left w:val="nil"/>
              <w:bottom w:val="single" w:sz="4" w:space="0" w:color="auto"/>
              <w:right w:val="single" w:sz="4" w:space="0" w:color="auto"/>
            </w:tcBorders>
            <w:shd w:val="clear" w:color="auto" w:fill="auto"/>
            <w:noWrap/>
            <w:vAlign w:val="bottom"/>
            <w:hideMark/>
          </w:tcPr>
          <w:p w14:paraId="5FC11D41"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Misc.</w:t>
            </w:r>
          </w:p>
        </w:tc>
      </w:tr>
      <w:tr w:rsidR="00B85118" w:rsidRPr="00156F67" w14:paraId="41BCDCB4"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335DD5F0"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Walk up apartment</w:t>
            </w:r>
          </w:p>
        </w:tc>
        <w:tc>
          <w:tcPr>
            <w:tcW w:w="4612" w:type="dxa"/>
            <w:tcBorders>
              <w:top w:val="nil"/>
              <w:left w:val="nil"/>
              <w:bottom w:val="single" w:sz="4" w:space="0" w:color="auto"/>
              <w:right w:val="single" w:sz="4" w:space="0" w:color="auto"/>
            </w:tcBorders>
            <w:shd w:val="clear" w:color="auto" w:fill="auto"/>
            <w:noWrap/>
            <w:vAlign w:val="bottom"/>
            <w:hideMark/>
          </w:tcPr>
          <w:p w14:paraId="31E538B2"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Three families</w:t>
            </w:r>
          </w:p>
        </w:tc>
      </w:tr>
      <w:tr w:rsidR="00B85118" w:rsidRPr="00156F67" w14:paraId="4DDDD741"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056BCFA5"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Walk up apartment</w:t>
            </w:r>
          </w:p>
        </w:tc>
        <w:tc>
          <w:tcPr>
            <w:tcW w:w="4612" w:type="dxa"/>
            <w:tcBorders>
              <w:top w:val="nil"/>
              <w:left w:val="nil"/>
              <w:bottom w:val="single" w:sz="4" w:space="0" w:color="auto"/>
              <w:right w:val="single" w:sz="4" w:space="0" w:color="auto"/>
            </w:tcBorders>
            <w:shd w:val="clear" w:color="auto" w:fill="auto"/>
            <w:noWrap/>
            <w:vAlign w:val="bottom"/>
            <w:hideMark/>
          </w:tcPr>
          <w:p w14:paraId="14098FC9"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Over six families</w:t>
            </w:r>
          </w:p>
        </w:tc>
      </w:tr>
      <w:tr w:rsidR="00B85118" w:rsidRPr="00156F67" w14:paraId="67208F22"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297AC28"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Walk up apartment</w:t>
            </w:r>
          </w:p>
        </w:tc>
        <w:tc>
          <w:tcPr>
            <w:tcW w:w="4612" w:type="dxa"/>
            <w:tcBorders>
              <w:top w:val="nil"/>
              <w:left w:val="nil"/>
              <w:bottom w:val="single" w:sz="4" w:space="0" w:color="auto"/>
              <w:right w:val="single" w:sz="4" w:space="0" w:color="auto"/>
            </w:tcBorders>
            <w:shd w:val="clear" w:color="auto" w:fill="auto"/>
            <w:noWrap/>
            <w:vAlign w:val="bottom"/>
            <w:hideMark/>
          </w:tcPr>
          <w:p w14:paraId="1FB468AE"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Five to six families</w:t>
            </w:r>
          </w:p>
        </w:tc>
      </w:tr>
      <w:tr w:rsidR="00B85118" w:rsidRPr="00156F67" w14:paraId="38236641"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72006D5"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Walk up apartment</w:t>
            </w:r>
          </w:p>
        </w:tc>
        <w:tc>
          <w:tcPr>
            <w:tcW w:w="4612" w:type="dxa"/>
            <w:tcBorders>
              <w:top w:val="nil"/>
              <w:left w:val="nil"/>
              <w:bottom w:val="single" w:sz="4" w:space="0" w:color="auto"/>
              <w:right w:val="single" w:sz="4" w:space="0" w:color="auto"/>
            </w:tcBorders>
            <w:shd w:val="clear" w:color="auto" w:fill="auto"/>
            <w:noWrap/>
            <w:vAlign w:val="bottom"/>
            <w:hideMark/>
          </w:tcPr>
          <w:p w14:paraId="52B30068"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Four families</w:t>
            </w:r>
          </w:p>
        </w:tc>
      </w:tr>
      <w:tr w:rsidR="00B85118" w:rsidRPr="00156F67" w14:paraId="75DC785B"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116A899"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Walk up apartment</w:t>
            </w:r>
          </w:p>
        </w:tc>
        <w:tc>
          <w:tcPr>
            <w:tcW w:w="4612" w:type="dxa"/>
            <w:tcBorders>
              <w:top w:val="nil"/>
              <w:left w:val="nil"/>
              <w:bottom w:val="single" w:sz="4" w:space="0" w:color="auto"/>
              <w:right w:val="single" w:sz="4" w:space="0" w:color="auto"/>
            </w:tcBorders>
            <w:shd w:val="clear" w:color="auto" w:fill="auto"/>
            <w:noWrap/>
            <w:vAlign w:val="bottom"/>
            <w:hideMark/>
          </w:tcPr>
          <w:p w14:paraId="1D4EDF62"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Old law tenement</w:t>
            </w:r>
          </w:p>
        </w:tc>
      </w:tr>
      <w:tr w:rsidR="00B85118" w:rsidRPr="00156F67" w14:paraId="0A790B36"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26023F62"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Walk up apartment</w:t>
            </w:r>
          </w:p>
        </w:tc>
        <w:tc>
          <w:tcPr>
            <w:tcW w:w="4612" w:type="dxa"/>
            <w:tcBorders>
              <w:top w:val="nil"/>
              <w:left w:val="nil"/>
              <w:bottom w:val="single" w:sz="4" w:space="0" w:color="auto"/>
              <w:right w:val="single" w:sz="4" w:space="0" w:color="auto"/>
            </w:tcBorders>
            <w:shd w:val="clear" w:color="auto" w:fill="auto"/>
            <w:noWrap/>
            <w:vAlign w:val="bottom"/>
            <w:hideMark/>
          </w:tcPr>
          <w:p w14:paraId="3F46640D"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Converted dwelling</w:t>
            </w:r>
          </w:p>
        </w:tc>
      </w:tr>
      <w:tr w:rsidR="00B85118" w:rsidRPr="00156F67" w14:paraId="16B614A1"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0AFCAD7"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Walk up apartment</w:t>
            </w:r>
          </w:p>
        </w:tc>
        <w:tc>
          <w:tcPr>
            <w:tcW w:w="4612" w:type="dxa"/>
            <w:tcBorders>
              <w:top w:val="nil"/>
              <w:left w:val="nil"/>
              <w:bottom w:val="single" w:sz="4" w:space="0" w:color="auto"/>
              <w:right w:val="single" w:sz="4" w:space="0" w:color="auto"/>
            </w:tcBorders>
            <w:shd w:val="clear" w:color="auto" w:fill="auto"/>
            <w:noWrap/>
            <w:vAlign w:val="bottom"/>
            <w:hideMark/>
          </w:tcPr>
          <w:p w14:paraId="53058B19"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Cooperative</w:t>
            </w:r>
          </w:p>
        </w:tc>
      </w:tr>
      <w:tr w:rsidR="00B85118" w:rsidRPr="00156F67" w14:paraId="40D24A4A"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2421018"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Walk up apartment</w:t>
            </w:r>
          </w:p>
        </w:tc>
        <w:tc>
          <w:tcPr>
            <w:tcW w:w="4612" w:type="dxa"/>
            <w:tcBorders>
              <w:top w:val="nil"/>
              <w:left w:val="nil"/>
              <w:bottom w:val="single" w:sz="4" w:space="0" w:color="auto"/>
              <w:right w:val="single" w:sz="4" w:space="0" w:color="auto"/>
            </w:tcBorders>
            <w:shd w:val="clear" w:color="auto" w:fill="auto"/>
            <w:noWrap/>
            <w:vAlign w:val="bottom"/>
            <w:hideMark/>
          </w:tcPr>
          <w:p w14:paraId="1B705DFC"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Over six families with stories</w:t>
            </w:r>
          </w:p>
        </w:tc>
      </w:tr>
      <w:tr w:rsidR="00B85118" w:rsidRPr="00156F67" w14:paraId="2D16177F"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E78C622"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Walk up apartment</w:t>
            </w:r>
          </w:p>
        </w:tc>
        <w:tc>
          <w:tcPr>
            <w:tcW w:w="4612" w:type="dxa"/>
            <w:tcBorders>
              <w:top w:val="nil"/>
              <w:left w:val="nil"/>
              <w:bottom w:val="single" w:sz="4" w:space="0" w:color="auto"/>
              <w:right w:val="single" w:sz="4" w:space="0" w:color="auto"/>
            </w:tcBorders>
            <w:shd w:val="clear" w:color="auto" w:fill="auto"/>
            <w:noWrap/>
            <w:vAlign w:val="bottom"/>
            <w:hideMark/>
          </w:tcPr>
          <w:p w14:paraId="5A55EA9B"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Co-op conversion from Loft</w:t>
            </w:r>
          </w:p>
        </w:tc>
      </w:tr>
      <w:tr w:rsidR="00B85118" w:rsidRPr="00156F67" w14:paraId="3D98FDFE"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3903F26"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Walk up apartment</w:t>
            </w:r>
          </w:p>
        </w:tc>
        <w:tc>
          <w:tcPr>
            <w:tcW w:w="4612" w:type="dxa"/>
            <w:tcBorders>
              <w:top w:val="nil"/>
              <w:left w:val="nil"/>
              <w:bottom w:val="single" w:sz="4" w:space="0" w:color="auto"/>
              <w:right w:val="single" w:sz="4" w:space="0" w:color="auto"/>
            </w:tcBorders>
            <w:shd w:val="clear" w:color="auto" w:fill="auto"/>
            <w:noWrap/>
            <w:vAlign w:val="bottom"/>
            <w:hideMark/>
          </w:tcPr>
          <w:p w14:paraId="0FD370BF"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Garden Apartments</w:t>
            </w:r>
          </w:p>
        </w:tc>
      </w:tr>
      <w:tr w:rsidR="00B85118" w:rsidRPr="00156F67" w14:paraId="762D94BC"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3154D25D"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Elevator apartment</w:t>
            </w:r>
          </w:p>
        </w:tc>
        <w:tc>
          <w:tcPr>
            <w:tcW w:w="4612" w:type="dxa"/>
            <w:tcBorders>
              <w:top w:val="nil"/>
              <w:left w:val="nil"/>
              <w:bottom w:val="single" w:sz="4" w:space="0" w:color="auto"/>
              <w:right w:val="single" w:sz="4" w:space="0" w:color="auto"/>
            </w:tcBorders>
            <w:shd w:val="clear" w:color="auto" w:fill="auto"/>
            <w:noWrap/>
            <w:vAlign w:val="bottom"/>
            <w:hideMark/>
          </w:tcPr>
          <w:p w14:paraId="1E171281"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Semi-fireproof</w:t>
            </w:r>
          </w:p>
        </w:tc>
      </w:tr>
      <w:tr w:rsidR="00B85118" w:rsidRPr="00156F67" w14:paraId="5AA9D587"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DAFE123"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Elevator apartment</w:t>
            </w:r>
          </w:p>
        </w:tc>
        <w:tc>
          <w:tcPr>
            <w:tcW w:w="4612" w:type="dxa"/>
            <w:tcBorders>
              <w:top w:val="nil"/>
              <w:left w:val="nil"/>
              <w:bottom w:val="single" w:sz="4" w:space="0" w:color="auto"/>
              <w:right w:val="single" w:sz="4" w:space="0" w:color="auto"/>
            </w:tcBorders>
            <w:shd w:val="clear" w:color="auto" w:fill="auto"/>
            <w:noWrap/>
            <w:vAlign w:val="bottom"/>
            <w:hideMark/>
          </w:tcPr>
          <w:p w14:paraId="6F5CEAD5"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Artists in residence</w:t>
            </w:r>
          </w:p>
        </w:tc>
      </w:tr>
      <w:tr w:rsidR="00B85118" w:rsidRPr="00156F67" w14:paraId="64C68A34"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0718877"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Elevator apartment</w:t>
            </w:r>
          </w:p>
        </w:tc>
        <w:tc>
          <w:tcPr>
            <w:tcW w:w="4612" w:type="dxa"/>
            <w:tcBorders>
              <w:top w:val="nil"/>
              <w:left w:val="nil"/>
              <w:bottom w:val="single" w:sz="4" w:space="0" w:color="auto"/>
              <w:right w:val="single" w:sz="4" w:space="0" w:color="auto"/>
            </w:tcBorders>
            <w:shd w:val="clear" w:color="auto" w:fill="auto"/>
            <w:noWrap/>
            <w:vAlign w:val="bottom"/>
            <w:hideMark/>
          </w:tcPr>
          <w:p w14:paraId="5E8D10B3"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Fireproof</w:t>
            </w:r>
          </w:p>
        </w:tc>
      </w:tr>
      <w:tr w:rsidR="00B85118" w:rsidRPr="00156F67" w14:paraId="7DA4E006"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2FB0CB4D"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Elevator apartment</w:t>
            </w:r>
          </w:p>
        </w:tc>
        <w:tc>
          <w:tcPr>
            <w:tcW w:w="4612" w:type="dxa"/>
            <w:tcBorders>
              <w:top w:val="nil"/>
              <w:left w:val="nil"/>
              <w:bottom w:val="single" w:sz="4" w:space="0" w:color="auto"/>
              <w:right w:val="single" w:sz="4" w:space="0" w:color="auto"/>
            </w:tcBorders>
            <w:shd w:val="clear" w:color="auto" w:fill="auto"/>
            <w:noWrap/>
            <w:vAlign w:val="bottom"/>
            <w:hideMark/>
          </w:tcPr>
          <w:p w14:paraId="2C741DB8"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Converted</w:t>
            </w:r>
          </w:p>
        </w:tc>
      </w:tr>
      <w:tr w:rsidR="00B85118" w:rsidRPr="00156F67" w14:paraId="2470154B"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3933519F"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Elevator apartment</w:t>
            </w:r>
          </w:p>
        </w:tc>
        <w:tc>
          <w:tcPr>
            <w:tcW w:w="4612" w:type="dxa"/>
            <w:tcBorders>
              <w:top w:val="nil"/>
              <w:left w:val="nil"/>
              <w:bottom w:val="single" w:sz="4" w:space="0" w:color="auto"/>
              <w:right w:val="single" w:sz="4" w:space="0" w:color="auto"/>
            </w:tcBorders>
            <w:shd w:val="clear" w:color="auto" w:fill="auto"/>
            <w:noWrap/>
            <w:vAlign w:val="bottom"/>
            <w:hideMark/>
          </w:tcPr>
          <w:p w14:paraId="00CF1BF4"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Fireproof with stores</w:t>
            </w:r>
          </w:p>
        </w:tc>
      </w:tr>
      <w:tr w:rsidR="00B85118" w:rsidRPr="00156F67" w14:paraId="26655D41"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7AED93D1"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Elevator apartment</w:t>
            </w:r>
          </w:p>
        </w:tc>
        <w:tc>
          <w:tcPr>
            <w:tcW w:w="4612" w:type="dxa"/>
            <w:tcBorders>
              <w:top w:val="nil"/>
              <w:left w:val="nil"/>
              <w:bottom w:val="single" w:sz="4" w:space="0" w:color="auto"/>
              <w:right w:val="single" w:sz="4" w:space="0" w:color="auto"/>
            </w:tcBorders>
            <w:shd w:val="clear" w:color="auto" w:fill="auto"/>
            <w:noWrap/>
            <w:vAlign w:val="bottom"/>
            <w:hideMark/>
          </w:tcPr>
          <w:p w14:paraId="074CBFC3"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Semi-fireproof with stores</w:t>
            </w:r>
          </w:p>
        </w:tc>
      </w:tr>
      <w:tr w:rsidR="00B85118" w:rsidRPr="00156F67" w14:paraId="4D5455E5"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19B7500C"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Elevator apartment</w:t>
            </w:r>
          </w:p>
        </w:tc>
        <w:tc>
          <w:tcPr>
            <w:tcW w:w="4612" w:type="dxa"/>
            <w:tcBorders>
              <w:top w:val="nil"/>
              <w:left w:val="nil"/>
              <w:bottom w:val="single" w:sz="4" w:space="0" w:color="auto"/>
              <w:right w:val="single" w:sz="4" w:space="0" w:color="auto"/>
            </w:tcBorders>
            <w:shd w:val="clear" w:color="auto" w:fill="auto"/>
            <w:noWrap/>
            <w:vAlign w:val="bottom"/>
            <w:hideMark/>
          </w:tcPr>
          <w:p w14:paraId="28869023"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Misc.</w:t>
            </w:r>
          </w:p>
        </w:tc>
      </w:tr>
      <w:tr w:rsidR="00B85118" w:rsidRPr="00156F67" w14:paraId="6A5233E2"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37702176" w14:textId="14EED6A5"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Residence - mult</w:t>
            </w:r>
            <w:r w:rsidR="00711D5C" w:rsidRPr="002C08E7">
              <w:rPr>
                <w:rFonts w:ascii="Times New Roman" w:eastAsia="Times New Roman" w:hAnsi="Times New Roman" w:cs="Times New Roman"/>
                <w:color w:val="000000"/>
                <w:sz w:val="16"/>
                <w:szCs w:val="16"/>
              </w:rPr>
              <w:t>i</w:t>
            </w:r>
            <w:r w:rsidRPr="002C08E7">
              <w:rPr>
                <w:rFonts w:ascii="Times New Roman" w:eastAsia="Times New Roman" w:hAnsi="Times New Roman" w:cs="Times New Roman"/>
                <w:color w:val="000000"/>
                <w:sz w:val="16"/>
                <w:szCs w:val="16"/>
              </w:rPr>
              <w:t>ple use</w:t>
            </w:r>
          </w:p>
        </w:tc>
        <w:tc>
          <w:tcPr>
            <w:tcW w:w="4612" w:type="dxa"/>
            <w:tcBorders>
              <w:top w:val="nil"/>
              <w:left w:val="nil"/>
              <w:bottom w:val="single" w:sz="4" w:space="0" w:color="auto"/>
              <w:right w:val="single" w:sz="4" w:space="0" w:color="auto"/>
            </w:tcBorders>
            <w:shd w:val="clear" w:color="auto" w:fill="auto"/>
            <w:noWrap/>
            <w:vAlign w:val="bottom"/>
            <w:hideMark/>
          </w:tcPr>
          <w:p w14:paraId="63C07B97"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Primary one family with two stores or offices</w:t>
            </w:r>
          </w:p>
        </w:tc>
      </w:tr>
      <w:tr w:rsidR="00B85118" w:rsidRPr="00156F67" w14:paraId="109BB7BB"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E9D51BF" w14:textId="29AD231A"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Residence - mult</w:t>
            </w:r>
            <w:r w:rsidR="00711D5C" w:rsidRPr="002C08E7">
              <w:rPr>
                <w:rFonts w:ascii="Times New Roman" w:eastAsia="Times New Roman" w:hAnsi="Times New Roman" w:cs="Times New Roman"/>
                <w:color w:val="000000"/>
                <w:sz w:val="16"/>
                <w:szCs w:val="16"/>
              </w:rPr>
              <w:t>i</w:t>
            </w:r>
            <w:r w:rsidRPr="002C08E7">
              <w:rPr>
                <w:rFonts w:ascii="Times New Roman" w:eastAsia="Times New Roman" w:hAnsi="Times New Roman" w:cs="Times New Roman"/>
                <w:color w:val="000000"/>
                <w:sz w:val="16"/>
                <w:szCs w:val="16"/>
              </w:rPr>
              <w:t>ple use</w:t>
            </w:r>
          </w:p>
        </w:tc>
        <w:tc>
          <w:tcPr>
            <w:tcW w:w="4612" w:type="dxa"/>
            <w:tcBorders>
              <w:top w:val="nil"/>
              <w:left w:val="nil"/>
              <w:bottom w:val="single" w:sz="4" w:space="0" w:color="auto"/>
              <w:right w:val="single" w:sz="4" w:space="0" w:color="auto"/>
            </w:tcBorders>
            <w:shd w:val="clear" w:color="auto" w:fill="auto"/>
            <w:noWrap/>
            <w:vAlign w:val="bottom"/>
            <w:hideMark/>
          </w:tcPr>
          <w:p w14:paraId="2455F4C4"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Primary one family with one store or office</w:t>
            </w:r>
          </w:p>
        </w:tc>
      </w:tr>
      <w:tr w:rsidR="00B85118" w:rsidRPr="00156F67" w14:paraId="37861FD7"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0E44113" w14:textId="722867E5"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Residence - mult</w:t>
            </w:r>
            <w:r w:rsidR="00711D5C" w:rsidRPr="002C08E7">
              <w:rPr>
                <w:rFonts w:ascii="Times New Roman" w:eastAsia="Times New Roman" w:hAnsi="Times New Roman" w:cs="Times New Roman"/>
                <w:color w:val="000000"/>
                <w:sz w:val="16"/>
                <w:szCs w:val="16"/>
              </w:rPr>
              <w:t>i</w:t>
            </w:r>
            <w:r w:rsidRPr="002C08E7">
              <w:rPr>
                <w:rFonts w:ascii="Times New Roman" w:eastAsia="Times New Roman" w:hAnsi="Times New Roman" w:cs="Times New Roman"/>
                <w:color w:val="000000"/>
                <w:sz w:val="16"/>
                <w:szCs w:val="16"/>
              </w:rPr>
              <w:t>ple use</w:t>
            </w:r>
          </w:p>
        </w:tc>
        <w:tc>
          <w:tcPr>
            <w:tcW w:w="4612" w:type="dxa"/>
            <w:tcBorders>
              <w:top w:val="nil"/>
              <w:left w:val="nil"/>
              <w:bottom w:val="single" w:sz="4" w:space="0" w:color="auto"/>
              <w:right w:val="single" w:sz="4" w:space="0" w:color="auto"/>
            </w:tcBorders>
            <w:shd w:val="clear" w:color="auto" w:fill="auto"/>
            <w:noWrap/>
            <w:vAlign w:val="bottom"/>
            <w:hideMark/>
          </w:tcPr>
          <w:p w14:paraId="0FA13BF7"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Primary two family with one store or office</w:t>
            </w:r>
          </w:p>
        </w:tc>
      </w:tr>
      <w:tr w:rsidR="00B85118" w:rsidRPr="00156F67" w14:paraId="1AFDC167" w14:textId="77777777" w:rsidTr="009E5F0C">
        <w:trPr>
          <w:trHeight w:val="295"/>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2F803BEB" w14:textId="1326B906"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Residence - mult</w:t>
            </w:r>
            <w:r w:rsidR="00711D5C" w:rsidRPr="002C08E7">
              <w:rPr>
                <w:rFonts w:ascii="Times New Roman" w:eastAsia="Times New Roman" w:hAnsi="Times New Roman" w:cs="Times New Roman"/>
                <w:color w:val="000000"/>
                <w:sz w:val="16"/>
                <w:szCs w:val="16"/>
              </w:rPr>
              <w:t>i</w:t>
            </w:r>
            <w:r w:rsidRPr="002C08E7">
              <w:rPr>
                <w:rFonts w:ascii="Times New Roman" w:eastAsia="Times New Roman" w:hAnsi="Times New Roman" w:cs="Times New Roman"/>
                <w:color w:val="000000"/>
                <w:sz w:val="16"/>
                <w:szCs w:val="16"/>
              </w:rPr>
              <w:t>ple use</w:t>
            </w:r>
          </w:p>
        </w:tc>
        <w:tc>
          <w:tcPr>
            <w:tcW w:w="4612" w:type="dxa"/>
            <w:tcBorders>
              <w:top w:val="nil"/>
              <w:left w:val="nil"/>
              <w:bottom w:val="single" w:sz="4" w:space="0" w:color="auto"/>
              <w:right w:val="single" w:sz="4" w:space="0" w:color="auto"/>
            </w:tcBorders>
            <w:shd w:val="clear" w:color="auto" w:fill="auto"/>
            <w:noWrap/>
            <w:vAlign w:val="bottom"/>
            <w:hideMark/>
          </w:tcPr>
          <w:p w14:paraId="658784C7"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Single or multiple dwelling with stores or offices</w:t>
            </w:r>
          </w:p>
        </w:tc>
      </w:tr>
      <w:tr w:rsidR="00B85118" w:rsidRPr="00156F67" w14:paraId="2BAE0906" w14:textId="77777777" w:rsidTr="009E5F0C">
        <w:trPr>
          <w:trHeight w:val="295"/>
        </w:trPr>
        <w:tc>
          <w:tcPr>
            <w:tcW w:w="752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13F1509B" w14:textId="77777777" w:rsidR="00B85118" w:rsidRPr="002C08E7" w:rsidRDefault="00B85118" w:rsidP="009E5F0C">
            <w:pPr>
              <w:spacing w:after="0" w:line="240" w:lineRule="auto"/>
              <w:jc w:val="center"/>
              <w:rPr>
                <w:rFonts w:ascii="Times New Roman" w:eastAsia="Times New Roman" w:hAnsi="Times New Roman" w:cs="Times New Roman"/>
                <w:b/>
                <w:bCs/>
                <w:color w:val="000000"/>
                <w:sz w:val="16"/>
                <w:szCs w:val="16"/>
              </w:rPr>
            </w:pPr>
            <w:r w:rsidRPr="002C08E7">
              <w:rPr>
                <w:rFonts w:ascii="Times New Roman" w:eastAsia="Times New Roman" w:hAnsi="Times New Roman" w:cs="Times New Roman"/>
                <w:b/>
                <w:bCs/>
                <w:color w:val="000000"/>
                <w:sz w:val="16"/>
                <w:szCs w:val="16"/>
              </w:rPr>
              <w:t>Building Proximity to Other Buildings</w:t>
            </w:r>
          </w:p>
        </w:tc>
      </w:tr>
      <w:tr w:rsidR="00B85118" w:rsidRPr="00156F67" w14:paraId="263A36F1" w14:textId="77777777" w:rsidTr="009E5F0C">
        <w:trPr>
          <w:trHeight w:val="295"/>
        </w:trPr>
        <w:tc>
          <w:tcPr>
            <w:tcW w:w="2908" w:type="dxa"/>
            <w:tcBorders>
              <w:top w:val="nil"/>
              <w:left w:val="single" w:sz="4" w:space="0" w:color="auto"/>
              <w:bottom w:val="nil"/>
              <w:right w:val="nil"/>
            </w:tcBorders>
            <w:shd w:val="clear" w:color="auto" w:fill="auto"/>
            <w:noWrap/>
            <w:vAlign w:val="bottom"/>
            <w:hideMark/>
          </w:tcPr>
          <w:p w14:paraId="4E9D064B"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Detached</w:t>
            </w:r>
          </w:p>
        </w:tc>
        <w:tc>
          <w:tcPr>
            <w:tcW w:w="4612" w:type="dxa"/>
            <w:tcBorders>
              <w:top w:val="nil"/>
              <w:left w:val="nil"/>
              <w:bottom w:val="nil"/>
              <w:right w:val="single" w:sz="4" w:space="0" w:color="auto"/>
            </w:tcBorders>
            <w:shd w:val="clear" w:color="auto" w:fill="auto"/>
            <w:noWrap/>
            <w:vAlign w:val="bottom"/>
            <w:hideMark/>
          </w:tcPr>
          <w:p w14:paraId="79074049"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 </w:t>
            </w:r>
          </w:p>
        </w:tc>
      </w:tr>
      <w:tr w:rsidR="00B85118" w:rsidRPr="00156F67" w14:paraId="4E268BD3" w14:textId="77777777" w:rsidTr="009E5F0C">
        <w:trPr>
          <w:trHeight w:val="295"/>
        </w:trPr>
        <w:tc>
          <w:tcPr>
            <w:tcW w:w="2908" w:type="dxa"/>
            <w:tcBorders>
              <w:top w:val="nil"/>
              <w:left w:val="single" w:sz="4" w:space="0" w:color="auto"/>
              <w:bottom w:val="nil"/>
              <w:right w:val="nil"/>
            </w:tcBorders>
            <w:shd w:val="clear" w:color="auto" w:fill="auto"/>
            <w:noWrap/>
            <w:vAlign w:val="bottom"/>
            <w:hideMark/>
          </w:tcPr>
          <w:p w14:paraId="225A904C"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Semi-attached</w:t>
            </w:r>
          </w:p>
        </w:tc>
        <w:tc>
          <w:tcPr>
            <w:tcW w:w="4612" w:type="dxa"/>
            <w:tcBorders>
              <w:top w:val="nil"/>
              <w:left w:val="nil"/>
              <w:bottom w:val="nil"/>
              <w:right w:val="single" w:sz="4" w:space="0" w:color="auto"/>
            </w:tcBorders>
            <w:shd w:val="clear" w:color="auto" w:fill="auto"/>
            <w:noWrap/>
            <w:vAlign w:val="bottom"/>
            <w:hideMark/>
          </w:tcPr>
          <w:p w14:paraId="075E77CC"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 </w:t>
            </w:r>
          </w:p>
        </w:tc>
      </w:tr>
      <w:tr w:rsidR="00B85118" w:rsidRPr="00156F67" w14:paraId="63BBECF1" w14:textId="77777777" w:rsidTr="009E5F0C">
        <w:trPr>
          <w:trHeight w:val="295"/>
        </w:trPr>
        <w:tc>
          <w:tcPr>
            <w:tcW w:w="2908" w:type="dxa"/>
            <w:tcBorders>
              <w:top w:val="nil"/>
              <w:left w:val="single" w:sz="4" w:space="0" w:color="auto"/>
              <w:bottom w:val="single" w:sz="4" w:space="0" w:color="auto"/>
              <w:right w:val="nil"/>
            </w:tcBorders>
            <w:shd w:val="clear" w:color="auto" w:fill="auto"/>
            <w:noWrap/>
            <w:vAlign w:val="bottom"/>
            <w:hideMark/>
          </w:tcPr>
          <w:p w14:paraId="37CEF8C4"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Attached</w:t>
            </w:r>
          </w:p>
        </w:tc>
        <w:tc>
          <w:tcPr>
            <w:tcW w:w="4612" w:type="dxa"/>
            <w:tcBorders>
              <w:top w:val="nil"/>
              <w:left w:val="nil"/>
              <w:bottom w:val="single" w:sz="4" w:space="0" w:color="auto"/>
              <w:right w:val="single" w:sz="4" w:space="0" w:color="auto"/>
            </w:tcBorders>
            <w:shd w:val="clear" w:color="auto" w:fill="auto"/>
            <w:noWrap/>
            <w:vAlign w:val="bottom"/>
            <w:hideMark/>
          </w:tcPr>
          <w:p w14:paraId="1A2A4C40"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 </w:t>
            </w:r>
          </w:p>
        </w:tc>
      </w:tr>
      <w:tr w:rsidR="00B85118" w:rsidRPr="00156F67" w14:paraId="654E5BD6" w14:textId="77777777" w:rsidTr="009E5F0C">
        <w:trPr>
          <w:trHeight w:val="295"/>
        </w:trPr>
        <w:tc>
          <w:tcPr>
            <w:tcW w:w="752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B7DD482" w14:textId="77777777" w:rsidR="00B85118" w:rsidRPr="002C08E7" w:rsidRDefault="00B85118" w:rsidP="009E5F0C">
            <w:pPr>
              <w:spacing w:after="0" w:line="240" w:lineRule="auto"/>
              <w:jc w:val="center"/>
              <w:rPr>
                <w:rFonts w:ascii="Times New Roman" w:eastAsia="Times New Roman" w:hAnsi="Times New Roman" w:cs="Times New Roman"/>
                <w:b/>
                <w:bCs/>
                <w:color w:val="000000"/>
                <w:sz w:val="16"/>
                <w:szCs w:val="16"/>
              </w:rPr>
            </w:pPr>
            <w:r w:rsidRPr="002C08E7">
              <w:rPr>
                <w:rFonts w:ascii="Times New Roman" w:eastAsia="Times New Roman" w:hAnsi="Times New Roman" w:cs="Times New Roman"/>
                <w:b/>
                <w:bCs/>
                <w:color w:val="000000"/>
                <w:sz w:val="16"/>
                <w:szCs w:val="16"/>
              </w:rPr>
              <w:t>Basement Code</w:t>
            </w:r>
          </w:p>
        </w:tc>
      </w:tr>
      <w:tr w:rsidR="00B85118" w:rsidRPr="00156F67" w14:paraId="3554D86F" w14:textId="77777777" w:rsidTr="009E5F0C">
        <w:trPr>
          <w:trHeight w:val="295"/>
        </w:trPr>
        <w:tc>
          <w:tcPr>
            <w:tcW w:w="2908" w:type="dxa"/>
            <w:tcBorders>
              <w:top w:val="nil"/>
              <w:left w:val="single" w:sz="4" w:space="0" w:color="auto"/>
              <w:bottom w:val="nil"/>
              <w:right w:val="nil"/>
            </w:tcBorders>
            <w:shd w:val="clear" w:color="auto" w:fill="auto"/>
            <w:noWrap/>
            <w:vAlign w:val="bottom"/>
            <w:hideMark/>
          </w:tcPr>
          <w:p w14:paraId="0A260E11"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Above grade full basement</w:t>
            </w:r>
          </w:p>
        </w:tc>
        <w:tc>
          <w:tcPr>
            <w:tcW w:w="4612" w:type="dxa"/>
            <w:tcBorders>
              <w:top w:val="nil"/>
              <w:left w:val="nil"/>
              <w:bottom w:val="nil"/>
              <w:right w:val="single" w:sz="4" w:space="0" w:color="auto"/>
            </w:tcBorders>
            <w:shd w:val="clear" w:color="auto" w:fill="auto"/>
            <w:noWrap/>
            <w:vAlign w:val="bottom"/>
            <w:hideMark/>
          </w:tcPr>
          <w:p w14:paraId="70F6562C"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 </w:t>
            </w:r>
          </w:p>
        </w:tc>
      </w:tr>
      <w:tr w:rsidR="00B85118" w:rsidRPr="00156F67" w14:paraId="42F2BA83" w14:textId="77777777" w:rsidTr="009E5F0C">
        <w:trPr>
          <w:trHeight w:val="295"/>
        </w:trPr>
        <w:tc>
          <w:tcPr>
            <w:tcW w:w="2908" w:type="dxa"/>
            <w:tcBorders>
              <w:top w:val="nil"/>
              <w:left w:val="single" w:sz="4" w:space="0" w:color="auto"/>
              <w:bottom w:val="nil"/>
              <w:right w:val="nil"/>
            </w:tcBorders>
            <w:shd w:val="clear" w:color="auto" w:fill="auto"/>
            <w:noWrap/>
            <w:vAlign w:val="bottom"/>
            <w:hideMark/>
          </w:tcPr>
          <w:p w14:paraId="12FFFD4F"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Below grade full basement</w:t>
            </w:r>
          </w:p>
        </w:tc>
        <w:tc>
          <w:tcPr>
            <w:tcW w:w="4612" w:type="dxa"/>
            <w:tcBorders>
              <w:top w:val="nil"/>
              <w:left w:val="nil"/>
              <w:bottom w:val="nil"/>
              <w:right w:val="single" w:sz="4" w:space="0" w:color="auto"/>
            </w:tcBorders>
            <w:shd w:val="clear" w:color="auto" w:fill="auto"/>
            <w:noWrap/>
            <w:vAlign w:val="bottom"/>
            <w:hideMark/>
          </w:tcPr>
          <w:p w14:paraId="01A57128"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 </w:t>
            </w:r>
          </w:p>
        </w:tc>
      </w:tr>
      <w:tr w:rsidR="00B85118" w:rsidRPr="00156F67" w14:paraId="0C9F86D7" w14:textId="77777777" w:rsidTr="009E5F0C">
        <w:trPr>
          <w:trHeight w:val="295"/>
        </w:trPr>
        <w:tc>
          <w:tcPr>
            <w:tcW w:w="2908" w:type="dxa"/>
            <w:tcBorders>
              <w:top w:val="nil"/>
              <w:left w:val="single" w:sz="4" w:space="0" w:color="auto"/>
              <w:bottom w:val="nil"/>
              <w:right w:val="nil"/>
            </w:tcBorders>
            <w:shd w:val="clear" w:color="auto" w:fill="auto"/>
            <w:noWrap/>
            <w:vAlign w:val="bottom"/>
            <w:hideMark/>
          </w:tcPr>
          <w:p w14:paraId="74EA0928"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Above grade partial basement</w:t>
            </w:r>
          </w:p>
        </w:tc>
        <w:tc>
          <w:tcPr>
            <w:tcW w:w="4612" w:type="dxa"/>
            <w:tcBorders>
              <w:top w:val="nil"/>
              <w:left w:val="nil"/>
              <w:bottom w:val="nil"/>
              <w:right w:val="single" w:sz="4" w:space="0" w:color="auto"/>
            </w:tcBorders>
            <w:shd w:val="clear" w:color="auto" w:fill="auto"/>
            <w:noWrap/>
            <w:vAlign w:val="bottom"/>
            <w:hideMark/>
          </w:tcPr>
          <w:p w14:paraId="516E3978"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 </w:t>
            </w:r>
          </w:p>
        </w:tc>
      </w:tr>
      <w:tr w:rsidR="00B85118" w:rsidRPr="00156F67" w14:paraId="689F9E08" w14:textId="77777777" w:rsidTr="009E5F0C">
        <w:trPr>
          <w:trHeight w:val="295"/>
        </w:trPr>
        <w:tc>
          <w:tcPr>
            <w:tcW w:w="2908" w:type="dxa"/>
            <w:tcBorders>
              <w:top w:val="nil"/>
              <w:left w:val="single" w:sz="4" w:space="0" w:color="auto"/>
              <w:bottom w:val="nil"/>
              <w:right w:val="nil"/>
            </w:tcBorders>
            <w:shd w:val="clear" w:color="auto" w:fill="auto"/>
            <w:noWrap/>
            <w:vAlign w:val="bottom"/>
            <w:hideMark/>
          </w:tcPr>
          <w:p w14:paraId="5F049C34"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Below grade partial basement</w:t>
            </w:r>
          </w:p>
        </w:tc>
        <w:tc>
          <w:tcPr>
            <w:tcW w:w="4612" w:type="dxa"/>
            <w:tcBorders>
              <w:top w:val="nil"/>
              <w:left w:val="nil"/>
              <w:bottom w:val="nil"/>
              <w:right w:val="single" w:sz="4" w:space="0" w:color="auto"/>
            </w:tcBorders>
            <w:shd w:val="clear" w:color="auto" w:fill="auto"/>
            <w:noWrap/>
            <w:vAlign w:val="bottom"/>
            <w:hideMark/>
          </w:tcPr>
          <w:p w14:paraId="4EE95646"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 </w:t>
            </w:r>
          </w:p>
        </w:tc>
      </w:tr>
      <w:tr w:rsidR="00B85118" w:rsidRPr="00156F67" w14:paraId="53A8B5AC" w14:textId="77777777" w:rsidTr="009E5F0C">
        <w:trPr>
          <w:trHeight w:val="295"/>
        </w:trPr>
        <w:tc>
          <w:tcPr>
            <w:tcW w:w="2908" w:type="dxa"/>
            <w:tcBorders>
              <w:top w:val="nil"/>
              <w:left w:val="single" w:sz="4" w:space="0" w:color="auto"/>
              <w:bottom w:val="single" w:sz="4" w:space="0" w:color="auto"/>
              <w:right w:val="nil"/>
            </w:tcBorders>
            <w:shd w:val="clear" w:color="auto" w:fill="auto"/>
            <w:noWrap/>
            <w:vAlign w:val="bottom"/>
            <w:hideMark/>
          </w:tcPr>
          <w:p w14:paraId="4E7E9A9B"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Unknown</w:t>
            </w:r>
          </w:p>
        </w:tc>
        <w:tc>
          <w:tcPr>
            <w:tcW w:w="4612" w:type="dxa"/>
            <w:tcBorders>
              <w:top w:val="nil"/>
              <w:left w:val="nil"/>
              <w:bottom w:val="single" w:sz="4" w:space="0" w:color="auto"/>
              <w:right w:val="single" w:sz="4" w:space="0" w:color="auto"/>
            </w:tcBorders>
            <w:shd w:val="clear" w:color="auto" w:fill="auto"/>
            <w:noWrap/>
            <w:vAlign w:val="bottom"/>
            <w:hideMark/>
          </w:tcPr>
          <w:p w14:paraId="69FE1641"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 </w:t>
            </w:r>
          </w:p>
        </w:tc>
      </w:tr>
      <w:tr w:rsidR="00B85118" w:rsidRPr="00156F67" w14:paraId="7B5A65EF" w14:textId="77777777" w:rsidTr="009E5F0C">
        <w:trPr>
          <w:trHeight w:val="295"/>
        </w:trPr>
        <w:tc>
          <w:tcPr>
            <w:tcW w:w="7520" w:type="dxa"/>
            <w:gridSpan w:val="2"/>
            <w:tcBorders>
              <w:top w:val="single" w:sz="4" w:space="0" w:color="auto"/>
              <w:left w:val="single" w:sz="4" w:space="0" w:color="auto"/>
              <w:bottom w:val="nil"/>
              <w:right w:val="nil"/>
            </w:tcBorders>
            <w:shd w:val="clear" w:color="000000" w:fill="FFFF00"/>
            <w:noWrap/>
            <w:vAlign w:val="bottom"/>
            <w:hideMark/>
          </w:tcPr>
          <w:p w14:paraId="0A4E5D35" w14:textId="77777777" w:rsidR="00B85118" w:rsidRPr="002C08E7" w:rsidRDefault="00B85118" w:rsidP="009E5F0C">
            <w:pPr>
              <w:spacing w:after="0" w:line="240" w:lineRule="auto"/>
              <w:jc w:val="center"/>
              <w:rPr>
                <w:rFonts w:ascii="Times New Roman" w:eastAsia="Times New Roman" w:hAnsi="Times New Roman" w:cs="Times New Roman"/>
                <w:b/>
                <w:bCs/>
                <w:color w:val="000000"/>
                <w:sz w:val="16"/>
                <w:szCs w:val="16"/>
              </w:rPr>
            </w:pPr>
            <w:r w:rsidRPr="002C08E7">
              <w:rPr>
                <w:rFonts w:ascii="Times New Roman" w:eastAsia="Times New Roman" w:hAnsi="Times New Roman" w:cs="Times New Roman"/>
                <w:b/>
                <w:bCs/>
                <w:color w:val="000000"/>
                <w:sz w:val="16"/>
                <w:szCs w:val="16"/>
              </w:rPr>
              <w:t>Lot Shape</w:t>
            </w:r>
          </w:p>
        </w:tc>
      </w:tr>
      <w:tr w:rsidR="00B85118" w:rsidRPr="00156F67" w14:paraId="42D1A2E8" w14:textId="77777777" w:rsidTr="009E5F0C">
        <w:trPr>
          <w:trHeight w:val="295"/>
        </w:trPr>
        <w:tc>
          <w:tcPr>
            <w:tcW w:w="2908" w:type="dxa"/>
            <w:tcBorders>
              <w:top w:val="single" w:sz="4" w:space="0" w:color="auto"/>
              <w:left w:val="single" w:sz="4" w:space="0" w:color="auto"/>
              <w:bottom w:val="nil"/>
              <w:right w:val="nil"/>
            </w:tcBorders>
            <w:shd w:val="clear" w:color="auto" w:fill="auto"/>
            <w:noWrap/>
            <w:vAlign w:val="bottom"/>
            <w:hideMark/>
          </w:tcPr>
          <w:p w14:paraId="56057E0E"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Regular shaped</w:t>
            </w:r>
          </w:p>
        </w:tc>
        <w:tc>
          <w:tcPr>
            <w:tcW w:w="4612" w:type="dxa"/>
            <w:tcBorders>
              <w:top w:val="single" w:sz="4" w:space="0" w:color="auto"/>
              <w:left w:val="nil"/>
              <w:bottom w:val="nil"/>
              <w:right w:val="single" w:sz="4" w:space="0" w:color="auto"/>
            </w:tcBorders>
            <w:shd w:val="clear" w:color="auto" w:fill="auto"/>
            <w:noWrap/>
            <w:vAlign w:val="bottom"/>
            <w:hideMark/>
          </w:tcPr>
          <w:p w14:paraId="2BC1BF38"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 </w:t>
            </w:r>
          </w:p>
        </w:tc>
      </w:tr>
      <w:tr w:rsidR="00B85118" w:rsidRPr="00156F67" w14:paraId="43CA4E2F" w14:textId="77777777" w:rsidTr="009E5F0C">
        <w:trPr>
          <w:trHeight w:val="295"/>
        </w:trPr>
        <w:tc>
          <w:tcPr>
            <w:tcW w:w="2908" w:type="dxa"/>
            <w:tcBorders>
              <w:top w:val="nil"/>
              <w:left w:val="single" w:sz="4" w:space="0" w:color="auto"/>
              <w:bottom w:val="nil"/>
              <w:right w:val="nil"/>
            </w:tcBorders>
            <w:shd w:val="clear" w:color="auto" w:fill="auto"/>
            <w:noWrap/>
            <w:vAlign w:val="bottom"/>
            <w:hideMark/>
          </w:tcPr>
          <w:p w14:paraId="7F6376C5"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Irregular shaped</w:t>
            </w:r>
          </w:p>
        </w:tc>
        <w:tc>
          <w:tcPr>
            <w:tcW w:w="4612" w:type="dxa"/>
            <w:tcBorders>
              <w:top w:val="nil"/>
              <w:left w:val="nil"/>
              <w:bottom w:val="nil"/>
              <w:right w:val="single" w:sz="4" w:space="0" w:color="auto"/>
            </w:tcBorders>
            <w:shd w:val="clear" w:color="auto" w:fill="auto"/>
            <w:noWrap/>
            <w:vAlign w:val="bottom"/>
            <w:hideMark/>
          </w:tcPr>
          <w:p w14:paraId="25D05143"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 </w:t>
            </w:r>
          </w:p>
        </w:tc>
      </w:tr>
      <w:tr w:rsidR="00B85118" w:rsidRPr="00156F67" w14:paraId="458A3963" w14:textId="77777777" w:rsidTr="009E5F0C">
        <w:trPr>
          <w:trHeight w:val="295"/>
        </w:trPr>
        <w:tc>
          <w:tcPr>
            <w:tcW w:w="2908" w:type="dxa"/>
            <w:tcBorders>
              <w:top w:val="nil"/>
              <w:left w:val="single" w:sz="4" w:space="0" w:color="auto"/>
              <w:bottom w:val="single" w:sz="4" w:space="0" w:color="auto"/>
              <w:right w:val="nil"/>
            </w:tcBorders>
            <w:shd w:val="clear" w:color="auto" w:fill="auto"/>
            <w:noWrap/>
            <w:vAlign w:val="bottom"/>
            <w:hideMark/>
          </w:tcPr>
          <w:p w14:paraId="4326288E" w14:textId="77777777" w:rsidR="00B85118" w:rsidRPr="002C08E7" w:rsidRDefault="00B85118" w:rsidP="009E5F0C">
            <w:pPr>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Unknown</w:t>
            </w:r>
          </w:p>
        </w:tc>
        <w:tc>
          <w:tcPr>
            <w:tcW w:w="4612" w:type="dxa"/>
            <w:tcBorders>
              <w:top w:val="nil"/>
              <w:left w:val="nil"/>
              <w:bottom w:val="single" w:sz="4" w:space="0" w:color="auto"/>
              <w:right w:val="single" w:sz="4" w:space="0" w:color="auto"/>
            </w:tcBorders>
            <w:shd w:val="clear" w:color="auto" w:fill="auto"/>
            <w:noWrap/>
            <w:vAlign w:val="bottom"/>
            <w:hideMark/>
          </w:tcPr>
          <w:p w14:paraId="29EEB45E" w14:textId="77777777" w:rsidR="00B85118" w:rsidRPr="002C08E7" w:rsidRDefault="00B85118" w:rsidP="009E5F0C">
            <w:pPr>
              <w:keepNext/>
              <w:spacing w:after="0" w:line="240" w:lineRule="auto"/>
              <w:rPr>
                <w:rFonts w:ascii="Times New Roman" w:eastAsia="Times New Roman" w:hAnsi="Times New Roman" w:cs="Times New Roman"/>
                <w:color w:val="000000"/>
                <w:sz w:val="16"/>
                <w:szCs w:val="16"/>
              </w:rPr>
            </w:pPr>
            <w:r w:rsidRPr="002C08E7">
              <w:rPr>
                <w:rFonts w:ascii="Times New Roman" w:eastAsia="Times New Roman" w:hAnsi="Times New Roman" w:cs="Times New Roman"/>
                <w:color w:val="000000"/>
                <w:sz w:val="16"/>
                <w:szCs w:val="16"/>
              </w:rPr>
              <w:t> </w:t>
            </w:r>
          </w:p>
        </w:tc>
      </w:tr>
    </w:tbl>
    <w:p w14:paraId="62C8707E" w14:textId="77777777" w:rsidR="00B85118" w:rsidRDefault="00B85118" w:rsidP="00B85118">
      <w:pPr>
        <w:pStyle w:val="Caption"/>
      </w:pPr>
      <w:r>
        <w:t xml:space="preserve">Table A.1: Additional Control Variables Used in Some Specifications. </w:t>
      </w:r>
    </w:p>
    <w:p w14:paraId="3E907055" w14:textId="385DA697" w:rsidR="00711D5C" w:rsidRDefault="00711D5C">
      <w:pPr>
        <w:rPr>
          <w:rFonts w:ascii="Times New Roman" w:hAnsi="Times New Roman" w:cs="Times New Roman"/>
          <w:b/>
          <w:bCs/>
          <w:sz w:val="24"/>
          <w:szCs w:val="24"/>
        </w:rPr>
      </w:pPr>
      <w:r>
        <w:rPr>
          <w:rFonts w:ascii="Times New Roman" w:hAnsi="Times New Roman" w:cs="Times New Roman"/>
          <w:b/>
          <w:bCs/>
          <w:sz w:val="24"/>
          <w:szCs w:val="24"/>
        </w:rPr>
        <w:br w:type="page"/>
      </w:r>
    </w:p>
    <w:p w14:paraId="31E59E59" w14:textId="77777777" w:rsidR="00A20F65" w:rsidRPr="008B6EFB" w:rsidRDefault="00A20F65" w:rsidP="00A20F65">
      <w:pPr>
        <w:rPr>
          <w:rFonts w:ascii="Times New Roman" w:hAnsi="Times New Roman" w:cs="Times New Roman"/>
          <w:b/>
          <w:bCs/>
          <w:sz w:val="24"/>
          <w:szCs w:val="24"/>
        </w:rPr>
      </w:pPr>
      <w:r w:rsidRPr="008B6EFB">
        <w:rPr>
          <w:rFonts w:ascii="Times New Roman" w:hAnsi="Times New Roman" w:cs="Times New Roman"/>
          <w:b/>
          <w:bCs/>
          <w:sz w:val="24"/>
          <w:szCs w:val="24"/>
        </w:rPr>
        <w:t xml:space="preserve">Appendix 2: Additional Results </w:t>
      </w:r>
    </w:p>
    <w:p w14:paraId="50F89306" w14:textId="77777777" w:rsidR="00A20F65" w:rsidRPr="004A1CAD" w:rsidRDefault="00A20F65" w:rsidP="00A20F65">
      <w:pPr>
        <w:rPr>
          <w:rFonts w:ascii="Times New Roman" w:hAnsi="Times New Roman" w:cs="Times New Roman"/>
        </w:rPr>
      </w:pPr>
      <w:r>
        <w:rPr>
          <w:rFonts w:ascii="Times New Roman" w:hAnsi="Times New Roman" w:cs="Times New Roman"/>
        </w:rPr>
        <w:t xml:space="preserve">For the sake of conciseness, the following regression tables only present the coefficient estimates for the key independent variable, </w:t>
      </w:r>
      <w:r w:rsidRPr="007B72BF">
        <w:rPr>
          <w:rFonts w:ascii="Times New Roman" w:hAnsi="Times New Roman" w:cs="Times New Roman"/>
          <w:i/>
          <w:iCs/>
        </w:rPr>
        <w:t xml:space="preserve">Distance to Sandy x </w:t>
      </w:r>
      <w:proofErr w:type="spellStart"/>
      <w:r w:rsidRPr="007B72BF">
        <w:rPr>
          <w:rFonts w:ascii="Times New Roman" w:hAnsi="Times New Roman" w:cs="Times New Roman"/>
          <w:i/>
          <w:iCs/>
        </w:rPr>
        <w:t>PostSandy</w:t>
      </w:r>
      <w:proofErr w:type="spellEnd"/>
      <w:r w:rsidRPr="007B72BF">
        <w:rPr>
          <w:rFonts w:ascii="Times New Roman" w:hAnsi="Times New Roman" w:cs="Times New Roman"/>
          <w:i/>
          <w:iCs/>
        </w:rPr>
        <w:t xml:space="preserve"> Dummy.</w:t>
      </w:r>
      <w:r w:rsidRPr="007B72BF">
        <w:rPr>
          <w:rFonts w:ascii="Times New Roman" w:hAnsi="Times New Roman" w:cs="Times New Roman"/>
        </w:rPr>
        <w:t xml:space="preserve"> </w:t>
      </w:r>
      <w:r>
        <w:rPr>
          <w:rFonts w:ascii="Times New Roman" w:hAnsi="Times New Roman" w:cs="Times New Roman"/>
        </w:rPr>
        <w:t>The full regression results are available upon request.</w:t>
      </w:r>
    </w:p>
    <w:p w14:paraId="6B2D2D16" w14:textId="77777777" w:rsidR="00A20F65" w:rsidRDefault="00A20F65" w:rsidP="00A20F65">
      <w:pPr>
        <w:rPr>
          <w:rFonts w:ascii="Times New Roman" w:hAnsi="Times New Roman" w:cs="Times New Roman"/>
          <w:b/>
          <w:bCs/>
        </w:rPr>
      </w:pPr>
      <w:r w:rsidRPr="008B6EFB">
        <w:rPr>
          <w:rFonts w:ascii="Times New Roman" w:hAnsi="Times New Roman" w:cs="Times New Roman"/>
          <w:b/>
          <w:bCs/>
        </w:rPr>
        <w:t>Table A.</w:t>
      </w:r>
      <w:r>
        <w:rPr>
          <w:rFonts w:ascii="Times New Roman" w:hAnsi="Times New Roman" w:cs="Times New Roman"/>
          <w:b/>
          <w:bCs/>
        </w:rPr>
        <w:t>1</w:t>
      </w:r>
      <w:r w:rsidRPr="008B6EFB">
        <w:rPr>
          <w:rFonts w:ascii="Times New Roman" w:hAnsi="Times New Roman" w:cs="Times New Roman"/>
          <w:b/>
          <w:bCs/>
        </w:rPr>
        <w:t xml:space="preserve">: </w:t>
      </w:r>
      <w:r w:rsidRPr="007B72BF">
        <w:rPr>
          <w:rFonts w:ascii="Times New Roman" w:hAnsi="Times New Roman" w:cs="Times New Roman"/>
          <w:b/>
          <w:bCs/>
          <w:i/>
          <w:iCs/>
        </w:rPr>
        <w:t xml:space="preserve">Distance to Sandy x </w:t>
      </w:r>
      <w:proofErr w:type="spellStart"/>
      <w:r w:rsidRPr="007B72BF">
        <w:rPr>
          <w:rFonts w:ascii="Times New Roman" w:hAnsi="Times New Roman" w:cs="Times New Roman"/>
          <w:b/>
          <w:bCs/>
          <w:i/>
          <w:iCs/>
        </w:rPr>
        <w:t>PostSandy</w:t>
      </w:r>
      <w:proofErr w:type="spellEnd"/>
      <w:r w:rsidRPr="007B72BF">
        <w:rPr>
          <w:rFonts w:ascii="Times New Roman" w:hAnsi="Times New Roman" w:cs="Times New Roman"/>
          <w:b/>
          <w:bCs/>
          <w:i/>
          <w:iCs/>
        </w:rPr>
        <w:t xml:space="preserve"> Dummy</w:t>
      </w:r>
      <w:r w:rsidRPr="008B6EFB">
        <w:rPr>
          <w:rFonts w:ascii="Times New Roman" w:hAnsi="Times New Roman" w:cs="Times New Roman"/>
          <w:b/>
          <w:bCs/>
        </w:rPr>
        <w:t xml:space="preserve"> within 1</w:t>
      </w:r>
      <w:r>
        <w:rPr>
          <w:rFonts w:ascii="Times New Roman" w:hAnsi="Times New Roman" w:cs="Times New Roman"/>
          <w:b/>
          <w:bCs/>
        </w:rPr>
        <w:t xml:space="preserve"> </w:t>
      </w:r>
      <w:r w:rsidRPr="008B6EFB">
        <w:rPr>
          <w:rFonts w:ascii="Times New Roman" w:hAnsi="Times New Roman" w:cs="Times New Roman"/>
          <w:b/>
          <w:bCs/>
        </w:rPr>
        <w:t>mile, positive shock values of different sizes. Eq. (1) is any positive shock. (2) is greater than 0.05 miles, etc. Dep. Var.: Ln(Price per square foot)</w:t>
      </w:r>
      <w:r>
        <w:rPr>
          <w:rFonts w:ascii="Times New Roman" w:hAnsi="Times New Roman" w:cs="Times New Roman"/>
          <w:b/>
          <w:bCs/>
        </w:rPr>
        <w:t>, 2011-2013</w:t>
      </w:r>
    </w:p>
    <w:tbl>
      <w:tblPr>
        <w:tblW w:w="7394" w:type="dxa"/>
        <w:tblLook w:val="04A0" w:firstRow="1" w:lastRow="0" w:firstColumn="1" w:lastColumn="0" w:noHBand="0" w:noVBand="1"/>
      </w:tblPr>
      <w:tblGrid>
        <w:gridCol w:w="2436"/>
        <w:gridCol w:w="960"/>
        <w:gridCol w:w="960"/>
        <w:gridCol w:w="960"/>
        <w:gridCol w:w="158"/>
        <w:gridCol w:w="802"/>
        <w:gridCol w:w="158"/>
        <w:gridCol w:w="802"/>
        <w:gridCol w:w="158"/>
      </w:tblGrid>
      <w:tr w:rsidR="00A20F65" w:rsidRPr="007B72BF" w14:paraId="722385F9" w14:textId="77777777" w:rsidTr="003E6D45">
        <w:trPr>
          <w:gridAfter w:val="1"/>
          <w:wAfter w:w="158" w:type="dxa"/>
          <w:trHeight w:val="295"/>
        </w:trPr>
        <w:tc>
          <w:tcPr>
            <w:tcW w:w="2436" w:type="dxa"/>
            <w:tcBorders>
              <w:top w:val="single" w:sz="4" w:space="0" w:color="000000"/>
              <w:left w:val="nil"/>
              <w:bottom w:val="single" w:sz="4" w:space="0" w:color="000000"/>
              <w:right w:val="nil"/>
            </w:tcBorders>
            <w:shd w:val="clear" w:color="auto" w:fill="auto"/>
            <w:noWrap/>
            <w:vAlign w:val="bottom"/>
            <w:hideMark/>
          </w:tcPr>
          <w:p w14:paraId="3F279203" w14:textId="77777777" w:rsidR="00A20F65" w:rsidRPr="007B72BF" w:rsidRDefault="00A20F65" w:rsidP="003E6D45">
            <w:pPr>
              <w:spacing w:after="0" w:line="240" w:lineRule="auto"/>
              <w:rPr>
                <w:rFonts w:ascii="Calibri" w:eastAsia="Times New Roman" w:hAnsi="Calibri" w:cs="Calibri"/>
                <w:b/>
                <w:bCs/>
                <w:color w:val="000000"/>
              </w:rPr>
            </w:pPr>
          </w:p>
        </w:tc>
        <w:tc>
          <w:tcPr>
            <w:tcW w:w="960" w:type="dxa"/>
            <w:tcBorders>
              <w:top w:val="single" w:sz="4" w:space="0" w:color="000000"/>
              <w:left w:val="nil"/>
              <w:bottom w:val="single" w:sz="4" w:space="0" w:color="000000"/>
              <w:right w:val="nil"/>
            </w:tcBorders>
            <w:shd w:val="clear" w:color="auto" w:fill="auto"/>
            <w:noWrap/>
            <w:vAlign w:val="bottom"/>
            <w:hideMark/>
          </w:tcPr>
          <w:p w14:paraId="6C196204"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(1)</w:t>
            </w:r>
          </w:p>
        </w:tc>
        <w:tc>
          <w:tcPr>
            <w:tcW w:w="960" w:type="dxa"/>
            <w:tcBorders>
              <w:top w:val="single" w:sz="4" w:space="0" w:color="000000"/>
              <w:left w:val="nil"/>
              <w:bottom w:val="single" w:sz="4" w:space="0" w:color="000000"/>
              <w:right w:val="nil"/>
            </w:tcBorders>
            <w:shd w:val="clear" w:color="auto" w:fill="auto"/>
            <w:noWrap/>
            <w:vAlign w:val="bottom"/>
            <w:hideMark/>
          </w:tcPr>
          <w:p w14:paraId="24D226FF"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(2)</w:t>
            </w:r>
          </w:p>
        </w:tc>
        <w:tc>
          <w:tcPr>
            <w:tcW w:w="960" w:type="dxa"/>
            <w:tcBorders>
              <w:top w:val="single" w:sz="4" w:space="0" w:color="000000"/>
              <w:left w:val="nil"/>
              <w:bottom w:val="single" w:sz="4" w:space="0" w:color="000000"/>
              <w:right w:val="nil"/>
            </w:tcBorders>
            <w:shd w:val="clear" w:color="auto" w:fill="auto"/>
            <w:noWrap/>
            <w:vAlign w:val="bottom"/>
            <w:hideMark/>
          </w:tcPr>
          <w:p w14:paraId="2D2EBBB6"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(3)</w:t>
            </w:r>
          </w:p>
        </w:tc>
        <w:tc>
          <w:tcPr>
            <w:tcW w:w="960" w:type="dxa"/>
            <w:gridSpan w:val="2"/>
            <w:tcBorders>
              <w:top w:val="single" w:sz="4" w:space="0" w:color="000000"/>
              <w:left w:val="nil"/>
              <w:bottom w:val="single" w:sz="4" w:space="0" w:color="000000"/>
              <w:right w:val="nil"/>
            </w:tcBorders>
            <w:shd w:val="clear" w:color="auto" w:fill="auto"/>
            <w:noWrap/>
            <w:vAlign w:val="bottom"/>
            <w:hideMark/>
          </w:tcPr>
          <w:p w14:paraId="74E3FBFF"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(4)</w:t>
            </w:r>
          </w:p>
        </w:tc>
        <w:tc>
          <w:tcPr>
            <w:tcW w:w="960" w:type="dxa"/>
            <w:gridSpan w:val="2"/>
            <w:tcBorders>
              <w:top w:val="single" w:sz="4" w:space="0" w:color="000000"/>
              <w:left w:val="nil"/>
              <w:bottom w:val="single" w:sz="4" w:space="0" w:color="000000"/>
              <w:right w:val="nil"/>
            </w:tcBorders>
            <w:shd w:val="clear" w:color="auto" w:fill="auto"/>
            <w:noWrap/>
            <w:vAlign w:val="bottom"/>
            <w:hideMark/>
          </w:tcPr>
          <w:p w14:paraId="69475F65"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(5)</w:t>
            </w:r>
          </w:p>
        </w:tc>
      </w:tr>
      <w:tr w:rsidR="00A20F65" w:rsidRPr="007B72BF" w14:paraId="2CE9AF62" w14:textId="77777777" w:rsidTr="003E6D45">
        <w:trPr>
          <w:trHeight w:val="295"/>
        </w:trPr>
        <w:tc>
          <w:tcPr>
            <w:tcW w:w="2436" w:type="dxa"/>
            <w:tcBorders>
              <w:top w:val="nil"/>
              <w:left w:val="nil"/>
              <w:bottom w:val="single" w:sz="4" w:space="0" w:color="auto"/>
              <w:right w:val="nil"/>
            </w:tcBorders>
            <w:shd w:val="clear" w:color="D9D9D9" w:fill="D9D9D9"/>
            <w:noWrap/>
            <w:vAlign w:val="bottom"/>
            <w:hideMark/>
          </w:tcPr>
          <w:p w14:paraId="57D78AF4" w14:textId="77777777" w:rsidR="00A20F65" w:rsidRPr="007B72BF" w:rsidRDefault="00A20F65" w:rsidP="003E6D45">
            <w:pPr>
              <w:spacing w:after="0" w:line="240" w:lineRule="auto"/>
              <w:rPr>
                <w:rFonts w:ascii="Calibri" w:eastAsia="Times New Roman" w:hAnsi="Calibri" w:cs="Calibri"/>
                <w:color w:val="000000"/>
              </w:rPr>
            </w:pPr>
            <w:r w:rsidRPr="007B72BF">
              <w:rPr>
                <w:rFonts w:ascii="Calibri" w:eastAsia="Times New Roman" w:hAnsi="Calibri" w:cs="Calibri"/>
                <w:color w:val="000000"/>
              </w:rPr>
              <w:t> </w:t>
            </w:r>
          </w:p>
        </w:tc>
        <w:tc>
          <w:tcPr>
            <w:tcW w:w="960" w:type="dxa"/>
            <w:tcBorders>
              <w:top w:val="nil"/>
              <w:left w:val="nil"/>
              <w:bottom w:val="single" w:sz="4" w:space="0" w:color="auto"/>
              <w:right w:val="nil"/>
            </w:tcBorders>
            <w:shd w:val="clear" w:color="D9D9D9" w:fill="D9D9D9"/>
            <w:noWrap/>
            <w:vAlign w:val="bottom"/>
            <w:hideMark/>
          </w:tcPr>
          <w:p w14:paraId="02FAA942"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&gt;0</w:t>
            </w:r>
          </w:p>
        </w:tc>
        <w:tc>
          <w:tcPr>
            <w:tcW w:w="960" w:type="dxa"/>
            <w:tcBorders>
              <w:top w:val="nil"/>
              <w:left w:val="nil"/>
              <w:bottom w:val="single" w:sz="4" w:space="0" w:color="auto"/>
              <w:right w:val="nil"/>
            </w:tcBorders>
            <w:shd w:val="clear" w:color="D9D9D9" w:fill="D9D9D9"/>
            <w:noWrap/>
            <w:vAlign w:val="bottom"/>
            <w:hideMark/>
          </w:tcPr>
          <w:p w14:paraId="653BEAB1"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&gt;0.05</w:t>
            </w:r>
          </w:p>
        </w:tc>
        <w:tc>
          <w:tcPr>
            <w:tcW w:w="1118" w:type="dxa"/>
            <w:gridSpan w:val="2"/>
            <w:tcBorders>
              <w:top w:val="nil"/>
              <w:left w:val="nil"/>
              <w:bottom w:val="single" w:sz="4" w:space="0" w:color="auto"/>
              <w:right w:val="nil"/>
            </w:tcBorders>
            <w:shd w:val="clear" w:color="D9D9D9" w:fill="D9D9D9"/>
            <w:noWrap/>
            <w:vAlign w:val="bottom"/>
            <w:hideMark/>
          </w:tcPr>
          <w:p w14:paraId="46A77E77"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&gt;0.1</w:t>
            </w:r>
          </w:p>
        </w:tc>
        <w:tc>
          <w:tcPr>
            <w:tcW w:w="960" w:type="dxa"/>
            <w:gridSpan w:val="2"/>
            <w:tcBorders>
              <w:top w:val="nil"/>
              <w:left w:val="nil"/>
              <w:bottom w:val="single" w:sz="4" w:space="0" w:color="auto"/>
              <w:right w:val="nil"/>
            </w:tcBorders>
            <w:shd w:val="clear" w:color="D9D9D9" w:fill="D9D9D9"/>
            <w:noWrap/>
            <w:vAlign w:val="bottom"/>
            <w:hideMark/>
          </w:tcPr>
          <w:p w14:paraId="22AB76DF"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&gt;0.125</w:t>
            </w:r>
          </w:p>
        </w:tc>
        <w:tc>
          <w:tcPr>
            <w:tcW w:w="960" w:type="dxa"/>
            <w:gridSpan w:val="2"/>
            <w:tcBorders>
              <w:top w:val="nil"/>
              <w:left w:val="nil"/>
              <w:bottom w:val="single" w:sz="4" w:space="0" w:color="auto"/>
              <w:right w:val="nil"/>
            </w:tcBorders>
            <w:shd w:val="clear" w:color="D9D9D9" w:fill="D9D9D9"/>
            <w:noWrap/>
            <w:vAlign w:val="bottom"/>
            <w:hideMark/>
          </w:tcPr>
          <w:p w14:paraId="26FC021C"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&gt;0.15</w:t>
            </w:r>
          </w:p>
        </w:tc>
      </w:tr>
      <w:tr w:rsidR="00A20F65" w:rsidRPr="007B72BF" w14:paraId="1D3A59E1" w14:textId="77777777" w:rsidTr="003E6D45">
        <w:trPr>
          <w:trHeight w:val="295"/>
        </w:trPr>
        <w:tc>
          <w:tcPr>
            <w:tcW w:w="2436" w:type="dxa"/>
            <w:tcBorders>
              <w:top w:val="nil"/>
              <w:left w:val="nil"/>
              <w:bottom w:val="nil"/>
              <w:right w:val="nil"/>
            </w:tcBorders>
            <w:shd w:val="clear" w:color="auto" w:fill="auto"/>
            <w:noWrap/>
            <w:vAlign w:val="bottom"/>
            <w:hideMark/>
          </w:tcPr>
          <w:p w14:paraId="1BFA19D2" w14:textId="77777777" w:rsidR="00A20F65" w:rsidRPr="007B72BF" w:rsidRDefault="00A20F65" w:rsidP="003E6D45">
            <w:pPr>
              <w:spacing w:after="0" w:line="240" w:lineRule="auto"/>
              <w:rPr>
                <w:rFonts w:ascii="Calibri" w:eastAsia="Times New Roman" w:hAnsi="Calibri" w:cs="Calibri"/>
                <w:color w:val="000000"/>
              </w:rPr>
            </w:pPr>
            <w:r w:rsidRPr="007B72BF">
              <w:rPr>
                <w:rFonts w:ascii="Calibri" w:eastAsia="Times New Roman" w:hAnsi="Calibri" w:cs="Calibri"/>
                <w:color w:val="000000"/>
              </w:rPr>
              <w:t xml:space="preserve">Dist. Sandy x </w:t>
            </w:r>
            <w:proofErr w:type="spellStart"/>
            <w:r w:rsidRPr="007B72BF">
              <w:rPr>
                <w:rFonts w:ascii="Calibri" w:eastAsia="Times New Roman" w:hAnsi="Calibri" w:cs="Calibri"/>
                <w:color w:val="000000"/>
              </w:rPr>
              <w:t>PostSandy</w:t>
            </w:r>
            <w:proofErr w:type="spellEnd"/>
          </w:p>
        </w:tc>
        <w:tc>
          <w:tcPr>
            <w:tcW w:w="960" w:type="dxa"/>
            <w:tcBorders>
              <w:top w:val="nil"/>
              <w:left w:val="nil"/>
              <w:bottom w:val="nil"/>
              <w:right w:val="nil"/>
            </w:tcBorders>
            <w:shd w:val="clear" w:color="auto" w:fill="auto"/>
            <w:noWrap/>
            <w:vAlign w:val="bottom"/>
            <w:hideMark/>
          </w:tcPr>
          <w:p w14:paraId="64BD513F"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-0.011</w:t>
            </w:r>
          </w:p>
        </w:tc>
        <w:tc>
          <w:tcPr>
            <w:tcW w:w="960" w:type="dxa"/>
            <w:tcBorders>
              <w:top w:val="nil"/>
              <w:left w:val="nil"/>
              <w:bottom w:val="nil"/>
              <w:right w:val="nil"/>
            </w:tcBorders>
            <w:shd w:val="clear" w:color="auto" w:fill="auto"/>
            <w:noWrap/>
            <w:vAlign w:val="bottom"/>
            <w:hideMark/>
          </w:tcPr>
          <w:p w14:paraId="4DE2D46C"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0.0137</w:t>
            </w:r>
          </w:p>
        </w:tc>
        <w:tc>
          <w:tcPr>
            <w:tcW w:w="1118" w:type="dxa"/>
            <w:gridSpan w:val="2"/>
            <w:tcBorders>
              <w:top w:val="nil"/>
              <w:left w:val="nil"/>
              <w:bottom w:val="nil"/>
              <w:right w:val="nil"/>
            </w:tcBorders>
            <w:shd w:val="clear" w:color="auto" w:fill="auto"/>
            <w:noWrap/>
            <w:vAlign w:val="bottom"/>
            <w:hideMark/>
          </w:tcPr>
          <w:p w14:paraId="11FC1AB7"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-0.00238</w:t>
            </w:r>
          </w:p>
        </w:tc>
        <w:tc>
          <w:tcPr>
            <w:tcW w:w="960" w:type="dxa"/>
            <w:gridSpan w:val="2"/>
            <w:tcBorders>
              <w:top w:val="nil"/>
              <w:left w:val="nil"/>
              <w:bottom w:val="nil"/>
              <w:right w:val="nil"/>
            </w:tcBorders>
            <w:shd w:val="clear" w:color="auto" w:fill="auto"/>
            <w:noWrap/>
            <w:vAlign w:val="bottom"/>
            <w:hideMark/>
          </w:tcPr>
          <w:p w14:paraId="0F998C0A"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-0.0431</w:t>
            </w:r>
          </w:p>
        </w:tc>
        <w:tc>
          <w:tcPr>
            <w:tcW w:w="960" w:type="dxa"/>
            <w:gridSpan w:val="2"/>
            <w:tcBorders>
              <w:top w:val="nil"/>
              <w:left w:val="nil"/>
              <w:bottom w:val="nil"/>
              <w:right w:val="nil"/>
            </w:tcBorders>
            <w:shd w:val="clear" w:color="auto" w:fill="auto"/>
            <w:noWrap/>
            <w:vAlign w:val="bottom"/>
            <w:hideMark/>
          </w:tcPr>
          <w:p w14:paraId="109E1FE5"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-0.0477</w:t>
            </w:r>
          </w:p>
        </w:tc>
      </w:tr>
      <w:tr w:rsidR="00A20F65" w:rsidRPr="007B72BF" w14:paraId="3436F7C0" w14:textId="77777777" w:rsidTr="003E6D45">
        <w:trPr>
          <w:trHeight w:val="295"/>
        </w:trPr>
        <w:tc>
          <w:tcPr>
            <w:tcW w:w="2436" w:type="dxa"/>
            <w:tcBorders>
              <w:top w:val="nil"/>
              <w:left w:val="nil"/>
              <w:bottom w:val="single" w:sz="4" w:space="0" w:color="auto"/>
              <w:right w:val="nil"/>
            </w:tcBorders>
            <w:shd w:val="clear" w:color="D9D9D9" w:fill="D9D9D9"/>
            <w:noWrap/>
            <w:vAlign w:val="bottom"/>
            <w:hideMark/>
          </w:tcPr>
          <w:p w14:paraId="6296BD5D" w14:textId="77777777" w:rsidR="00A20F65" w:rsidRPr="007B72BF" w:rsidRDefault="00A20F65" w:rsidP="003E6D45">
            <w:pPr>
              <w:spacing w:after="0" w:line="240" w:lineRule="auto"/>
              <w:rPr>
                <w:rFonts w:ascii="Calibri" w:eastAsia="Times New Roman" w:hAnsi="Calibri" w:cs="Calibri"/>
                <w:color w:val="000000"/>
              </w:rPr>
            </w:pPr>
            <w:r w:rsidRPr="007B72BF">
              <w:rPr>
                <w:rFonts w:ascii="Calibri" w:eastAsia="Times New Roman" w:hAnsi="Calibri" w:cs="Calibri"/>
                <w:color w:val="000000"/>
              </w:rPr>
              <w:t> </w:t>
            </w:r>
          </w:p>
        </w:tc>
        <w:tc>
          <w:tcPr>
            <w:tcW w:w="960" w:type="dxa"/>
            <w:tcBorders>
              <w:top w:val="nil"/>
              <w:left w:val="nil"/>
              <w:bottom w:val="single" w:sz="4" w:space="0" w:color="auto"/>
              <w:right w:val="nil"/>
            </w:tcBorders>
            <w:shd w:val="clear" w:color="D9D9D9" w:fill="D9D9D9"/>
            <w:noWrap/>
            <w:vAlign w:val="bottom"/>
            <w:hideMark/>
          </w:tcPr>
          <w:p w14:paraId="4BEB9491"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(0.29)</w:t>
            </w:r>
          </w:p>
        </w:tc>
        <w:tc>
          <w:tcPr>
            <w:tcW w:w="960" w:type="dxa"/>
            <w:tcBorders>
              <w:top w:val="nil"/>
              <w:left w:val="nil"/>
              <w:bottom w:val="single" w:sz="4" w:space="0" w:color="auto"/>
              <w:right w:val="nil"/>
            </w:tcBorders>
            <w:shd w:val="clear" w:color="D9D9D9" w:fill="D9D9D9"/>
            <w:noWrap/>
            <w:vAlign w:val="bottom"/>
            <w:hideMark/>
          </w:tcPr>
          <w:p w14:paraId="27AF5B37"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(0.36)</w:t>
            </w:r>
          </w:p>
        </w:tc>
        <w:tc>
          <w:tcPr>
            <w:tcW w:w="1118" w:type="dxa"/>
            <w:gridSpan w:val="2"/>
            <w:tcBorders>
              <w:top w:val="nil"/>
              <w:left w:val="nil"/>
              <w:bottom w:val="single" w:sz="4" w:space="0" w:color="auto"/>
              <w:right w:val="nil"/>
            </w:tcBorders>
            <w:shd w:val="clear" w:color="D9D9D9" w:fill="D9D9D9"/>
            <w:noWrap/>
            <w:vAlign w:val="bottom"/>
            <w:hideMark/>
          </w:tcPr>
          <w:p w14:paraId="0D4B0CF9"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(0.06)</w:t>
            </w:r>
          </w:p>
        </w:tc>
        <w:tc>
          <w:tcPr>
            <w:tcW w:w="960" w:type="dxa"/>
            <w:gridSpan w:val="2"/>
            <w:tcBorders>
              <w:top w:val="nil"/>
              <w:left w:val="nil"/>
              <w:bottom w:val="single" w:sz="4" w:space="0" w:color="auto"/>
              <w:right w:val="nil"/>
            </w:tcBorders>
            <w:shd w:val="clear" w:color="D9D9D9" w:fill="D9D9D9"/>
            <w:noWrap/>
            <w:vAlign w:val="bottom"/>
            <w:hideMark/>
          </w:tcPr>
          <w:p w14:paraId="133D6495"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(1.08)</w:t>
            </w:r>
          </w:p>
        </w:tc>
        <w:tc>
          <w:tcPr>
            <w:tcW w:w="960" w:type="dxa"/>
            <w:gridSpan w:val="2"/>
            <w:tcBorders>
              <w:top w:val="nil"/>
              <w:left w:val="nil"/>
              <w:bottom w:val="single" w:sz="4" w:space="0" w:color="auto"/>
              <w:right w:val="nil"/>
            </w:tcBorders>
            <w:shd w:val="clear" w:color="D9D9D9" w:fill="D9D9D9"/>
            <w:noWrap/>
            <w:vAlign w:val="bottom"/>
            <w:hideMark/>
          </w:tcPr>
          <w:p w14:paraId="35485D7B"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(1.19)</w:t>
            </w:r>
          </w:p>
        </w:tc>
      </w:tr>
      <w:tr w:rsidR="00A20F65" w:rsidRPr="007B72BF" w14:paraId="7CCC99D9" w14:textId="77777777" w:rsidTr="003E6D45">
        <w:trPr>
          <w:trHeight w:val="295"/>
        </w:trPr>
        <w:tc>
          <w:tcPr>
            <w:tcW w:w="2436" w:type="dxa"/>
            <w:tcBorders>
              <w:top w:val="nil"/>
              <w:left w:val="nil"/>
              <w:bottom w:val="nil"/>
              <w:right w:val="nil"/>
            </w:tcBorders>
            <w:shd w:val="clear" w:color="auto" w:fill="auto"/>
            <w:noWrap/>
            <w:vAlign w:val="bottom"/>
            <w:hideMark/>
          </w:tcPr>
          <w:p w14:paraId="3BCB3FD7" w14:textId="77777777" w:rsidR="00A20F65" w:rsidRPr="007B72BF" w:rsidRDefault="00A20F65" w:rsidP="003E6D45">
            <w:pPr>
              <w:spacing w:after="0" w:line="240" w:lineRule="auto"/>
              <w:rPr>
                <w:rFonts w:ascii="Calibri" w:eastAsia="Times New Roman" w:hAnsi="Calibri" w:cs="Calibri"/>
                <w:color w:val="000000"/>
              </w:rPr>
            </w:pPr>
            <w:r w:rsidRPr="007B72BF">
              <w:rPr>
                <w:rFonts w:ascii="Calibri" w:eastAsia="Times New Roman" w:hAnsi="Calibri" w:cs="Calibri"/>
                <w:color w:val="000000"/>
              </w:rPr>
              <w:t>N</w:t>
            </w:r>
          </w:p>
        </w:tc>
        <w:tc>
          <w:tcPr>
            <w:tcW w:w="960" w:type="dxa"/>
            <w:tcBorders>
              <w:top w:val="nil"/>
              <w:left w:val="nil"/>
              <w:bottom w:val="nil"/>
              <w:right w:val="nil"/>
            </w:tcBorders>
            <w:shd w:val="clear" w:color="auto" w:fill="auto"/>
            <w:noWrap/>
            <w:vAlign w:val="bottom"/>
            <w:hideMark/>
          </w:tcPr>
          <w:p w14:paraId="7F5CF2B1"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9967</w:t>
            </w:r>
          </w:p>
        </w:tc>
        <w:tc>
          <w:tcPr>
            <w:tcW w:w="960" w:type="dxa"/>
            <w:tcBorders>
              <w:top w:val="nil"/>
              <w:left w:val="nil"/>
              <w:bottom w:val="nil"/>
              <w:right w:val="nil"/>
            </w:tcBorders>
            <w:shd w:val="clear" w:color="auto" w:fill="auto"/>
            <w:noWrap/>
            <w:vAlign w:val="bottom"/>
            <w:hideMark/>
          </w:tcPr>
          <w:p w14:paraId="2BD77D78"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3668</w:t>
            </w:r>
          </w:p>
        </w:tc>
        <w:tc>
          <w:tcPr>
            <w:tcW w:w="1118" w:type="dxa"/>
            <w:gridSpan w:val="2"/>
            <w:tcBorders>
              <w:top w:val="nil"/>
              <w:left w:val="nil"/>
              <w:bottom w:val="nil"/>
              <w:right w:val="nil"/>
            </w:tcBorders>
            <w:shd w:val="clear" w:color="auto" w:fill="auto"/>
            <w:noWrap/>
            <w:vAlign w:val="bottom"/>
            <w:hideMark/>
          </w:tcPr>
          <w:p w14:paraId="04F5202A"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2641</w:t>
            </w:r>
          </w:p>
        </w:tc>
        <w:tc>
          <w:tcPr>
            <w:tcW w:w="960" w:type="dxa"/>
            <w:gridSpan w:val="2"/>
            <w:tcBorders>
              <w:top w:val="nil"/>
              <w:left w:val="nil"/>
              <w:bottom w:val="nil"/>
              <w:right w:val="nil"/>
            </w:tcBorders>
            <w:shd w:val="clear" w:color="auto" w:fill="auto"/>
            <w:noWrap/>
            <w:vAlign w:val="bottom"/>
            <w:hideMark/>
          </w:tcPr>
          <w:p w14:paraId="4ADFAE3E"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2253</w:t>
            </w:r>
          </w:p>
        </w:tc>
        <w:tc>
          <w:tcPr>
            <w:tcW w:w="960" w:type="dxa"/>
            <w:gridSpan w:val="2"/>
            <w:tcBorders>
              <w:top w:val="nil"/>
              <w:left w:val="nil"/>
              <w:bottom w:val="nil"/>
              <w:right w:val="nil"/>
            </w:tcBorders>
            <w:shd w:val="clear" w:color="auto" w:fill="auto"/>
            <w:noWrap/>
            <w:vAlign w:val="bottom"/>
            <w:hideMark/>
          </w:tcPr>
          <w:p w14:paraId="022C6934"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2060</w:t>
            </w:r>
          </w:p>
        </w:tc>
      </w:tr>
      <w:tr w:rsidR="00A20F65" w:rsidRPr="007B72BF" w14:paraId="0FFF092A" w14:textId="77777777" w:rsidTr="003E6D45">
        <w:trPr>
          <w:trHeight w:val="295"/>
        </w:trPr>
        <w:tc>
          <w:tcPr>
            <w:tcW w:w="2436" w:type="dxa"/>
            <w:tcBorders>
              <w:top w:val="nil"/>
              <w:left w:val="nil"/>
              <w:bottom w:val="nil"/>
              <w:right w:val="nil"/>
            </w:tcBorders>
            <w:shd w:val="clear" w:color="D9D9D9" w:fill="D9D9D9"/>
            <w:noWrap/>
            <w:vAlign w:val="bottom"/>
            <w:hideMark/>
          </w:tcPr>
          <w:p w14:paraId="50370F3F" w14:textId="77777777" w:rsidR="00A20F65" w:rsidRPr="007B72BF" w:rsidRDefault="00A20F65" w:rsidP="003E6D45">
            <w:pPr>
              <w:spacing w:after="0" w:line="240" w:lineRule="auto"/>
              <w:rPr>
                <w:rFonts w:ascii="Calibri" w:eastAsia="Times New Roman" w:hAnsi="Calibri" w:cs="Calibri"/>
                <w:color w:val="000000"/>
              </w:rPr>
            </w:pPr>
            <w:r w:rsidRPr="007B72BF">
              <w:rPr>
                <w:rFonts w:ascii="Calibri" w:eastAsia="Times New Roman" w:hAnsi="Calibri" w:cs="Calibri"/>
                <w:color w:val="000000"/>
              </w:rPr>
              <w:t>R-sq</w:t>
            </w:r>
          </w:p>
        </w:tc>
        <w:tc>
          <w:tcPr>
            <w:tcW w:w="960" w:type="dxa"/>
            <w:tcBorders>
              <w:top w:val="nil"/>
              <w:left w:val="nil"/>
              <w:bottom w:val="nil"/>
              <w:right w:val="nil"/>
            </w:tcBorders>
            <w:shd w:val="clear" w:color="D9D9D9" w:fill="D9D9D9"/>
            <w:noWrap/>
            <w:vAlign w:val="bottom"/>
            <w:hideMark/>
          </w:tcPr>
          <w:p w14:paraId="6B50C691"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0.614</w:t>
            </w:r>
          </w:p>
        </w:tc>
        <w:tc>
          <w:tcPr>
            <w:tcW w:w="960" w:type="dxa"/>
            <w:tcBorders>
              <w:top w:val="nil"/>
              <w:left w:val="nil"/>
              <w:bottom w:val="nil"/>
              <w:right w:val="nil"/>
            </w:tcBorders>
            <w:shd w:val="clear" w:color="D9D9D9" w:fill="D9D9D9"/>
            <w:noWrap/>
            <w:vAlign w:val="bottom"/>
            <w:hideMark/>
          </w:tcPr>
          <w:p w14:paraId="14DE8AFC"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0.56</w:t>
            </w:r>
          </w:p>
        </w:tc>
        <w:tc>
          <w:tcPr>
            <w:tcW w:w="1118" w:type="dxa"/>
            <w:gridSpan w:val="2"/>
            <w:tcBorders>
              <w:top w:val="nil"/>
              <w:left w:val="nil"/>
              <w:bottom w:val="nil"/>
              <w:right w:val="nil"/>
            </w:tcBorders>
            <w:shd w:val="clear" w:color="D9D9D9" w:fill="D9D9D9"/>
            <w:noWrap/>
            <w:vAlign w:val="bottom"/>
            <w:hideMark/>
          </w:tcPr>
          <w:p w14:paraId="3886A503"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0.583</w:t>
            </w:r>
          </w:p>
        </w:tc>
        <w:tc>
          <w:tcPr>
            <w:tcW w:w="960" w:type="dxa"/>
            <w:gridSpan w:val="2"/>
            <w:tcBorders>
              <w:top w:val="nil"/>
              <w:left w:val="nil"/>
              <w:bottom w:val="nil"/>
              <w:right w:val="nil"/>
            </w:tcBorders>
            <w:shd w:val="clear" w:color="D9D9D9" w:fill="D9D9D9"/>
            <w:noWrap/>
            <w:vAlign w:val="bottom"/>
            <w:hideMark/>
          </w:tcPr>
          <w:p w14:paraId="20753829"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0.584</w:t>
            </w:r>
          </w:p>
        </w:tc>
        <w:tc>
          <w:tcPr>
            <w:tcW w:w="960" w:type="dxa"/>
            <w:gridSpan w:val="2"/>
            <w:tcBorders>
              <w:top w:val="nil"/>
              <w:left w:val="nil"/>
              <w:bottom w:val="nil"/>
              <w:right w:val="nil"/>
            </w:tcBorders>
            <w:shd w:val="clear" w:color="D9D9D9" w:fill="D9D9D9"/>
            <w:noWrap/>
            <w:vAlign w:val="bottom"/>
            <w:hideMark/>
          </w:tcPr>
          <w:p w14:paraId="4BF84F17"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0.581</w:t>
            </w:r>
          </w:p>
        </w:tc>
      </w:tr>
      <w:tr w:rsidR="00A20F65" w:rsidRPr="007B72BF" w14:paraId="74C06147" w14:textId="77777777" w:rsidTr="003E6D45">
        <w:trPr>
          <w:trHeight w:val="295"/>
        </w:trPr>
        <w:tc>
          <w:tcPr>
            <w:tcW w:w="2436" w:type="dxa"/>
            <w:tcBorders>
              <w:top w:val="nil"/>
              <w:left w:val="nil"/>
              <w:bottom w:val="nil"/>
              <w:right w:val="nil"/>
            </w:tcBorders>
            <w:shd w:val="clear" w:color="auto" w:fill="auto"/>
            <w:noWrap/>
            <w:vAlign w:val="bottom"/>
            <w:hideMark/>
          </w:tcPr>
          <w:p w14:paraId="460F41A3" w14:textId="77777777" w:rsidR="00A20F65" w:rsidRPr="007B72BF" w:rsidRDefault="00A20F65" w:rsidP="003E6D45">
            <w:pPr>
              <w:spacing w:after="0" w:line="240" w:lineRule="auto"/>
              <w:rPr>
                <w:rFonts w:ascii="Calibri" w:eastAsia="Times New Roman" w:hAnsi="Calibri" w:cs="Calibri"/>
                <w:color w:val="000000"/>
              </w:rPr>
            </w:pPr>
            <w:r w:rsidRPr="007B72BF">
              <w:rPr>
                <w:rFonts w:ascii="Calibri" w:eastAsia="Times New Roman" w:hAnsi="Calibri" w:cs="Calibri"/>
                <w:color w:val="000000"/>
              </w:rPr>
              <w:t>adj. R-sq</w:t>
            </w:r>
          </w:p>
        </w:tc>
        <w:tc>
          <w:tcPr>
            <w:tcW w:w="960" w:type="dxa"/>
            <w:tcBorders>
              <w:top w:val="nil"/>
              <w:left w:val="nil"/>
              <w:bottom w:val="nil"/>
              <w:right w:val="nil"/>
            </w:tcBorders>
            <w:shd w:val="clear" w:color="auto" w:fill="auto"/>
            <w:noWrap/>
            <w:vAlign w:val="bottom"/>
            <w:hideMark/>
          </w:tcPr>
          <w:p w14:paraId="5255D897"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0.59</w:t>
            </w:r>
          </w:p>
        </w:tc>
        <w:tc>
          <w:tcPr>
            <w:tcW w:w="960" w:type="dxa"/>
            <w:tcBorders>
              <w:top w:val="nil"/>
              <w:left w:val="nil"/>
              <w:bottom w:val="nil"/>
              <w:right w:val="nil"/>
            </w:tcBorders>
            <w:shd w:val="clear" w:color="auto" w:fill="auto"/>
            <w:noWrap/>
            <w:vAlign w:val="bottom"/>
            <w:hideMark/>
          </w:tcPr>
          <w:p w14:paraId="4262F28B"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0.527</w:t>
            </w:r>
          </w:p>
        </w:tc>
        <w:tc>
          <w:tcPr>
            <w:tcW w:w="1118" w:type="dxa"/>
            <w:gridSpan w:val="2"/>
            <w:tcBorders>
              <w:top w:val="nil"/>
              <w:left w:val="nil"/>
              <w:bottom w:val="nil"/>
              <w:right w:val="nil"/>
            </w:tcBorders>
            <w:shd w:val="clear" w:color="auto" w:fill="auto"/>
            <w:noWrap/>
            <w:vAlign w:val="bottom"/>
            <w:hideMark/>
          </w:tcPr>
          <w:p w14:paraId="68FFA898"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0.551</w:t>
            </w:r>
          </w:p>
        </w:tc>
        <w:tc>
          <w:tcPr>
            <w:tcW w:w="960" w:type="dxa"/>
            <w:gridSpan w:val="2"/>
            <w:tcBorders>
              <w:top w:val="nil"/>
              <w:left w:val="nil"/>
              <w:bottom w:val="nil"/>
              <w:right w:val="nil"/>
            </w:tcBorders>
            <w:shd w:val="clear" w:color="auto" w:fill="auto"/>
            <w:noWrap/>
            <w:vAlign w:val="bottom"/>
            <w:hideMark/>
          </w:tcPr>
          <w:p w14:paraId="32F3B0DA"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0.551</w:t>
            </w:r>
          </w:p>
        </w:tc>
        <w:tc>
          <w:tcPr>
            <w:tcW w:w="960" w:type="dxa"/>
            <w:gridSpan w:val="2"/>
            <w:tcBorders>
              <w:top w:val="nil"/>
              <w:left w:val="nil"/>
              <w:bottom w:val="nil"/>
              <w:right w:val="nil"/>
            </w:tcBorders>
            <w:shd w:val="clear" w:color="auto" w:fill="auto"/>
            <w:noWrap/>
            <w:vAlign w:val="bottom"/>
            <w:hideMark/>
          </w:tcPr>
          <w:p w14:paraId="49D468AC"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0.547</w:t>
            </w:r>
          </w:p>
        </w:tc>
      </w:tr>
      <w:tr w:rsidR="00A20F65" w:rsidRPr="007B72BF" w14:paraId="32A8DA72" w14:textId="77777777" w:rsidTr="003E6D45">
        <w:trPr>
          <w:trHeight w:val="295"/>
        </w:trPr>
        <w:tc>
          <w:tcPr>
            <w:tcW w:w="2436" w:type="dxa"/>
            <w:tcBorders>
              <w:top w:val="nil"/>
              <w:left w:val="nil"/>
              <w:bottom w:val="nil"/>
              <w:right w:val="nil"/>
            </w:tcBorders>
            <w:shd w:val="clear" w:color="D9D9D9" w:fill="D9D9D9"/>
            <w:noWrap/>
            <w:vAlign w:val="bottom"/>
            <w:hideMark/>
          </w:tcPr>
          <w:p w14:paraId="1360D5FC" w14:textId="77777777" w:rsidR="00A20F65" w:rsidRPr="007B72BF" w:rsidRDefault="00A20F65" w:rsidP="003E6D45">
            <w:pPr>
              <w:spacing w:after="0" w:line="240" w:lineRule="auto"/>
              <w:rPr>
                <w:rFonts w:ascii="Calibri" w:eastAsia="Times New Roman" w:hAnsi="Calibri" w:cs="Calibri"/>
                <w:color w:val="000000"/>
              </w:rPr>
            </w:pPr>
            <w:r w:rsidRPr="007B72BF">
              <w:rPr>
                <w:rFonts w:ascii="Calibri" w:eastAsia="Times New Roman" w:hAnsi="Calibri" w:cs="Calibri"/>
                <w:color w:val="000000"/>
              </w:rPr>
              <w:t>AIC</w:t>
            </w:r>
          </w:p>
        </w:tc>
        <w:tc>
          <w:tcPr>
            <w:tcW w:w="960" w:type="dxa"/>
            <w:tcBorders>
              <w:top w:val="nil"/>
              <w:left w:val="nil"/>
              <w:bottom w:val="nil"/>
              <w:right w:val="nil"/>
            </w:tcBorders>
            <w:shd w:val="clear" w:color="D9D9D9" w:fill="D9D9D9"/>
            <w:noWrap/>
            <w:vAlign w:val="bottom"/>
            <w:hideMark/>
          </w:tcPr>
          <w:p w14:paraId="04FDDB53"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5186.6</w:t>
            </w:r>
          </w:p>
        </w:tc>
        <w:tc>
          <w:tcPr>
            <w:tcW w:w="960" w:type="dxa"/>
            <w:tcBorders>
              <w:top w:val="nil"/>
              <w:left w:val="nil"/>
              <w:bottom w:val="nil"/>
              <w:right w:val="nil"/>
            </w:tcBorders>
            <w:shd w:val="clear" w:color="D9D9D9" w:fill="D9D9D9"/>
            <w:noWrap/>
            <w:vAlign w:val="bottom"/>
            <w:hideMark/>
          </w:tcPr>
          <w:p w14:paraId="19D3AA2A"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1620.6</w:t>
            </w:r>
          </w:p>
        </w:tc>
        <w:tc>
          <w:tcPr>
            <w:tcW w:w="1118" w:type="dxa"/>
            <w:gridSpan w:val="2"/>
            <w:tcBorders>
              <w:top w:val="nil"/>
              <w:left w:val="nil"/>
              <w:bottom w:val="nil"/>
              <w:right w:val="nil"/>
            </w:tcBorders>
            <w:shd w:val="clear" w:color="D9D9D9" w:fill="D9D9D9"/>
            <w:noWrap/>
            <w:vAlign w:val="bottom"/>
            <w:hideMark/>
          </w:tcPr>
          <w:p w14:paraId="6833CAC6"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955.3</w:t>
            </w:r>
          </w:p>
        </w:tc>
        <w:tc>
          <w:tcPr>
            <w:tcW w:w="960" w:type="dxa"/>
            <w:gridSpan w:val="2"/>
            <w:tcBorders>
              <w:top w:val="nil"/>
              <w:left w:val="nil"/>
              <w:bottom w:val="nil"/>
              <w:right w:val="nil"/>
            </w:tcBorders>
            <w:shd w:val="clear" w:color="D9D9D9" w:fill="D9D9D9"/>
            <w:noWrap/>
            <w:vAlign w:val="bottom"/>
            <w:hideMark/>
          </w:tcPr>
          <w:p w14:paraId="25F6ECA4"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787.4</w:t>
            </w:r>
          </w:p>
        </w:tc>
        <w:tc>
          <w:tcPr>
            <w:tcW w:w="960" w:type="dxa"/>
            <w:gridSpan w:val="2"/>
            <w:tcBorders>
              <w:top w:val="nil"/>
              <w:left w:val="nil"/>
              <w:bottom w:val="nil"/>
              <w:right w:val="nil"/>
            </w:tcBorders>
            <w:shd w:val="clear" w:color="D9D9D9" w:fill="D9D9D9"/>
            <w:noWrap/>
            <w:vAlign w:val="bottom"/>
            <w:hideMark/>
          </w:tcPr>
          <w:p w14:paraId="0CE119D6"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733.7</w:t>
            </w:r>
          </w:p>
        </w:tc>
      </w:tr>
      <w:tr w:rsidR="00A20F65" w:rsidRPr="007B72BF" w14:paraId="159CB2F9" w14:textId="77777777" w:rsidTr="003E6D45">
        <w:trPr>
          <w:trHeight w:val="295"/>
        </w:trPr>
        <w:tc>
          <w:tcPr>
            <w:tcW w:w="2436" w:type="dxa"/>
            <w:tcBorders>
              <w:top w:val="nil"/>
              <w:left w:val="nil"/>
              <w:bottom w:val="single" w:sz="4" w:space="0" w:color="000000"/>
              <w:right w:val="nil"/>
            </w:tcBorders>
            <w:shd w:val="clear" w:color="auto" w:fill="auto"/>
            <w:noWrap/>
            <w:vAlign w:val="bottom"/>
            <w:hideMark/>
          </w:tcPr>
          <w:p w14:paraId="12D107A1" w14:textId="77777777" w:rsidR="00A20F65" w:rsidRPr="007B72BF" w:rsidRDefault="00A20F65" w:rsidP="003E6D45">
            <w:pPr>
              <w:spacing w:after="0" w:line="240" w:lineRule="auto"/>
              <w:rPr>
                <w:rFonts w:ascii="Calibri" w:eastAsia="Times New Roman" w:hAnsi="Calibri" w:cs="Calibri"/>
                <w:color w:val="000000"/>
              </w:rPr>
            </w:pPr>
            <w:r w:rsidRPr="007B72BF">
              <w:rPr>
                <w:rFonts w:ascii="Calibri" w:eastAsia="Times New Roman" w:hAnsi="Calibri" w:cs="Calibri"/>
                <w:color w:val="000000"/>
              </w:rPr>
              <w:t>BIC</w:t>
            </w:r>
          </w:p>
        </w:tc>
        <w:tc>
          <w:tcPr>
            <w:tcW w:w="960" w:type="dxa"/>
            <w:tcBorders>
              <w:top w:val="nil"/>
              <w:left w:val="nil"/>
              <w:bottom w:val="single" w:sz="4" w:space="0" w:color="000000"/>
              <w:right w:val="nil"/>
            </w:tcBorders>
            <w:shd w:val="clear" w:color="auto" w:fill="auto"/>
            <w:noWrap/>
            <w:vAlign w:val="bottom"/>
            <w:hideMark/>
          </w:tcPr>
          <w:p w14:paraId="781E7883"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5215.4</w:t>
            </w:r>
          </w:p>
        </w:tc>
        <w:tc>
          <w:tcPr>
            <w:tcW w:w="960" w:type="dxa"/>
            <w:tcBorders>
              <w:top w:val="nil"/>
              <w:left w:val="nil"/>
              <w:bottom w:val="single" w:sz="4" w:space="0" w:color="000000"/>
              <w:right w:val="nil"/>
            </w:tcBorders>
            <w:shd w:val="clear" w:color="auto" w:fill="auto"/>
            <w:noWrap/>
            <w:vAlign w:val="bottom"/>
            <w:hideMark/>
          </w:tcPr>
          <w:p w14:paraId="44022F4D"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1645.5</w:t>
            </w:r>
          </w:p>
        </w:tc>
        <w:tc>
          <w:tcPr>
            <w:tcW w:w="1118" w:type="dxa"/>
            <w:gridSpan w:val="2"/>
            <w:tcBorders>
              <w:top w:val="nil"/>
              <w:left w:val="nil"/>
              <w:bottom w:val="single" w:sz="4" w:space="0" w:color="000000"/>
              <w:right w:val="nil"/>
            </w:tcBorders>
            <w:shd w:val="clear" w:color="auto" w:fill="auto"/>
            <w:noWrap/>
            <w:vAlign w:val="bottom"/>
            <w:hideMark/>
          </w:tcPr>
          <w:p w14:paraId="22DD849A"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973</w:t>
            </w:r>
          </w:p>
        </w:tc>
        <w:tc>
          <w:tcPr>
            <w:tcW w:w="960" w:type="dxa"/>
            <w:gridSpan w:val="2"/>
            <w:tcBorders>
              <w:top w:val="nil"/>
              <w:left w:val="nil"/>
              <w:bottom w:val="single" w:sz="4" w:space="0" w:color="000000"/>
              <w:right w:val="nil"/>
            </w:tcBorders>
            <w:shd w:val="clear" w:color="auto" w:fill="auto"/>
            <w:noWrap/>
            <w:vAlign w:val="bottom"/>
            <w:hideMark/>
          </w:tcPr>
          <w:p w14:paraId="2734C371"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804.5</w:t>
            </w:r>
          </w:p>
        </w:tc>
        <w:tc>
          <w:tcPr>
            <w:tcW w:w="960" w:type="dxa"/>
            <w:gridSpan w:val="2"/>
            <w:tcBorders>
              <w:top w:val="nil"/>
              <w:left w:val="nil"/>
              <w:bottom w:val="single" w:sz="4" w:space="0" w:color="000000"/>
              <w:right w:val="nil"/>
            </w:tcBorders>
            <w:shd w:val="clear" w:color="auto" w:fill="auto"/>
            <w:noWrap/>
            <w:vAlign w:val="bottom"/>
            <w:hideMark/>
          </w:tcPr>
          <w:p w14:paraId="2E3A8212"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750.6</w:t>
            </w:r>
          </w:p>
        </w:tc>
      </w:tr>
    </w:tbl>
    <w:p w14:paraId="378ACA68" w14:textId="77777777" w:rsidR="00A20F65" w:rsidRDefault="00A20F65" w:rsidP="00A20F65">
      <w:pPr>
        <w:pStyle w:val="NoSpacing"/>
        <w:rPr>
          <w:rFonts w:ascii="Times New Roman" w:hAnsi="Times New Roman" w:cs="Times New Roman"/>
          <w:sz w:val="18"/>
          <w:szCs w:val="18"/>
        </w:rPr>
      </w:pPr>
      <w:r w:rsidRPr="008E4020">
        <w:rPr>
          <w:rFonts w:ascii="Times New Roman" w:hAnsi="Times New Roman" w:cs="Times New Roman"/>
          <w:sz w:val="18"/>
          <w:szCs w:val="18"/>
        </w:rPr>
        <w:t>Note</w:t>
      </w:r>
      <w:r>
        <w:rPr>
          <w:rFonts w:ascii="Times New Roman" w:hAnsi="Times New Roman" w:cs="Times New Roman"/>
          <w:sz w:val="18"/>
          <w:szCs w:val="18"/>
        </w:rPr>
        <w:t>s</w:t>
      </w:r>
      <w:r w:rsidRPr="008E4020">
        <w:rPr>
          <w:rFonts w:ascii="Times New Roman" w:hAnsi="Times New Roman" w:cs="Times New Roman"/>
          <w:sz w:val="18"/>
          <w:szCs w:val="18"/>
        </w:rPr>
        <w:t>: Other control variables not show</w:t>
      </w:r>
      <w:r>
        <w:rPr>
          <w:rFonts w:ascii="Times New Roman" w:hAnsi="Times New Roman" w:cs="Times New Roman"/>
          <w:sz w:val="18"/>
          <w:szCs w:val="18"/>
        </w:rPr>
        <w:t>n</w:t>
      </w:r>
      <w:r w:rsidRPr="008E4020">
        <w:rPr>
          <w:rFonts w:ascii="Times New Roman" w:hAnsi="Times New Roman" w:cs="Times New Roman"/>
          <w:sz w:val="18"/>
          <w:szCs w:val="18"/>
        </w:rPr>
        <w:t xml:space="preserve">. The specification is the same as Table 2, </w:t>
      </w:r>
      <w:r>
        <w:rPr>
          <w:rFonts w:ascii="Times New Roman" w:hAnsi="Times New Roman" w:cs="Times New Roman"/>
          <w:sz w:val="18"/>
          <w:szCs w:val="18"/>
        </w:rPr>
        <w:t>Column</w:t>
      </w:r>
      <w:r w:rsidRPr="008E4020">
        <w:rPr>
          <w:rFonts w:ascii="Times New Roman" w:hAnsi="Times New Roman" w:cs="Times New Roman"/>
          <w:sz w:val="18"/>
          <w:szCs w:val="18"/>
        </w:rPr>
        <w:t xml:space="preserve"> (3). t statistics in parentheses. </w:t>
      </w:r>
    </w:p>
    <w:p w14:paraId="6283CA5A" w14:textId="77777777" w:rsidR="00A20F65" w:rsidRPr="008E4020" w:rsidRDefault="00A20F65" w:rsidP="00A20F65">
      <w:pPr>
        <w:pStyle w:val="NoSpacing"/>
        <w:rPr>
          <w:rFonts w:ascii="Times New Roman" w:hAnsi="Times New Roman" w:cs="Times New Roman"/>
          <w:sz w:val="18"/>
          <w:szCs w:val="18"/>
        </w:rPr>
      </w:pPr>
      <w:r w:rsidRPr="008E4020">
        <w:rPr>
          <w:rFonts w:ascii="Times New Roman" w:hAnsi="Times New Roman" w:cs="Times New Roman"/>
          <w:sz w:val="18"/>
          <w:szCs w:val="18"/>
        </w:rPr>
        <w:t>* p&lt;0.10, ** p&lt;0.05, *** p&lt;0.01. Standard errors clustered by borough.</w:t>
      </w:r>
    </w:p>
    <w:p w14:paraId="74F6BEFA" w14:textId="77777777" w:rsidR="00A20F65" w:rsidRDefault="00A20F65" w:rsidP="00A20F65">
      <w:pPr>
        <w:pStyle w:val="NoSpacing"/>
        <w:rPr>
          <w:rFonts w:ascii="Courier New" w:hAnsi="Courier New" w:cs="Courier New"/>
          <w:sz w:val="16"/>
          <w:szCs w:val="16"/>
        </w:rPr>
      </w:pPr>
    </w:p>
    <w:p w14:paraId="39096652" w14:textId="77777777" w:rsidR="00A20F65" w:rsidRDefault="00A20F65" w:rsidP="00A20F65">
      <w:pPr>
        <w:pStyle w:val="NoSpacing"/>
        <w:rPr>
          <w:rFonts w:ascii="Courier New" w:hAnsi="Courier New" w:cs="Courier New"/>
          <w:sz w:val="16"/>
          <w:szCs w:val="16"/>
        </w:rPr>
      </w:pPr>
    </w:p>
    <w:p w14:paraId="38A7280A" w14:textId="77777777" w:rsidR="00A20F65" w:rsidRDefault="00A20F65" w:rsidP="00A20F65">
      <w:pPr>
        <w:rPr>
          <w:rFonts w:ascii="Times New Roman" w:hAnsi="Times New Roman" w:cs="Times New Roman"/>
          <w:b/>
          <w:bCs/>
        </w:rPr>
      </w:pPr>
      <w:r w:rsidRPr="00444C12">
        <w:rPr>
          <w:rFonts w:ascii="Times New Roman" w:hAnsi="Times New Roman" w:cs="Times New Roman"/>
          <w:b/>
          <w:bCs/>
        </w:rPr>
        <w:t>Table A.</w:t>
      </w:r>
      <w:r>
        <w:rPr>
          <w:rFonts w:ascii="Times New Roman" w:hAnsi="Times New Roman" w:cs="Times New Roman"/>
          <w:b/>
          <w:bCs/>
        </w:rPr>
        <w:t>2</w:t>
      </w:r>
      <w:r w:rsidRPr="00444C12">
        <w:rPr>
          <w:rFonts w:ascii="Times New Roman" w:hAnsi="Times New Roman" w:cs="Times New Roman"/>
          <w:b/>
          <w:bCs/>
        </w:rPr>
        <w:t xml:space="preserve">: </w:t>
      </w:r>
      <w:r w:rsidRPr="007B72BF">
        <w:rPr>
          <w:rFonts w:ascii="Times New Roman" w:hAnsi="Times New Roman" w:cs="Times New Roman"/>
          <w:b/>
          <w:bCs/>
          <w:i/>
          <w:iCs/>
        </w:rPr>
        <w:t xml:space="preserve">Distance to Sandy x </w:t>
      </w:r>
      <w:proofErr w:type="spellStart"/>
      <w:r w:rsidRPr="007B72BF">
        <w:rPr>
          <w:rFonts w:ascii="Times New Roman" w:hAnsi="Times New Roman" w:cs="Times New Roman"/>
          <w:b/>
          <w:bCs/>
          <w:i/>
          <w:iCs/>
        </w:rPr>
        <w:t>PostSandy</w:t>
      </w:r>
      <w:proofErr w:type="spellEnd"/>
      <w:r w:rsidRPr="007B72BF">
        <w:rPr>
          <w:rFonts w:ascii="Times New Roman" w:hAnsi="Times New Roman" w:cs="Times New Roman"/>
          <w:b/>
          <w:bCs/>
          <w:i/>
          <w:iCs/>
        </w:rPr>
        <w:t xml:space="preserve"> Dummy</w:t>
      </w:r>
      <w:r w:rsidRPr="008B6EFB">
        <w:rPr>
          <w:rFonts w:ascii="Times New Roman" w:hAnsi="Times New Roman" w:cs="Times New Roman"/>
          <w:b/>
          <w:bCs/>
        </w:rPr>
        <w:t xml:space="preserve"> within </w:t>
      </w:r>
      <w:r w:rsidRPr="00444C12">
        <w:rPr>
          <w:rFonts w:ascii="Times New Roman" w:hAnsi="Times New Roman" w:cs="Times New Roman"/>
          <w:b/>
          <w:bCs/>
        </w:rPr>
        <w:t>1 mile, negative shock values of different sizes. Eq. (1) is any negative shock. (2) is less than -0.05 miles, etc. Dep. Var.: Ln(Price per square foot)</w:t>
      </w:r>
      <w:r>
        <w:rPr>
          <w:rFonts w:ascii="Times New Roman" w:hAnsi="Times New Roman" w:cs="Times New Roman"/>
          <w:b/>
          <w:bCs/>
        </w:rPr>
        <w:t>, 2011-2013</w:t>
      </w:r>
    </w:p>
    <w:tbl>
      <w:tblPr>
        <w:tblW w:w="8741" w:type="dxa"/>
        <w:tblLook w:val="04A0" w:firstRow="1" w:lastRow="0" w:firstColumn="1" w:lastColumn="0" w:noHBand="0" w:noVBand="1"/>
      </w:tblPr>
      <w:tblGrid>
        <w:gridCol w:w="2436"/>
        <w:gridCol w:w="1049"/>
        <w:gridCol w:w="1420"/>
        <w:gridCol w:w="1520"/>
        <w:gridCol w:w="1158"/>
        <w:gridCol w:w="1158"/>
      </w:tblGrid>
      <w:tr w:rsidR="00A20F65" w:rsidRPr="007B72BF" w14:paraId="30452FC6" w14:textId="77777777" w:rsidTr="003E6D45">
        <w:trPr>
          <w:trHeight w:val="295"/>
        </w:trPr>
        <w:tc>
          <w:tcPr>
            <w:tcW w:w="2436" w:type="dxa"/>
            <w:tcBorders>
              <w:top w:val="single" w:sz="4" w:space="0" w:color="000000"/>
              <w:left w:val="nil"/>
              <w:bottom w:val="single" w:sz="4" w:space="0" w:color="000000"/>
              <w:right w:val="nil"/>
            </w:tcBorders>
            <w:shd w:val="clear" w:color="auto" w:fill="auto"/>
            <w:noWrap/>
            <w:vAlign w:val="bottom"/>
            <w:hideMark/>
          </w:tcPr>
          <w:p w14:paraId="7FB7CFB6" w14:textId="77777777" w:rsidR="00A20F65" w:rsidRPr="007B72BF" w:rsidRDefault="00A20F65" w:rsidP="003E6D45">
            <w:pPr>
              <w:spacing w:after="0" w:line="240" w:lineRule="auto"/>
              <w:rPr>
                <w:rFonts w:ascii="Calibri" w:eastAsia="Times New Roman" w:hAnsi="Calibri" w:cs="Calibri"/>
                <w:b/>
                <w:bCs/>
                <w:color w:val="000000"/>
              </w:rPr>
            </w:pPr>
          </w:p>
        </w:tc>
        <w:tc>
          <w:tcPr>
            <w:tcW w:w="1049" w:type="dxa"/>
            <w:tcBorders>
              <w:top w:val="single" w:sz="4" w:space="0" w:color="000000"/>
              <w:left w:val="nil"/>
              <w:bottom w:val="single" w:sz="4" w:space="0" w:color="000000"/>
              <w:right w:val="nil"/>
            </w:tcBorders>
            <w:shd w:val="clear" w:color="auto" w:fill="auto"/>
            <w:noWrap/>
            <w:vAlign w:val="bottom"/>
            <w:hideMark/>
          </w:tcPr>
          <w:p w14:paraId="49A86F47"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(1)</w:t>
            </w:r>
          </w:p>
        </w:tc>
        <w:tc>
          <w:tcPr>
            <w:tcW w:w="1420" w:type="dxa"/>
            <w:tcBorders>
              <w:top w:val="single" w:sz="4" w:space="0" w:color="000000"/>
              <w:left w:val="nil"/>
              <w:bottom w:val="single" w:sz="4" w:space="0" w:color="000000"/>
              <w:right w:val="nil"/>
            </w:tcBorders>
            <w:shd w:val="clear" w:color="auto" w:fill="auto"/>
            <w:noWrap/>
            <w:vAlign w:val="bottom"/>
            <w:hideMark/>
          </w:tcPr>
          <w:p w14:paraId="5DC1E1DD"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(2)</w:t>
            </w:r>
          </w:p>
        </w:tc>
        <w:tc>
          <w:tcPr>
            <w:tcW w:w="1520" w:type="dxa"/>
            <w:tcBorders>
              <w:top w:val="single" w:sz="4" w:space="0" w:color="000000"/>
              <w:left w:val="nil"/>
              <w:bottom w:val="single" w:sz="4" w:space="0" w:color="000000"/>
              <w:right w:val="nil"/>
            </w:tcBorders>
            <w:shd w:val="clear" w:color="auto" w:fill="auto"/>
            <w:noWrap/>
            <w:vAlign w:val="bottom"/>
            <w:hideMark/>
          </w:tcPr>
          <w:p w14:paraId="7202CAC7"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(3)</w:t>
            </w:r>
          </w:p>
        </w:tc>
        <w:tc>
          <w:tcPr>
            <w:tcW w:w="1158" w:type="dxa"/>
            <w:tcBorders>
              <w:top w:val="single" w:sz="4" w:space="0" w:color="000000"/>
              <w:left w:val="nil"/>
              <w:bottom w:val="single" w:sz="4" w:space="0" w:color="000000"/>
              <w:right w:val="nil"/>
            </w:tcBorders>
            <w:shd w:val="clear" w:color="auto" w:fill="auto"/>
            <w:noWrap/>
            <w:vAlign w:val="bottom"/>
            <w:hideMark/>
          </w:tcPr>
          <w:p w14:paraId="702A18EB"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(4)</w:t>
            </w:r>
          </w:p>
        </w:tc>
        <w:tc>
          <w:tcPr>
            <w:tcW w:w="1158" w:type="dxa"/>
            <w:tcBorders>
              <w:top w:val="single" w:sz="4" w:space="0" w:color="000000"/>
              <w:left w:val="nil"/>
              <w:bottom w:val="single" w:sz="4" w:space="0" w:color="000000"/>
              <w:right w:val="nil"/>
            </w:tcBorders>
            <w:shd w:val="clear" w:color="auto" w:fill="auto"/>
            <w:noWrap/>
            <w:vAlign w:val="bottom"/>
            <w:hideMark/>
          </w:tcPr>
          <w:p w14:paraId="1A0AED7A"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(5)</w:t>
            </w:r>
          </w:p>
        </w:tc>
      </w:tr>
      <w:tr w:rsidR="00A20F65" w:rsidRPr="007B72BF" w14:paraId="41110275" w14:textId="77777777" w:rsidTr="003E6D45">
        <w:trPr>
          <w:trHeight w:val="295"/>
        </w:trPr>
        <w:tc>
          <w:tcPr>
            <w:tcW w:w="2436" w:type="dxa"/>
            <w:tcBorders>
              <w:top w:val="nil"/>
              <w:left w:val="nil"/>
              <w:bottom w:val="single" w:sz="4" w:space="0" w:color="auto"/>
              <w:right w:val="nil"/>
            </w:tcBorders>
            <w:shd w:val="clear" w:color="D9D9D9" w:fill="D9D9D9"/>
            <w:noWrap/>
            <w:vAlign w:val="bottom"/>
            <w:hideMark/>
          </w:tcPr>
          <w:p w14:paraId="69467939" w14:textId="77777777" w:rsidR="00A20F65" w:rsidRPr="007B72BF" w:rsidRDefault="00A20F65" w:rsidP="003E6D45">
            <w:pPr>
              <w:spacing w:after="0" w:line="240" w:lineRule="auto"/>
              <w:rPr>
                <w:rFonts w:ascii="Calibri" w:eastAsia="Times New Roman" w:hAnsi="Calibri" w:cs="Calibri"/>
                <w:color w:val="000000"/>
              </w:rPr>
            </w:pPr>
            <w:r w:rsidRPr="007B72BF">
              <w:rPr>
                <w:rFonts w:ascii="Calibri" w:eastAsia="Times New Roman" w:hAnsi="Calibri" w:cs="Calibri"/>
                <w:color w:val="000000"/>
              </w:rPr>
              <w:t> </w:t>
            </w:r>
          </w:p>
        </w:tc>
        <w:tc>
          <w:tcPr>
            <w:tcW w:w="1049" w:type="dxa"/>
            <w:tcBorders>
              <w:top w:val="nil"/>
              <w:left w:val="nil"/>
              <w:bottom w:val="single" w:sz="4" w:space="0" w:color="auto"/>
              <w:right w:val="nil"/>
            </w:tcBorders>
            <w:shd w:val="clear" w:color="D9D9D9" w:fill="D9D9D9"/>
            <w:noWrap/>
            <w:vAlign w:val="bottom"/>
            <w:hideMark/>
          </w:tcPr>
          <w:p w14:paraId="4FA565AF"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&lt;0</w:t>
            </w:r>
          </w:p>
        </w:tc>
        <w:tc>
          <w:tcPr>
            <w:tcW w:w="1420" w:type="dxa"/>
            <w:tcBorders>
              <w:top w:val="nil"/>
              <w:left w:val="nil"/>
              <w:bottom w:val="single" w:sz="4" w:space="0" w:color="auto"/>
              <w:right w:val="nil"/>
            </w:tcBorders>
            <w:shd w:val="clear" w:color="D9D9D9" w:fill="D9D9D9"/>
            <w:noWrap/>
            <w:vAlign w:val="bottom"/>
            <w:hideMark/>
          </w:tcPr>
          <w:p w14:paraId="173ACC95"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&lt;-0.05</w:t>
            </w:r>
          </w:p>
        </w:tc>
        <w:tc>
          <w:tcPr>
            <w:tcW w:w="1520" w:type="dxa"/>
            <w:tcBorders>
              <w:top w:val="nil"/>
              <w:left w:val="nil"/>
              <w:bottom w:val="single" w:sz="4" w:space="0" w:color="auto"/>
              <w:right w:val="nil"/>
            </w:tcBorders>
            <w:shd w:val="clear" w:color="D9D9D9" w:fill="D9D9D9"/>
            <w:noWrap/>
            <w:vAlign w:val="bottom"/>
            <w:hideMark/>
          </w:tcPr>
          <w:p w14:paraId="45C73A15"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&lt;-0.1</w:t>
            </w:r>
          </w:p>
        </w:tc>
        <w:tc>
          <w:tcPr>
            <w:tcW w:w="1158" w:type="dxa"/>
            <w:tcBorders>
              <w:top w:val="nil"/>
              <w:left w:val="nil"/>
              <w:bottom w:val="single" w:sz="4" w:space="0" w:color="auto"/>
              <w:right w:val="nil"/>
            </w:tcBorders>
            <w:shd w:val="clear" w:color="D9D9D9" w:fill="D9D9D9"/>
            <w:noWrap/>
            <w:vAlign w:val="bottom"/>
            <w:hideMark/>
          </w:tcPr>
          <w:p w14:paraId="070C1C30"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&lt;-0.125</w:t>
            </w:r>
          </w:p>
        </w:tc>
        <w:tc>
          <w:tcPr>
            <w:tcW w:w="1158" w:type="dxa"/>
            <w:tcBorders>
              <w:top w:val="nil"/>
              <w:left w:val="nil"/>
              <w:bottom w:val="single" w:sz="4" w:space="0" w:color="auto"/>
              <w:right w:val="nil"/>
            </w:tcBorders>
            <w:shd w:val="clear" w:color="D9D9D9" w:fill="D9D9D9"/>
            <w:noWrap/>
            <w:vAlign w:val="bottom"/>
            <w:hideMark/>
          </w:tcPr>
          <w:p w14:paraId="76A207C5" w14:textId="77777777" w:rsidR="00A20F65" w:rsidRPr="007B72BF" w:rsidRDefault="00A20F65" w:rsidP="003E6D45">
            <w:pPr>
              <w:spacing w:after="0" w:line="240" w:lineRule="auto"/>
              <w:jc w:val="center"/>
              <w:rPr>
                <w:rFonts w:ascii="Calibri" w:eastAsia="Times New Roman" w:hAnsi="Calibri" w:cs="Calibri"/>
                <w:b/>
                <w:bCs/>
                <w:color w:val="000000"/>
              </w:rPr>
            </w:pPr>
            <w:r w:rsidRPr="007B72BF">
              <w:rPr>
                <w:rFonts w:ascii="Calibri" w:eastAsia="Times New Roman" w:hAnsi="Calibri" w:cs="Calibri"/>
                <w:b/>
                <w:bCs/>
                <w:color w:val="000000"/>
              </w:rPr>
              <w:t>&lt;-0.15</w:t>
            </w:r>
          </w:p>
        </w:tc>
      </w:tr>
      <w:tr w:rsidR="00A20F65" w:rsidRPr="007B72BF" w14:paraId="63515440" w14:textId="77777777" w:rsidTr="003E6D45">
        <w:trPr>
          <w:trHeight w:val="295"/>
        </w:trPr>
        <w:tc>
          <w:tcPr>
            <w:tcW w:w="2436" w:type="dxa"/>
            <w:tcBorders>
              <w:top w:val="nil"/>
              <w:left w:val="nil"/>
              <w:bottom w:val="nil"/>
              <w:right w:val="nil"/>
            </w:tcBorders>
            <w:shd w:val="clear" w:color="auto" w:fill="auto"/>
            <w:noWrap/>
            <w:vAlign w:val="bottom"/>
            <w:hideMark/>
          </w:tcPr>
          <w:p w14:paraId="44981FF1" w14:textId="77777777" w:rsidR="00A20F65" w:rsidRPr="007B72BF" w:rsidRDefault="00A20F65" w:rsidP="003E6D45">
            <w:pPr>
              <w:spacing w:after="0" w:line="240" w:lineRule="auto"/>
              <w:rPr>
                <w:rFonts w:ascii="Calibri" w:eastAsia="Times New Roman" w:hAnsi="Calibri" w:cs="Calibri"/>
                <w:color w:val="000000"/>
              </w:rPr>
            </w:pPr>
            <w:r w:rsidRPr="007B72BF">
              <w:rPr>
                <w:rFonts w:ascii="Calibri" w:eastAsia="Times New Roman" w:hAnsi="Calibri" w:cs="Calibri"/>
                <w:color w:val="000000"/>
              </w:rPr>
              <w:t xml:space="preserve">Dist. Sandy x </w:t>
            </w:r>
            <w:proofErr w:type="spellStart"/>
            <w:r w:rsidRPr="007B72BF">
              <w:rPr>
                <w:rFonts w:ascii="Calibri" w:eastAsia="Times New Roman" w:hAnsi="Calibri" w:cs="Calibri"/>
                <w:color w:val="000000"/>
              </w:rPr>
              <w:t>PostSandy</w:t>
            </w:r>
            <w:proofErr w:type="spellEnd"/>
          </w:p>
        </w:tc>
        <w:tc>
          <w:tcPr>
            <w:tcW w:w="1049" w:type="dxa"/>
            <w:tcBorders>
              <w:top w:val="nil"/>
              <w:left w:val="nil"/>
              <w:bottom w:val="nil"/>
              <w:right w:val="nil"/>
            </w:tcBorders>
            <w:shd w:val="clear" w:color="auto" w:fill="auto"/>
            <w:noWrap/>
            <w:vAlign w:val="bottom"/>
            <w:hideMark/>
          </w:tcPr>
          <w:p w14:paraId="1B0E276F"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0.0664**</w:t>
            </w:r>
          </w:p>
        </w:tc>
        <w:tc>
          <w:tcPr>
            <w:tcW w:w="1420" w:type="dxa"/>
            <w:tcBorders>
              <w:top w:val="nil"/>
              <w:left w:val="nil"/>
              <w:bottom w:val="nil"/>
              <w:right w:val="nil"/>
            </w:tcBorders>
            <w:shd w:val="clear" w:color="auto" w:fill="auto"/>
            <w:noWrap/>
            <w:vAlign w:val="bottom"/>
            <w:hideMark/>
          </w:tcPr>
          <w:p w14:paraId="090BA0B9"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0.0421</w:t>
            </w:r>
          </w:p>
        </w:tc>
        <w:tc>
          <w:tcPr>
            <w:tcW w:w="1520" w:type="dxa"/>
            <w:tcBorders>
              <w:top w:val="nil"/>
              <w:left w:val="nil"/>
              <w:bottom w:val="nil"/>
              <w:right w:val="nil"/>
            </w:tcBorders>
            <w:shd w:val="clear" w:color="auto" w:fill="auto"/>
            <w:noWrap/>
            <w:vAlign w:val="bottom"/>
            <w:hideMark/>
          </w:tcPr>
          <w:p w14:paraId="1E21930E"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0.0408***</w:t>
            </w:r>
          </w:p>
        </w:tc>
        <w:tc>
          <w:tcPr>
            <w:tcW w:w="1158" w:type="dxa"/>
            <w:tcBorders>
              <w:top w:val="nil"/>
              <w:left w:val="nil"/>
              <w:bottom w:val="nil"/>
              <w:right w:val="nil"/>
            </w:tcBorders>
            <w:shd w:val="clear" w:color="auto" w:fill="auto"/>
            <w:noWrap/>
            <w:vAlign w:val="bottom"/>
            <w:hideMark/>
          </w:tcPr>
          <w:p w14:paraId="09133C42"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0.0437***</w:t>
            </w:r>
          </w:p>
        </w:tc>
        <w:tc>
          <w:tcPr>
            <w:tcW w:w="1158" w:type="dxa"/>
            <w:tcBorders>
              <w:top w:val="nil"/>
              <w:left w:val="nil"/>
              <w:bottom w:val="nil"/>
              <w:right w:val="nil"/>
            </w:tcBorders>
            <w:shd w:val="clear" w:color="auto" w:fill="auto"/>
            <w:noWrap/>
            <w:vAlign w:val="bottom"/>
            <w:hideMark/>
          </w:tcPr>
          <w:p w14:paraId="41FB5DFC"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0.0530***</w:t>
            </w:r>
          </w:p>
        </w:tc>
      </w:tr>
      <w:tr w:rsidR="00A20F65" w:rsidRPr="007B72BF" w14:paraId="3C830949" w14:textId="77777777" w:rsidTr="003E6D45">
        <w:trPr>
          <w:trHeight w:val="295"/>
        </w:trPr>
        <w:tc>
          <w:tcPr>
            <w:tcW w:w="2436" w:type="dxa"/>
            <w:tcBorders>
              <w:top w:val="nil"/>
              <w:left w:val="nil"/>
              <w:bottom w:val="single" w:sz="4" w:space="0" w:color="auto"/>
              <w:right w:val="nil"/>
            </w:tcBorders>
            <w:shd w:val="clear" w:color="D9D9D9" w:fill="D9D9D9"/>
            <w:noWrap/>
            <w:vAlign w:val="bottom"/>
            <w:hideMark/>
          </w:tcPr>
          <w:p w14:paraId="421A14EF" w14:textId="77777777" w:rsidR="00A20F65" w:rsidRPr="007B72BF" w:rsidRDefault="00A20F65" w:rsidP="003E6D45">
            <w:pPr>
              <w:spacing w:after="0" w:line="240" w:lineRule="auto"/>
              <w:rPr>
                <w:rFonts w:ascii="Calibri" w:eastAsia="Times New Roman" w:hAnsi="Calibri" w:cs="Calibri"/>
                <w:color w:val="000000"/>
              </w:rPr>
            </w:pPr>
            <w:r w:rsidRPr="007B72BF">
              <w:rPr>
                <w:rFonts w:ascii="Calibri" w:eastAsia="Times New Roman" w:hAnsi="Calibri" w:cs="Calibri"/>
                <w:color w:val="000000"/>
              </w:rPr>
              <w:t> </w:t>
            </w:r>
          </w:p>
        </w:tc>
        <w:tc>
          <w:tcPr>
            <w:tcW w:w="1049" w:type="dxa"/>
            <w:tcBorders>
              <w:top w:val="nil"/>
              <w:left w:val="nil"/>
              <w:bottom w:val="single" w:sz="4" w:space="0" w:color="auto"/>
              <w:right w:val="nil"/>
            </w:tcBorders>
            <w:shd w:val="clear" w:color="D9D9D9" w:fill="D9D9D9"/>
            <w:noWrap/>
            <w:vAlign w:val="bottom"/>
            <w:hideMark/>
          </w:tcPr>
          <w:p w14:paraId="7DA1EE0F"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(2.92)</w:t>
            </w:r>
          </w:p>
        </w:tc>
        <w:tc>
          <w:tcPr>
            <w:tcW w:w="1420" w:type="dxa"/>
            <w:tcBorders>
              <w:top w:val="nil"/>
              <w:left w:val="nil"/>
              <w:bottom w:val="single" w:sz="4" w:space="0" w:color="auto"/>
              <w:right w:val="nil"/>
            </w:tcBorders>
            <w:shd w:val="clear" w:color="D9D9D9" w:fill="D9D9D9"/>
            <w:noWrap/>
            <w:vAlign w:val="bottom"/>
            <w:hideMark/>
          </w:tcPr>
          <w:p w14:paraId="4836C277"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(1.90)</w:t>
            </w:r>
          </w:p>
        </w:tc>
        <w:tc>
          <w:tcPr>
            <w:tcW w:w="1520" w:type="dxa"/>
            <w:tcBorders>
              <w:top w:val="nil"/>
              <w:left w:val="nil"/>
              <w:bottom w:val="single" w:sz="4" w:space="0" w:color="auto"/>
              <w:right w:val="nil"/>
            </w:tcBorders>
            <w:shd w:val="clear" w:color="D9D9D9" w:fill="D9D9D9"/>
            <w:noWrap/>
            <w:vAlign w:val="bottom"/>
            <w:hideMark/>
          </w:tcPr>
          <w:p w14:paraId="77CF235F"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(8.97)</w:t>
            </w:r>
          </w:p>
        </w:tc>
        <w:tc>
          <w:tcPr>
            <w:tcW w:w="1158" w:type="dxa"/>
            <w:tcBorders>
              <w:top w:val="nil"/>
              <w:left w:val="nil"/>
              <w:bottom w:val="single" w:sz="4" w:space="0" w:color="auto"/>
              <w:right w:val="nil"/>
            </w:tcBorders>
            <w:shd w:val="clear" w:color="D9D9D9" w:fill="D9D9D9"/>
            <w:noWrap/>
            <w:vAlign w:val="bottom"/>
            <w:hideMark/>
          </w:tcPr>
          <w:p w14:paraId="608CF30A"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(5.35)</w:t>
            </w:r>
          </w:p>
        </w:tc>
        <w:tc>
          <w:tcPr>
            <w:tcW w:w="1158" w:type="dxa"/>
            <w:tcBorders>
              <w:top w:val="nil"/>
              <w:left w:val="nil"/>
              <w:bottom w:val="single" w:sz="4" w:space="0" w:color="auto"/>
              <w:right w:val="nil"/>
            </w:tcBorders>
            <w:shd w:val="clear" w:color="D9D9D9" w:fill="D9D9D9"/>
            <w:noWrap/>
            <w:vAlign w:val="bottom"/>
            <w:hideMark/>
          </w:tcPr>
          <w:p w14:paraId="1A54A678"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(5.44)</w:t>
            </w:r>
          </w:p>
        </w:tc>
      </w:tr>
      <w:tr w:rsidR="00A20F65" w:rsidRPr="007B72BF" w14:paraId="760EE88C" w14:textId="77777777" w:rsidTr="003E6D45">
        <w:trPr>
          <w:trHeight w:val="295"/>
        </w:trPr>
        <w:tc>
          <w:tcPr>
            <w:tcW w:w="2436" w:type="dxa"/>
            <w:tcBorders>
              <w:top w:val="nil"/>
              <w:left w:val="nil"/>
              <w:bottom w:val="nil"/>
              <w:right w:val="nil"/>
            </w:tcBorders>
            <w:shd w:val="clear" w:color="auto" w:fill="auto"/>
            <w:noWrap/>
            <w:vAlign w:val="bottom"/>
            <w:hideMark/>
          </w:tcPr>
          <w:p w14:paraId="0A07F822" w14:textId="77777777" w:rsidR="00A20F65" w:rsidRPr="007B72BF" w:rsidRDefault="00A20F65" w:rsidP="003E6D45">
            <w:pPr>
              <w:spacing w:after="0" w:line="240" w:lineRule="auto"/>
              <w:rPr>
                <w:rFonts w:ascii="Calibri" w:eastAsia="Times New Roman" w:hAnsi="Calibri" w:cs="Calibri"/>
                <w:color w:val="000000"/>
              </w:rPr>
            </w:pPr>
            <w:r w:rsidRPr="007B72BF">
              <w:rPr>
                <w:rFonts w:ascii="Calibri" w:eastAsia="Times New Roman" w:hAnsi="Calibri" w:cs="Calibri"/>
                <w:color w:val="000000"/>
              </w:rPr>
              <w:t>N</w:t>
            </w:r>
          </w:p>
        </w:tc>
        <w:tc>
          <w:tcPr>
            <w:tcW w:w="1049" w:type="dxa"/>
            <w:tcBorders>
              <w:top w:val="nil"/>
              <w:left w:val="nil"/>
              <w:bottom w:val="nil"/>
              <w:right w:val="nil"/>
            </w:tcBorders>
            <w:shd w:val="clear" w:color="auto" w:fill="auto"/>
            <w:noWrap/>
            <w:vAlign w:val="bottom"/>
            <w:hideMark/>
          </w:tcPr>
          <w:p w14:paraId="6EC6F62F"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15396</w:t>
            </w:r>
          </w:p>
        </w:tc>
        <w:tc>
          <w:tcPr>
            <w:tcW w:w="1420" w:type="dxa"/>
            <w:tcBorders>
              <w:top w:val="nil"/>
              <w:left w:val="nil"/>
              <w:bottom w:val="nil"/>
              <w:right w:val="nil"/>
            </w:tcBorders>
            <w:shd w:val="clear" w:color="auto" w:fill="auto"/>
            <w:noWrap/>
            <w:vAlign w:val="bottom"/>
            <w:hideMark/>
          </w:tcPr>
          <w:p w14:paraId="61DF4E00"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9552</w:t>
            </w:r>
          </w:p>
        </w:tc>
        <w:tc>
          <w:tcPr>
            <w:tcW w:w="1520" w:type="dxa"/>
            <w:tcBorders>
              <w:top w:val="nil"/>
              <w:left w:val="nil"/>
              <w:bottom w:val="nil"/>
              <w:right w:val="nil"/>
            </w:tcBorders>
            <w:shd w:val="clear" w:color="auto" w:fill="auto"/>
            <w:noWrap/>
            <w:vAlign w:val="bottom"/>
            <w:hideMark/>
          </w:tcPr>
          <w:p w14:paraId="4EC0499D"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7347</w:t>
            </w:r>
          </w:p>
        </w:tc>
        <w:tc>
          <w:tcPr>
            <w:tcW w:w="1158" w:type="dxa"/>
            <w:tcBorders>
              <w:top w:val="nil"/>
              <w:left w:val="nil"/>
              <w:bottom w:val="nil"/>
              <w:right w:val="nil"/>
            </w:tcBorders>
            <w:shd w:val="clear" w:color="auto" w:fill="auto"/>
            <w:noWrap/>
            <w:vAlign w:val="bottom"/>
            <w:hideMark/>
          </w:tcPr>
          <w:p w14:paraId="41D4F04A"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6881</w:t>
            </w:r>
          </w:p>
        </w:tc>
        <w:tc>
          <w:tcPr>
            <w:tcW w:w="1158" w:type="dxa"/>
            <w:tcBorders>
              <w:top w:val="nil"/>
              <w:left w:val="nil"/>
              <w:bottom w:val="nil"/>
              <w:right w:val="nil"/>
            </w:tcBorders>
            <w:shd w:val="clear" w:color="auto" w:fill="auto"/>
            <w:noWrap/>
            <w:vAlign w:val="bottom"/>
            <w:hideMark/>
          </w:tcPr>
          <w:p w14:paraId="21132213"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6566</w:t>
            </w:r>
          </w:p>
        </w:tc>
      </w:tr>
      <w:tr w:rsidR="00A20F65" w:rsidRPr="007B72BF" w14:paraId="24EDDC0B" w14:textId="77777777" w:rsidTr="003E6D45">
        <w:trPr>
          <w:trHeight w:val="295"/>
        </w:trPr>
        <w:tc>
          <w:tcPr>
            <w:tcW w:w="2436" w:type="dxa"/>
            <w:tcBorders>
              <w:top w:val="nil"/>
              <w:left w:val="nil"/>
              <w:bottom w:val="nil"/>
              <w:right w:val="nil"/>
            </w:tcBorders>
            <w:shd w:val="clear" w:color="D9D9D9" w:fill="D9D9D9"/>
            <w:noWrap/>
            <w:vAlign w:val="bottom"/>
            <w:hideMark/>
          </w:tcPr>
          <w:p w14:paraId="34FC4529" w14:textId="77777777" w:rsidR="00A20F65" w:rsidRPr="007B72BF" w:rsidRDefault="00A20F65" w:rsidP="003E6D45">
            <w:pPr>
              <w:spacing w:after="0" w:line="240" w:lineRule="auto"/>
              <w:rPr>
                <w:rFonts w:ascii="Calibri" w:eastAsia="Times New Roman" w:hAnsi="Calibri" w:cs="Calibri"/>
                <w:color w:val="000000"/>
              </w:rPr>
            </w:pPr>
            <w:r w:rsidRPr="007B72BF">
              <w:rPr>
                <w:rFonts w:ascii="Calibri" w:eastAsia="Times New Roman" w:hAnsi="Calibri" w:cs="Calibri"/>
                <w:color w:val="000000"/>
              </w:rPr>
              <w:t>R-sq</w:t>
            </w:r>
          </w:p>
        </w:tc>
        <w:tc>
          <w:tcPr>
            <w:tcW w:w="1049" w:type="dxa"/>
            <w:tcBorders>
              <w:top w:val="nil"/>
              <w:left w:val="nil"/>
              <w:bottom w:val="nil"/>
              <w:right w:val="nil"/>
            </w:tcBorders>
            <w:shd w:val="clear" w:color="D9D9D9" w:fill="D9D9D9"/>
            <w:noWrap/>
            <w:vAlign w:val="bottom"/>
            <w:hideMark/>
          </w:tcPr>
          <w:p w14:paraId="4CF60AF0"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0.563</w:t>
            </w:r>
          </w:p>
        </w:tc>
        <w:tc>
          <w:tcPr>
            <w:tcW w:w="1420" w:type="dxa"/>
            <w:tcBorders>
              <w:top w:val="nil"/>
              <w:left w:val="nil"/>
              <w:bottom w:val="nil"/>
              <w:right w:val="nil"/>
            </w:tcBorders>
            <w:shd w:val="clear" w:color="D9D9D9" w:fill="D9D9D9"/>
            <w:noWrap/>
            <w:vAlign w:val="bottom"/>
            <w:hideMark/>
          </w:tcPr>
          <w:p w14:paraId="160E7940"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0.552</w:t>
            </w:r>
          </w:p>
        </w:tc>
        <w:tc>
          <w:tcPr>
            <w:tcW w:w="1520" w:type="dxa"/>
            <w:tcBorders>
              <w:top w:val="nil"/>
              <w:left w:val="nil"/>
              <w:bottom w:val="nil"/>
              <w:right w:val="nil"/>
            </w:tcBorders>
            <w:shd w:val="clear" w:color="D9D9D9" w:fill="D9D9D9"/>
            <w:noWrap/>
            <w:vAlign w:val="bottom"/>
            <w:hideMark/>
          </w:tcPr>
          <w:p w14:paraId="444E3A7B"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0.549</w:t>
            </w:r>
          </w:p>
        </w:tc>
        <w:tc>
          <w:tcPr>
            <w:tcW w:w="1158" w:type="dxa"/>
            <w:tcBorders>
              <w:top w:val="nil"/>
              <w:left w:val="nil"/>
              <w:bottom w:val="nil"/>
              <w:right w:val="nil"/>
            </w:tcBorders>
            <w:shd w:val="clear" w:color="D9D9D9" w:fill="D9D9D9"/>
            <w:noWrap/>
            <w:vAlign w:val="bottom"/>
            <w:hideMark/>
          </w:tcPr>
          <w:p w14:paraId="08265D4C"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0.557</w:t>
            </w:r>
          </w:p>
        </w:tc>
        <w:tc>
          <w:tcPr>
            <w:tcW w:w="1158" w:type="dxa"/>
            <w:tcBorders>
              <w:top w:val="nil"/>
              <w:left w:val="nil"/>
              <w:bottom w:val="nil"/>
              <w:right w:val="nil"/>
            </w:tcBorders>
            <w:shd w:val="clear" w:color="D9D9D9" w:fill="D9D9D9"/>
            <w:noWrap/>
            <w:vAlign w:val="bottom"/>
            <w:hideMark/>
          </w:tcPr>
          <w:p w14:paraId="42D5F391"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0.554</w:t>
            </w:r>
          </w:p>
        </w:tc>
      </w:tr>
      <w:tr w:rsidR="00A20F65" w:rsidRPr="007B72BF" w14:paraId="3B9EA5B2" w14:textId="77777777" w:rsidTr="003E6D45">
        <w:trPr>
          <w:trHeight w:val="295"/>
        </w:trPr>
        <w:tc>
          <w:tcPr>
            <w:tcW w:w="2436" w:type="dxa"/>
            <w:tcBorders>
              <w:top w:val="nil"/>
              <w:left w:val="nil"/>
              <w:bottom w:val="nil"/>
              <w:right w:val="nil"/>
            </w:tcBorders>
            <w:shd w:val="clear" w:color="auto" w:fill="auto"/>
            <w:noWrap/>
            <w:vAlign w:val="bottom"/>
            <w:hideMark/>
          </w:tcPr>
          <w:p w14:paraId="541F47B8" w14:textId="77777777" w:rsidR="00A20F65" w:rsidRPr="007B72BF" w:rsidRDefault="00A20F65" w:rsidP="003E6D45">
            <w:pPr>
              <w:spacing w:after="0" w:line="240" w:lineRule="auto"/>
              <w:rPr>
                <w:rFonts w:ascii="Calibri" w:eastAsia="Times New Roman" w:hAnsi="Calibri" w:cs="Calibri"/>
                <w:color w:val="000000"/>
              </w:rPr>
            </w:pPr>
            <w:r w:rsidRPr="007B72BF">
              <w:rPr>
                <w:rFonts w:ascii="Calibri" w:eastAsia="Times New Roman" w:hAnsi="Calibri" w:cs="Calibri"/>
                <w:color w:val="000000"/>
              </w:rPr>
              <w:t>adj. R-sq</w:t>
            </w:r>
          </w:p>
        </w:tc>
        <w:tc>
          <w:tcPr>
            <w:tcW w:w="1049" w:type="dxa"/>
            <w:tcBorders>
              <w:top w:val="nil"/>
              <w:left w:val="nil"/>
              <w:bottom w:val="nil"/>
              <w:right w:val="nil"/>
            </w:tcBorders>
            <w:shd w:val="clear" w:color="auto" w:fill="auto"/>
            <w:noWrap/>
            <w:vAlign w:val="bottom"/>
            <w:hideMark/>
          </w:tcPr>
          <w:p w14:paraId="4F0F40C0"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0.528</w:t>
            </w:r>
          </w:p>
        </w:tc>
        <w:tc>
          <w:tcPr>
            <w:tcW w:w="1420" w:type="dxa"/>
            <w:tcBorders>
              <w:top w:val="nil"/>
              <w:left w:val="nil"/>
              <w:bottom w:val="nil"/>
              <w:right w:val="nil"/>
            </w:tcBorders>
            <w:shd w:val="clear" w:color="auto" w:fill="auto"/>
            <w:noWrap/>
            <w:vAlign w:val="bottom"/>
            <w:hideMark/>
          </w:tcPr>
          <w:p w14:paraId="1733D69A"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0.514</w:t>
            </w:r>
          </w:p>
        </w:tc>
        <w:tc>
          <w:tcPr>
            <w:tcW w:w="1520" w:type="dxa"/>
            <w:tcBorders>
              <w:top w:val="nil"/>
              <w:left w:val="nil"/>
              <w:bottom w:val="nil"/>
              <w:right w:val="nil"/>
            </w:tcBorders>
            <w:shd w:val="clear" w:color="auto" w:fill="auto"/>
            <w:noWrap/>
            <w:vAlign w:val="bottom"/>
            <w:hideMark/>
          </w:tcPr>
          <w:p w14:paraId="3ABC850C"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0.511</w:t>
            </w:r>
          </w:p>
        </w:tc>
        <w:tc>
          <w:tcPr>
            <w:tcW w:w="1158" w:type="dxa"/>
            <w:tcBorders>
              <w:top w:val="nil"/>
              <w:left w:val="nil"/>
              <w:bottom w:val="nil"/>
              <w:right w:val="nil"/>
            </w:tcBorders>
            <w:shd w:val="clear" w:color="auto" w:fill="auto"/>
            <w:noWrap/>
            <w:vAlign w:val="bottom"/>
            <w:hideMark/>
          </w:tcPr>
          <w:p w14:paraId="6D48F28D"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0.521</w:t>
            </w:r>
          </w:p>
        </w:tc>
        <w:tc>
          <w:tcPr>
            <w:tcW w:w="1158" w:type="dxa"/>
            <w:tcBorders>
              <w:top w:val="nil"/>
              <w:left w:val="nil"/>
              <w:bottom w:val="nil"/>
              <w:right w:val="nil"/>
            </w:tcBorders>
            <w:shd w:val="clear" w:color="auto" w:fill="auto"/>
            <w:noWrap/>
            <w:vAlign w:val="bottom"/>
            <w:hideMark/>
          </w:tcPr>
          <w:p w14:paraId="228DF938"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0.519</w:t>
            </w:r>
          </w:p>
        </w:tc>
      </w:tr>
      <w:tr w:rsidR="00A20F65" w:rsidRPr="007B72BF" w14:paraId="0EBACB2E" w14:textId="77777777" w:rsidTr="003E6D45">
        <w:trPr>
          <w:trHeight w:val="295"/>
        </w:trPr>
        <w:tc>
          <w:tcPr>
            <w:tcW w:w="2436" w:type="dxa"/>
            <w:tcBorders>
              <w:top w:val="nil"/>
              <w:left w:val="nil"/>
              <w:bottom w:val="nil"/>
              <w:right w:val="nil"/>
            </w:tcBorders>
            <w:shd w:val="clear" w:color="D9D9D9" w:fill="D9D9D9"/>
            <w:noWrap/>
            <w:vAlign w:val="bottom"/>
            <w:hideMark/>
          </w:tcPr>
          <w:p w14:paraId="50477B06" w14:textId="77777777" w:rsidR="00A20F65" w:rsidRPr="007B72BF" w:rsidRDefault="00A20F65" w:rsidP="003E6D45">
            <w:pPr>
              <w:spacing w:after="0" w:line="240" w:lineRule="auto"/>
              <w:rPr>
                <w:rFonts w:ascii="Calibri" w:eastAsia="Times New Roman" w:hAnsi="Calibri" w:cs="Calibri"/>
                <w:color w:val="000000"/>
              </w:rPr>
            </w:pPr>
            <w:r w:rsidRPr="007B72BF">
              <w:rPr>
                <w:rFonts w:ascii="Calibri" w:eastAsia="Times New Roman" w:hAnsi="Calibri" w:cs="Calibri"/>
                <w:color w:val="000000"/>
              </w:rPr>
              <w:t>AIC</w:t>
            </w:r>
          </w:p>
        </w:tc>
        <w:tc>
          <w:tcPr>
            <w:tcW w:w="1049" w:type="dxa"/>
            <w:tcBorders>
              <w:top w:val="nil"/>
              <w:left w:val="nil"/>
              <w:bottom w:val="nil"/>
              <w:right w:val="nil"/>
            </w:tcBorders>
            <w:shd w:val="clear" w:color="D9D9D9" w:fill="D9D9D9"/>
            <w:noWrap/>
            <w:vAlign w:val="bottom"/>
            <w:hideMark/>
          </w:tcPr>
          <w:p w14:paraId="61477B75"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12085.4</w:t>
            </w:r>
          </w:p>
        </w:tc>
        <w:tc>
          <w:tcPr>
            <w:tcW w:w="1420" w:type="dxa"/>
            <w:tcBorders>
              <w:top w:val="nil"/>
              <w:left w:val="nil"/>
              <w:bottom w:val="nil"/>
              <w:right w:val="nil"/>
            </w:tcBorders>
            <w:shd w:val="clear" w:color="D9D9D9" w:fill="D9D9D9"/>
            <w:noWrap/>
            <w:vAlign w:val="bottom"/>
            <w:hideMark/>
          </w:tcPr>
          <w:p w14:paraId="0E580F06"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7089.7</w:t>
            </w:r>
          </w:p>
        </w:tc>
        <w:tc>
          <w:tcPr>
            <w:tcW w:w="1520" w:type="dxa"/>
            <w:tcBorders>
              <w:top w:val="nil"/>
              <w:left w:val="nil"/>
              <w:bottom w:val="nil"/>
              <w:right w:val="nil"/>
            </w:tcBorders>
            <w:shd w:val="clear" w:color="D9D9D9" w:fill="D9D9D9"/>
            <w:noWrap/>
            <w:vAlign w:val="bottom"/>
            <w:hideMark/>
          </w:tcPr>
          <w:p w14:paraId="634512A6"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5082.4</w:t>
            </w:r>
          </w:p>
        </w:tc>
        <w:tc>
          <w:tcPr>
            <w:tcW w:w="1158" w:type="dxa"/>
            <w:tcBorders>
              <w:top w:val="nil"/>
              <w:left w:val="nil"/>
              <w:bottom w:val="nil"/>
              <w:right w:val="nil"/>
            </w:tcBorders>
            <w:shd w:val="clear" w:color="D9D9D9" w:fill="D9D9D9"/>
            <w:noWrap/>
            <w:vAlign w:val="bottom"/>
            <w:hideMark/>
          </w:tcPr>
          <w:p w14:paraId="6BE9505B"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4571</w:t>
            </w:r>
          </w:p>
        </w:tc>
        <w:tc>
          <w:tcPr>
            <w:tcW w:w="1158" w:type="dxa"/>
            <w:tcBorders>
              <w:top w:val="nil"/>
              <w:left w:val="nil"/>
              <w:bottom w:val="nil"/>
              <w:right w:val="nil"/>
            </w:tcBorders>
            <w:shd w:val="clear" w:color="D9D9D9" w:fill="D9D9D9"/>
            <w:noWrap/>
            <w:vAlign w:val="bottom"/>
            <w:hideMark/>
          </w:tcPr>
          <w:p w14:paraId="70BC9C08"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4401.3</w:t>
            </w:r>
          </w:p>
        </w:tc>
      </w:tr>
      <w:tr w:rsidR="00A20F65" w:rsidRPr="007B72BF" w14:paraId="40E93150" w14:textId="77777777" w:rsidTr="003E6D45">
        <w:trPr>
          <w:trHeight w:val="295"/>
        </w:trPr>
        <w:tc>
          <w:tcPr>
            <w:tcW w:w="2436" w:type="dxa"/>
            <w:tcBorders>
              <w:top w:val="nil"/>
              <w:left w:val="nil"/>
              <w:bottom w:val="single" w:sz="4" w:space="0" w:color="000000"/>
              <w:right w:val="nil"/>
            </w:tcBorders>
            <w:shd w:val="clear" w:color="auto" w:fill="auto"/>
            <w:noWrap/>
            <w:vAlign w:val="bottom"/>
            <w:hideMark/>
          </w:tcPr>
          <w:p w14:paraId="2F116952" w14:textId="77777777" w:rsidR="00A20F65" w:rsidRPr="007B72BF" w:rsidRDefault="00A20F65" w:rsidP="003E6D45">
            <w:pPr>
              <w:spacing w:after="0" w:line="240" w:lineRule="auto"/>
              <w:rPr>
                <w:rFonts w:ascii="Calibri" w:eastAsia="Times New Roman" w:hAnsi="Calibri" w:cs="Calibri"/>
                <w:color w:val="000000"/>
              </w:rPr>
            </w:pPr>
            <w:r w:rsidRPr="007B72BF">
              <w:rPr>
                <w:rFonts w:ascii="Calibri" w:eastAsia="Times New Roman" w:hAnsi="Calibri" w:cs="Calibri"/>
                <w:color w:val="000000"/>
              </w:rPr>
              <w:t>BIC</w:t>
            </w:r>
          </w:p>
        </w:tc>
        <w:tc>
          <w:tcPr>
            <w:tcW w:w="1049" w:type="dxa"/>
            <w:tcBorders>
              <w:top w:val="nil"/>
              <w:left w:val="nil"/>
              <w:bottom w:val="single" w:sz="4" w:space="0" w:color="000000"/>
              <w:right w:val="nil"/>
            </w:tcBorders>
            <w:shd w:val="clear" w:color="auto" w:fill="auto"/>
            <w:noWrap/>
            <w:vAlign w:val="bottom"/>
            <w:hideMark/>
          </w:tcPr>
          <w:p w14:paraId="4A023ED0"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12116</w:t>
            </w:r>
          </w:p>
        </w:tc>
        <w:tc>
          <w:tcPr>
            <w:tcW w:w="1420" w:type="dxa"/>
            <w:tcBorders>
              <w:top w:val="nil"/>
              <w:left w:val="nil"/>
              <w:bottom w:val="single" w:sz="4" w:space="0" w:color="000000"/>
              <w:right w:val="nil"/>
            </w:tcBorders>
            <w:shd w:val="clear" w:color="auto" w:fill="auto"/>
            <w:noWrap/>
            <w:vAlign w:val="bottom"/>
            <w:hideMark/>
          </w:tcPr>
          <w:p w14:paraId="53308B1A"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7118.3</w:t>
            </w:r>
          </w:p>
        </w:tc>
        <w:tc>
          <w:tcPr>
            <w:tcW w:w="1520" w:type="dxa"/>
            <w:tcBorders>
              <w:top w:val="nil"/>
              <w:left w:val="nil"/>
              <w:bottom w:val="single" w:sz="4" w:space="0" w:color="000000"/>
              <w:right w:val="nil"/>
            </w:tcBorders>
            <w:shd w:val="clear" w:color="auto" w:fill="auto"/>
            <w:noWrap/>
            <w:vAlign w:val="bottom"/>
            <w:hideMark/>
          </w:tcPr>
          <w:p w14:paraId="0855409C"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5110</w:t>
            </w:r>
          </w:p>
        </w:tc>
        <w:tc>
          <w:tcPr>
            <w:tcW w:w="1158" w:type="dxa"/>
            <w:tcBorders>
              <w:top w:val="nil"/>
              <w:left w:val="nil"/>
              <w:bottom w:val="single" w:sz="4" w:space="0" w:color="000000"/>
              <w:right w:val="nil"/>
            </w:tcBorders>
            <w:shd w:val="clear" w:color="auto" w:fill="auto"/>
            <w:noWrap/>
            <w:vAlign w:val="bottom"/>
            <w:hideMark/>
          </w:tcPr>
          <w:p w14:paraId="499C642F"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4598.3</w:t>
            </w:r>
          </w:p>
        </w:tc>
        <w:tc>
          <w:tcPr>
            <w:tcW w:w="1158" w:type="dxa"/>
            <w:tcBorders>
              <w:top w:val="nil"/>
              <w:left w:val="nil"/>
              <w:bottom w:val="single" w:sz="4" w:space="0" w:color="000000"/>
              <w:right w:val="nil"/>
            </w:tcBorders>
            <w:shd w:val="clear" w:color="auto" w:fill="auto"/>
            <w:noWrap/>
            <w:vAlign w:val="bottom"/>
            <w:hideMark/>
          </w:tcPr>
          <w:p w14:paraId="0FBC2BCE" w14:textId="77777777" w:rsidR="00A20F65" w:rsidRPr="007B72BF" w:rsidRDefault="00A20F65" w:rsidP="003E6D45">
            <w:pPr>
              <w:spacing w:after="0" w:line="240" w:lineRule="auto"/>
              <w:jc w:val="right"/>
              <w:rPr>
                <w:rFonts w:ascii="Calibri" w:eastAsia="Times New Roman" w:hAnsi="Calibri" w:cs="Calibri"/>
                <w:color w:val="000000"/>
              </w:rPr>
            </w:pPr>
            <w:r w:rsidRPr="007B72BF">
              <w:rPr>
                <w:rFonts w:ascii="Calibri" w:eastAsia="Times New Roman" w:hAnsi="Calibri" w:cs="Calibri"/>
                <w:color w:val="000000"/>
              </w:rPr>
              <w:t>4428.4</w:t>
            </w:r>
          </w:p>
        </w:tc>
      </w:tr>
    </w:tbl>
    <w:p w14:paraId="4D159BBC" w14:textId="77777777" w:rsidR="00A20F65" w:rsidRDefault="00A20F65" w:rsidP="00A20F65">
      <w:pPr>
        <w:pStyle w:val="NoSpacing"/>
        <w:rPr>
          <w:rFonts w:ascii="Times New Roman" w:hAnsi="Times New Roman" w:cs="Times New Roman"/>
          <w:sz w:val="18"/>
          <w:szCs w:val="18"/>
        </w:rPr>
      </w:pPr>
      <w:r w:rsidRPr="008E4020">
        <w:rPr>
          <w:rFonts w:ascii="Times New Roman" w:hAnsi="Times New Roman" w:cs="Times New Roman"/>
          <w:sz w:val="18"/>
          <w:szCs w:val="18"/>
        </w:rPr>
        <w:t>Note</w:t>
      </w:r>
      <w:r>
        <w:rPr>
          <w:rFonts w:ascii="Times New Roman" w:hAnsi="Times New Roman" w:cs="Times New Roman"/>
          <w:sz w:val="18"/>
          <w:szCs w:val="18"/>
        </w:rPr>
        <w:t>s</w:t>
      </w:r>
      <w:r w:rsidRPr="008E4020">
        <w:rPr>
          <w:rFonts w:ascii="Times New Roman" w:hAnsi="Times New Roman" w:cs="Times New Roman"/>
          <w:sz w:val="18"/>
          <w:szCs w:val="18"/>
        </w:rPr>
        <w:t xml:space="preserve">: Other control variables not shown. The specification is the same as Table 2, </w:t>
      </w:r>
      <w:r>
        <w:rPr>
          <w:rFonts w:ascii="Times New Roman" w:hAnsi="Times New Roman" w:cs="Times New Roman"/>
          <w:sz w:val="18"/>
          <w:szCs w:val="18"/>
        </w:rPr>
        <w:t>Column</w:t>
      </w:r>
      <w:r w:rsidRPr="008E4020">
        <w:rPr>
          <w:rFonts w:ascii="Times New Roman" w:hAnsi="Times New Roman" w:cs="Times New Roman"/>
          <w:sz w:val="18"/>
          <w:szCs w:val="18"/>
        </w:rPr>
        <w:t xml:space="preserve"> (3). t statistics in parentheses. </w:t>
      </w:r>
    </w:p>
    <w:p w14:paraId="510454B0" w14:textId="77777777" w:rsidR="00A20F65" w:rsidRPr="008E4020" w:rsidRDefault="00A20F65" w:rsidP="00A20F65">
      <w:pPr>
        <w:pStyle w:val="NoSpacing"/>
        <w:rPr>
          <w:rFonts w:ascii="Times New Roman" w:hAnsi="Times New Roman" w:cs="Times New Roman"/>
          <w:sz w:val="18"/>
          <w:szCs w:val="18"/>
        </w:rPr>
      </w:pPr>
      <w:r w:rsidRPr="008E4020">
        <w:rPr>
          <w:rFonts w:ascii="Times New Roman" w:hAnsi="Times New Roman" w:cs="Times New Roman"/>
          <w:sz w:val="18"/>
          <w:szCs w:val="18"/>
        </w:rPr>
        <w:t>* p&lt;0.10, ** p&lt;0.05, *** p&lt;0.01. Standard errors clustered by borough.</w:t>
      </w:r>
    </w:p>
    <w:p w14:paraId="2E31B22A" w14:textId="77777777" w:rsidR="00A20F65" w:rsidRPr="003B6E48" w:rsidRDefault="00A20F65" w:rsidP="00A20F65">
      <w:pPr>
        <w:pStyle w:val="NoSpacing"/>
        <w:rPr>
          <w:rFonts w:ascii="Courier New" w:hAnsi="Courier New" w:cs="Courier New"/>
          <w:sz w:val="16"/>
          <w:szCs w:val="16"/>
        </w:rPr>
      </w:pPr>
      <w:r w:rsidRPr="003B6E48">
        <w:rPr>
          <w:rFonts w:ascii="Courier New" w:hAnsi="Courier New" w:cs="Courier New"/>
          <w:sz w:val="16"/>
          <w:szCs w:val="16"/>
        </w:rPr>
        <w:t xml:space="preserve"> </w:t>
      </w:r>
    </w:p>
    <w:p w14:paraId="438CC103" w14:textId="77777777" w:rsidR="00A20F65" w:rsidRDefault="00A20F65" w:rsidP="00A20F65">
      <w:pPr>
        <w:pStyle w:val="NoSpacing"/>
        <w:rPr>
          <w:rFonts w:ascii="Courier New" w:hAnsi="Courier New" w:cs="Courier New"/>
          <w:sz w:val="16"/>
          <w:szCs w:val="16"/>
        </w:rPr>
      </w:pPr>
    </w:p>
    <w:p w14:paraId="09D55C12" w14:textId="77777777" w:rsidR="00A20F65" w:rsidRDefault="00A20F65" w:rsidP="00A20F65">
      <w:pPr>
        <w:pStyle w:val="NoSpacing"/>
        <w:rPr>
          <w:rFonts w:ascii="Courier New" w:hAnsi="Courier New" w:cs="Courier New"/>
          <w:sz w:val="16"/>
          <w:szCs w:val="16"/>
        </w:rPr>
      </w:pPr>
    </w:p>
    <w:p w14:paraId="5939D90F" w14:textId="77777777" w:rsidR="00A20F65" w:rsidRDefault="00A20F65" w:rsidP="00A20F65">
      <w:pPr>
        <w:pStyle w:val="NoSpacing"/>
        <w:rPr>
          <w:rFonts w:ascii="Courier New" w:hAnsi="Courier New" w:cs="Courier New"/>
          <w:sz w:val="16"/>
          <w:szCs w:val="16"/>
        </w:rPr>
      </w:pPr>
    </w:p>
    <w:p w14:paraId="1B48E8F9" w14:textId="77777777" w:rsidR="00A20F65" w:rsidRDefault="00A20F65" w:rsidP="00A20F65">
      <w:pPr>
        <w:pStyle w:val="NoSpacing"/>
        <w:rPr>
          <w:rFonts w:ascii="Courier New" w:hAnsi="Courier New" w:cs="Courier New"/>
          <w:sz w:val="16"/>
          <w:szCs w:val="16"/>
        </w:rPr>
      </w:pPr>
    </w:p>
    <w:p w14:paraId="571E47BC" w14:textId="77777777" w:rsidR="00A20F65" w:rsidRDefault="00A20F65" w:rsidP="00A20F65">
      <w:pPr>
        <w:pStyle w:val="NoSpacing"/>
        <w:rPr>
          <w:rFonts w:ascii="Courier New" w:hAnsi="Courier New" w:cs="Courier New"/>
          <w:sz w:val="16"/>
          <w:szCs w:val="16"/>
        </w:rPr>
      </w:pPr>
    </w:p>
    <w:p w14:paraId="3FB2E8BD" w14:textId="77777777" w:rsidR="00A20F65" w:rsidRDefault="00A20F65" w:rsidP="00A20F65">
      <w:pPr>
        <w:pStyle w:val="NoSpacing"/>
        <w:rPr>
          <w:rFonts w:ascii="Courier New" w:hAnsi="Courier New" w:cs="Courier New"/>
          <w:sz w:val="16"/>
          <w:szCs w:val="16"/>
        </w:rPr>
      </w:pPr>
    </w:p>
    <w:p w14:paraId="4D9774A6" w14:textId="77777777" w:rsidR="00A20F65" w:rsidRDefault="00A20F65" w:rsidP="00A20F65">
      <w:pPr>
        <w:pStyle w:val="NoSpacing"/>
        <w:rPr>
          <w:rFonts w:ascii="Courier New" w:hAnsi="Courier New" w:cs="Courier New"/>
          <w:sz w:val="16"/>
          <w:szCs w:val="16"/>
        </w:rPr>
      </w:pPr>
    </w:p>
    <w:p w14:paraId="4662E3EA" w14:textId="77777777" w:rsidR="00A20F65" w:rsidRDefault="00A20F65" w:rsidP="00A20F65">
      <w:pPr>
        <w:pStyle w:val="NoSpacing"/>
        <w:rPr>
          <w:rFonts w:ascii="Courier New" w:hAnsi="Courier New" w:cs="Courier New"/>
          <w:sz w:val="16"/>
          <w:szCs w:val="16"/>
        </w:rPr>
      </w:pPr>
    </w:p>
    <w:p w14:paraId="5ACE5927" w14:textId="77777777" w:rsidR="00A20F65" w:rsidRDefault="00A20F65" w:rsidP="00A20F65">
      <w:pPr>
        <w:pStyle w:val="NoSpacing"/>
        <w:rPr>
          <w:rFonts w:ascii="Courier New" w:hAnsi="Courier New" w:cs="Courier New"/>
          <w:sz w:val="16"/>
          <w:szCs w:val="16"/>
        </w:rPr>
      </w:pPr>
    </w:p>
    <w:p w14:paraId="393F2282" w14:textId="77777777" w:rsidR="00A20F65" w:rsidRDefault="00A20F65" w:rsidP="00A20F65">
      <w:pPr>
        <w:pStyle w:val="NoSpacing"/>
        <w:rPr>
          <w:rFonts w:ascii="Courier New" w:hAnsi="Courier New" w:cs="Courier New"/>
          <w:sz w:val="16"/>
          <w:szCs w:val="16"/>
        </w:rPr>
      </w:pPr>
    </w:p>
    <w:p w14:paraId="461B99F0" w14:textId="77777777" w:rsidR="00A20F65" w:rsidRDefault="00A20F65" w:rsidP="00A20F65">
      <w:pPr>
        <w:pStyle w:val="NoSpacing"/>
        <w:rPr>
          <w:rFonts w:ascii="Courier New" w:hAnsi="Courier New" w:cs="Courier New"/>
          <w:sz w:val="16"/>
          <w:szCs w:val="16"/>
        </w:rPr>
      </w:pPr>
    </w:p>
    <w:p w14:paraId="2BED5552" w14:textId="77777777" w:rsidR="00A20F65" w:rsidRPr="003B6E48" w:rsidRDefault="00A20F65" w:rsidP="00A20F65">
      <w:pPr>
        <w:pStyle w:val="NoSpacing"/>
        <w:rPr>
          <w:rFonts w:ascii="Courier New" w:hAnsi="Courier New" w:cs="Courier New"/>
          <w:sz w:val="16"/>
          <w:szCs w:val="16"/>
        </w:rPr>
      </w:pPr>
    </w:p>
    <w:p w14:paraId="4AEEE90E" w14:textId="77777777" w:rsidR="00A20F65" w:rsidRDefault="00A20F65" w:rsidP="00A20F65">
      <w:pPr>
        <w:pStyle w:val="NoSpacing"/>
        <w:rPr>
          <w:rFonts w:ascii="Times New Roman" w:hAnsi="Times New Roman" w:cs="Times New Roman"/>
          <w:b/>
          <w:bCs/>
        </w:rPr>
      </w:pPr>
      <w:r w:rsidRPr="00444C12">
        <w:rPr>
          <w:rFonts w:ascii="Times New Roman" w:hAnsi="Times New Roman" w:cs="Times New Roman"/>
          <w:b/>
          <w:bCs/>
        </w:rPr>
        <w:t>Table A.</w:t>
      </w:r>
      <w:r>
        <w:rPr>
          <w:rFonts w:ascii="Times New Roman" w:hAnsi="Times New Roman" w:cs="Times New Roman"/>
          <w:b/>
          <w:bCs/>
        </w:rPr>
        <w:t>3</w:t>
      </w:r>
      <w:r w:rsidRPr="00444C12">
        <w:rPr>
          <w:rFonts w:ascii="Times New Roman" w:hAnsi="Times New Roman" w:cs="Times New Roman"/>
          <w:b/>
          <w:bCs/>
        </w:rPr>
        <w:t xml:space="preserve">: </w:t>
      </w:r>
      <w:r w:rsidRPr="007B72BF">
        <w:rPr>
          <w:rFonts w:ascii="Times New Roman" w:hAnsi="Times New Roman" w:cs="Times New Roman"/>
          <w:b/>
          <w:bCs/>
          <w:i/>
          <w:iCs/>
        </w:rPr>
        <w:t xml:space="preserve">Distance to Sandy x </w:t>
      </w:r>
      <w:proofErr w:type="spellStart"/>
      <w:r w:rsidRPr="007B72BF">
        <w:rPr>
          <w:rFonts w:ascii="Times New Roman" w:hAnsi="Times New Roman" w:cs="Times New Roman"/>
          <w:b/>
          <w:bCs/>
          <w:i/>
          <w:iCs/>
        </w:rPr>
        <w:t>PostSandy</w:t>
      </w:r>
      <w:proofErr w:type="spellEnd"/>
      <w:r w:rsidRPr="007B72BF">
        <w:rPr>
          <w:rFonts w:ascii="Times New Roman" w:hAnsi="Times New Roman" w:cs="Times New Roman"/>
          <w:b/>
          <w:bCs/>
          <w:i/>
          <w:iCs/>
        </w:rPr>
        <w:t xml:space="preserve"> Dummy</w:t>
      </w:r>
      <w:r w:rsidRPr="008B6EFB">
        <w:rPr>
          <w:rFonts w:ascii="Times New Roman" w:hAnsi="Times New Roman" w:cs="Times New Roman"/>
          <w:b/>
          <w:bCs/>
        </w:rPr>
        <w:t xml:space="preserve"> </w:t>
      </w:r>
      <w:r w:rsidRPr="00444C12">
        <w:rPr>
          <w:rFonts w:ascii="Times New Roman" w:hAnsi="Times New Roman" w:cs="Times New Roman"/>
          <w:b/>
          <w:bCs/>
        </w:rPr>
        <w:t xml:space="preserve">within </w:t>
      </w:r>
      <w:r>
        <w:rPr>
          <w:rFonts w:ascii="Times New Roman" w:hAnsi="Times New Roman" w:cs="Times New Roman"/>
          <w:b/>
          <w:bCs/>
        </w:rPr>
        <w:t>0.5</w:t>
      </w:r>
      <w:r w:rsidRPr="00444C12">
        <w:rPr>
          <w:rFonts w:ascii="Times New Roman" w:hAnsi="Times New Roman" w:cs="Times New Roman"/>
          <w:b/>
          <w:bCs/>
        </w:rPr>
        <w:t xml:space="preserve"> mile</w:t>
      </w:r>
      <w:r>
        <w:rPr>
          <w:rFonts w:ascii="Times New Roman" w:hAnsi="Times New Roman" w:cs="Times New Roman"/>
          <w:b/>
          <w:bCs/>
        </w:rPr>
        <w:t xml:space="preserve">s. </w:t>
      </w:r>
      <w:r w:rsidRPr="00444C12">
        <w:rPr>
          <w:rFonts w:ascii="Times New Roman" w:hAnsi="Times New Roman" w:cs="Times New Roman"/>
          <w:b/>
          <w:bCs/>
        </w:rPr>
        <w:t>Dep. Var.: Ln(Price per square foot)</w:t>
      </w:r>
      <w:r>
        <w:rPr>
          <w:rFonts w:ascii="Times New Roman" w:hAnsi="Times New Roman" w:cs="Times New Roman"/>
          <w:b/>
          <w:bCs/>
        </w:rPr>
        <w:t>, Columns (1)-(3) are 2011-2013; Columns (4)-(6) are 2011-2014</w:t>
      </w:r>
    </w:p>
    <w:tbl>
      <w:tblPr>
        <w:tblW w:w="8196" w:type="dxa"/>
        <w:tblLook w:val="04A0" w:firstRow="1" w:lastRow="0" w:firstColumn="1" w:lastColumn="0" w:noHBand="0" w:noVBand="1"/>
      </w:tblPr>
      <w:tblGrid>
        <w:gridCol w:w="2260"/>
        <w:gridCol w:w="176"/>
        <w:gridCol w:w="784"/>
        <w:gridCol w:w="176"/>
        <w:gridCol w:w="784"/>
        <w:gridCol w:w="176"/>
        <w:gridCol w:w="784"/>
        <w:gridCol w:w="176"/>
        <w:gridCol w:w="784"/>
        <w:gridCol w:w="176"/>
        <w:gridCol w:w="784"/>
        <w:gridCol w:w="176"/>
        <w:gridCol w:w="784"/>
        <w:gridCol w:w="176"/>
      </w:tblGrid>
      <w:tr w:rsidR="00A20F65" w:rsidRPr="00855305" w14:paraId="2C400403" w14:textId="77777777" w:rsidTr="003E6D45">
        <w:trPr>
          <w:gridAfter w:val="1"/>
          <w:wAfter w:w="176" w:type="dxa"/>
          <w:trHeight w:val="295"/>
        </w:trPr>
        <w:tc>
          <w:tcPr>
            <w:tcW w:w="2260" w:type="dxa"/>
            <w:tcBorders>
              <w:top w:val="single" w:sz="4" w:space="0" w:color="000000"/>
              <w:left w:val="nil"/>
              <w:bottom w:val="single" w:sz="4" w:space="0" w:color="000000"/>
              <w:right w:val="nil"/>
            </w:tcBorders>
            <w:shd w:val="clear" w:color="auto" w:fill="auto"/>
            <w:noWrap/>
            <w:vAlign w:val="bottom"/>
            <w:hideMark/>
          </w:tcPr>
          <w:p w14:paraId="4A6F95C0" w14:textId="77777777" w:rsidR="00A20F65" w:rsidRPr="00855305" w:rsidRDefault="00A20F65" w:rsidP="003E6D45">
            <w:pPr>
              <w:spacing w:after="0" w:line="240" w:lineRule="auto"/>
              <w:rPr>
                <w:rFonts w:ascii="Calibri" w:eastAsia="Times New Roman" w:hAnsi="Calibri" w:cs="Calibri"/>
                <w:b/>
                <w:bCs/>
                <w:color w:val="000000"/>
              </w:rPr>
            </w:pPr>
          </w:p>
        </w:tc>
        <w:tc>
          <w:tcPr>
            <w:tcW w:w="960" w:type="dxa"/>
            <w:gridSpan w:val="2"/>
            <w:tcBorders>
              <w:top w:val="single" w:sz="4" w:space="0" w:color="000000"/>
              <w:left w:val="nil"/>
              <w:bottom w:val="single" w:sz="4" w:space="0" w:color="000000"/>
              <w:right w:val="nil"/>
            </w:tcBorders>
            <w:shd w:val="clear" w:color="auto" w:fill="auto"/>
            <w:noWrap/>
            <w:vAlign w:val="bottom"/>
            <w:hideMark/>
          </w:tcPr>
          <w:p w14:paraId="35D0D485" w14:textId="77777777" w:rsidR="00A20F65" w:rsidRPr="00855305" w:rsidRDefault="00A20F65" w:rsidP="003E6D45">
            <w:pPr>
              <w:spacing w:after="0" w:line="240" w:lineRule="auto"/>
              <w:jc w:val="center"/>
              <w:rPr>
                <w:rFonts w:ascii="Calibri" w:eastAsia="Times New Roman" w:hAnsi="Calibri" w:cs="Calibri"/>
                <w:b/>
                <w:bCs/>
                <w:color w:val="000000"/>
              </w:rPr>
            </w:pPr>
            <w:r w:rsidRPr="00855305">
              <w:rPr>
                <w:rFonts w:ascii="Calibri" w:eastAsia="Times New Roman" w:hAnsi="Calibri" w:cs="Calibri"/>
                <w:b/>
                <w:bCs/>
                <w:color w:val="000000"/>
              </w:rPr>
              <w:t>(1)</w:t>
            </w:r>
          </w:p>
        </w:tc>
        <w:tc>
          <w:tcPr>
            <w:tcW w:w="960" w:type="dxa"/>
            <w:gridSpan w:val="2"/>
            <w:tcBorders>
              <w:top w:val="single" w:sz="4" w:space="0" w:color="000000"/>
              <w:left w:val="nil"/>
              <w:bottom w:val="single" w:sz="4" w:space="0" w:color="000000"/>
              <w:right w:val="nil"/>
            </w:tcBorders>
            <w:shd w:val="clear" w:color="auto" w:fill="auto"/>
            <w:noWrap/>
            <w:vAlign w:val="bottom"/>
            <w:hideMark/>
          </w:tcPr>
          <w:p w14:paraId="2775D021" w14:textId="77777777" w:rsidR="00A20F65" w:rsidRPr="00855305" w:rsidRDefault="00A20F65" w:rsidP="003E6D45">
            <w:pPr>
              <w:spacing w:after="0" w:line="240" w:lineRule="auto"/>
              <w:jc w:val="center"/>
              <w:rPr>
                <w:rFonts w:ascii="Calibri" w:eastAsia="Times New Roman" w:hAnsi="Calibri" w:cs="Calibri"/>
                <w:b/>
                <w:bCs/>
                <w:color w:val="000000"/>
              </w:rPr>
            </w:pPr>
            <w:r w:rsidRPr="00855305">
              <w:rPr>
                <w:rFonts w:ascii="Calibri" w:eastAsia="Times New Roman" w:hAnsi="Calibri" w:cs="Calibri"/>
                <w:b/>
                <w:bCs/>
                <w:color w:val="000000"/>
              </w:rPr>
              <w:t>(2)</w:t>
            </w:r>
          </w:p>
        </w:tc>
        <w:tc>
          <w:tcPr>
            <w:tcW w:w="960" w:type="dxa"/>
            <w:gridSpan w:val="2"/>
            <w:tcBorders>
              <w:top w:val="single" w:sz="4" w:space="0" w:color="000000"/>
              <w:left w:val="nil"/>
              <w:bottom w:val="single" w:sz="4" w:space="0" w:color="000000"/>
              <w:right w:val="nil"/>
            </w:tcBorders>
            <w:shd w:val="clear" w:color="auto" w:fill="auto"/>
            <w:noWrap/>
            <w:vAlign w:val="bottom"/>
            <w:hideMark/>
          </w:tcPr>
          <w:p w14:paraId="6DBE4559" w14:textId="77777777" w:rsidR="00A20F65" w:rsidRPr="00855305" w:rsidRDefault="00A20F65" w:rsidP="003E6D45">
            <w:pPr>
              <w:spacing w:after="0" w:line="240" w:lineRule="auto"/>
              <w:jc w:val="center"/>
              <w:rPr>
                <w:rFonts w:ascii="Calibri" w:eastAsia="Times New Roman" w:hAnsi="Calibri" w:cs="Calibri"/>
                <w:b/>
                <w:bCs/>
                <w:color w:val="000000"/>
              </w:rPr>
            </w:pPr>
            <w:r w:rsidRPr="00855305">
              <w:rPr>
                <w:rFonts w:ascii="Calibri" w:eastAsia="Times New Roman" w:hAnsi="Calibri" w:cs="Calibri"/>
                <w:b/>
                <w:bCs/>
                <w:color w:val="000000"/>
              </w:rPr>
              <w:t>(3)</w:t>
            </w:r>
          </w:p>
        </w:tc>
        <w:tc>
          <w:tcPr>
            <w:tcW w:w="960" w:type="dxa"/>
            <w:gridSpan w:val="2"/>
            <w:tcBorders>
              <w:top w:val="single" w:sz="4" w:space="0" w:color="000000"/>
              <w:left w:val="nil"/>
              <w:bottom w:val="single" w:sz="4" w:space="0" w:color="000000"/>
              <w:right w:val="nil"/>
            </w:tcBorders>
            <w:shd w:val="clear" w:color="auto" w:fill="auto"/>
            <w:noWrap/>
            <w:vAlign w:val="bottom"/>
            <w:hideMark/>
          </w:tcPr>
          <w:p w14:paraId="37774C7C" w14:textId="77777777" w:rsidR="00A20F65" w:rsidRPr="00855305" w:rsidRDefault="00A20F65" w:rsidP="003E6D45">
            <w:pPr>
              <w:spacing w:after="0" w:line="240" w:lineRule="auto"/>
              <w:jc w:val="center"/>
              <w:rPr>
                <w:rFonts w:ascii="Calibri" w:eastAsia="Times New Roman" w:hAnsi="Calibri" w:cs="Calibri"/>
                <w:b/>
                <w:bCs/>
                <w:color w:val="000000"/>
              </w:rPr>
            </w:pPr>
            <w:r w:rsidRPr="00855305">
              <w:rPr>
                <w:rFonts w:ascii="Calibri" w:eastAsia="Times New Roman" w:hAnsi="Calibri" w:cs="Calibri"/>
                <w:b/>
                <w:bCs/>
                <w:color w:val="000000"/>
              </w:rPr>
              <w:t>(4)</w:t>
            </w:r>
          </w:p>
        </w:tc>
        <w:tc>
          <w:tcPr>
            <w:tcW w:w="960" w:type="dxa"/>
            <w:gridSpan w:val="2"/>
            <w:tcBorders>
              <w:top w:val="single" w:sz="4" w:space="0" w:color="000000"/>
              <w:left w:val="nil"/>
              <w:bottom w:val="single" w:sz="4" w:space="0" w:color="000000"/>
              <w:right w:val="nil"/>
            </w:tcBorders>
            <w:shd w:val="clear" w:color="auto" w:fill="auto"/>
            <w:noWrap/>
            <w:vAlign w:val="bottom"/>
            <w:hideMark/>
          </w:tcPr>
          <w:p w14:paraId="76BE1346" w14:textId="77777777" w:rsidR="00A20F65" w:rsidRPr="00855305" w:rsidRDefault="00A20F65" w:rsidP="003E6D45">
            <w:pPr>
              <w:spacing w:after="0" w:line="240" w:lineRule="auto"/>
              <w:jc w:val="center"/>
              <w:rPr>
                <w:rFonts w:ascii="Calibri" w:eastAsia="Times New Roman" w:hAnsi="Calibri" w:cs="Calibri"/>
                <w:b/>
                <w:bCs/>
                <w:color w:val="000000"/>
              </w:rPr>
            </w:pPr>
            <w:r w:rsidRPr="00855305">
              <w:rPr>
                <w:rFonts w:ascii="Calibri" w:eastAsia="Times New Roman" w:hAnsi="Calibri" w:cs="Calibri"/>
                <w:b/>
                <w:bCs/>
                <w:color w:val="000000"/>
              </w:rPr>
              <w:t>(5)</w:t>
            </w:r>
          </w:p>
        </w:tc>
        <w:tc>
          <w:tcPr>
            <w:tcW w:w="960" w:type="dxa"/>
            <w:gridSpan w:val="2"/>
            <w:tcBorders>
              <w:top w:val="single" w:sz="4" w:space="0" w:color="000000"/>
              <w:left w:val="nil"/>
              <w:bottom w:val="single" w:sz="4" w:space="0" w:color="000000"/>
              <w:right w:val="nil"/>
            </w:tcBorders>
            <w:shd w:val="clear" w:color="auto" w:fill="auto"/>
            <w:noWrap/>
            <w:vAlign w:val="bottom"/>
            <w:hideMark/>
          </w:tcPr>
          <w:p w14:paraId="74F669A6" w14:textId="77777777" w:rsidR="00A20F65" w:rsidRPr="00855305" w:rsidRDefault="00A20F65" w:rsidP="003E6D45">
            <w:pPr>
              <w:spacing w:after="0" w:line="240" w:lineRule="auto"/>
              <w:jc w:val="center"/>
              <w:rPr>
                <w:rFonts w:ascii="Calibri" w:eastAsia="Times New Roman" w:hAnsi="Calibri" w:cs="Calibri"/>
                <w:b/>
                <w:bCs/>
                <w:color w:val="000000"/>
              </w:rPr>
            </w:pPr>
            <w:r w:rsidRPr="00855305">
              <w:rPr>
                <w:rFonts w:ascii="Calibri" w:eastAsia="Times New Roman" w:hAnsi="Calibri" w:cs="Calibri"/>
                <w:b/>
                <w:bCs/>
                <w:color w:val="000000"/>
              </w:rPr>
              <w:t>(6)</w:t>
            </w:r>
          </w:p>
        </w:tc>
      </w:tr>
      <w:tr w:rsidR="00A20F65" w:rsidRPr="00855305" w14:paraId="52F963E4" w14:textId="77777777" w:rsidTr="003E6D45">
        <w:trPr>
          <w:trHeight w:val="295"/>
        </w:trPr>
        <w:tc>
          <w:tcPr>
            <w:tcW w:w="2436" w:type="dxa"/>
            <w:gridSpan w:val="2"/>
            <w:tcBorders>
              <w:top w:val="nil"/>
              <w:left w:val="nil"/>
              <w:bottom w:val="nil"/>
              <w:right w:val="nil"/>
            </w:tcBorders>
            <w:shd w:val="clear" w:color="D9D9D9" w:fill="D9D9D9"/>
            <w:noWrap/>
            <w:vAlign w:val="bottom"/>
            <w:hideMark/>
          </w:tcPr>
          <w:p w14:paraId="2EE6A090" w14:textId="77777777" w:rsidR="00A20F65" w:rsidRPr="00855305" w:rsidRDefault="00A20F65" w:rsidP="003E6D45">
            <w:pPr>
              <w:spacing w:after="0" w:line="240" w:lineRule="auto"/>
              <w:rPr>
                <w:rFonts w:ascii="Calibri" w:eastAsia="Times New Roman" w:hAnsi="Calibri" w:cs="Calibri"/>
                <w:color w:val="000000"/>
              </w:rPr>
            </w:pPr>
            <w:r w:rsidRPr="00855305">
              <w:rPr>
                <w:rFonts w:ascii="Calibri" w:eastAsia="Times New Roman" w:hAnsi="Calibri" w:cs="Calibri"/>
                <w:color w:val="000000"/>
              </w:rPr>
              <w:t xml:space="preserve">Dist. Sandy x </w:t>
            </w:r>
            <w:proofErr w:type="spellStart"/>
            <w:r w:rsidRPr="00855305">
              <w:rPr>
                <w:rFonts w:ascii="Calibri" w:eastAsia="Times New Roman" w:hAnsi="Calibri" w:cs="Calibri"/>
                <w:color w:val="000000"/>
              </w:rPr>
              <w:t>PostSandy</w:t>
            </w:r>
            <w:proofErr w:type="spellEnd"/>
          </w:p>
        </w:tc>
        <w:tc>
          <w:tcPr>
            <w:tcW w:w="960" w:type="dxa"/>
            <w:gridSpan w:val="2"/>
            <w:tcBorders>
              <w:top w:val="nil"/>
              <w:left w:val="nil"/>
              <w:bottom w:val="nil"/>
              <w:right w:val="nil"/>
            </w:tcBorders>
            <w:shd w:val="clear" w:color="D9D9D9" w:fill="D9D9D9"/>
            <w:noWrap/>
            <w:vAlign w:val="bottom"/>
            <w:hideMark/>
          </w:tcPr>
          <w:p w14:paraId="60AA7400"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0.0407</w:t>
            </w:r>
          </w:p>
        </w:tc>
        <w:tc>
          <w:tcPr>
            <w:tcW w:w="960" w:type="dxa"/>
            <w:gridSpan w:val="2"/>
            <w:tcBorders>
              <w:top w:val="nil"/>
              <w:left w:val="nil"/>
              <w:bottom w:val="nil"/>
              <w:right w:val="nil"/>
            </w:tcBorders>
            <w:shd w:val="clear" w:color="D9D9D9" w:fill="D9D9D9"/>
            <w:noWrap/>
            <w:vAlign w:val="bottom"/>
            <w:hideMark/>
          </w:tcPr>
          <w:p w14:paraId="06310CFA"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0.0259</w:t>
            </w:r>
          </w:p>
        </w:tc>
        <w:tc>
          <w:tcPr>
            <w:tcW w:w="960" w:type="dxa"/>
            <w:gridSpan w:val="2"/>
            <w:tcBorders>
              <w:top w:val="nil"/>
              <w:left w:val="nil"/>
              <w:bottom w:val="nil"/>
              <w:right w:val="single" w:sz="4" w:space="0" w:color="auto"/>
            </w:tcBorders>
            <w:shd w:val="clear" w:color="D9D9D9" w:fill="D9D9D9"/>
            <w:noWrap/>
            <w:vAlign w:val="bottom"/>
            <w:hideMark/>
          </w:tcPr>
          <w:p w14:paraId="22CB98A8"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0.0289</w:t>
            </w:r>
          </w:p>
        </w:tc>
        <w:tc>
          <w:tcPr>
            <w:tcW w:w="960" w:type="dxa"/>
            <w:gridSpan w:val="2"/>
            <w:tcBorders>
              <w:top w:val="nil"/>
              <w:left w:val="single" w:sz="4" w:space="0" w:color="auto"/>
              <w:bottom w:val="nil"/>
              <w:right w:val="nil"/>
            </w:tcBorders>
            <w:shd w:val="clear" w:color="D9D9D9" w:fill="D9D9D9"/>
            <w:noWrap/>
            <w:vAlign w:val="bottom"/>
            <w:hideMark/>
          </w:tcPr>
          <w:p w14:paraId="77AC2398"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0.108</w:t>
            </w:r>
          </w:p>
        </w:tc>
        <w:tc>
          <w:tcPr>
            <w:tcW w:w="960" w:type="dxa"/>
            <w:gridSpan w:val="2"/>
            <w:tcBorders>
              <w:top w:val="nil"/>
              <w:left w:val="nil"/>
              <w:bottom w:val="nil"/>
              <w:right w:val="nil"/>
            </w:tcBorders>
            <w:shd w:val="clear" w:color="D9D9D9" w:fill="D9D9D9"/>
            <w:noWrap/>
            <w:vAlign w:val="bottom"/>
            <w:hideMark/>
          </w:tcPr>
          <w:p w14:paraId="21DE71C3"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0.0877</w:t>
            </w:r>
          </w:p>
        </w:tc>
        <w:tc>
          <w:tcPr>
            <w:tcW w:w="960" w:type="dxa"/>
            <w:gridSpan w:val="2"/>
            <w:tcBorders>
              <w:top w:val="nil"/>
              <w:left w:val="nil"/>
              <w:bottom w:val="nil"/>
              <w:right w:val="nil"/>
            </w:tcBorders>
            <w:shd w:val="clear" w:color="D9D9D9" w:fill="D9D9D9"/>
            <w:noWrap/>
            <w:vAlign w:val="bottom"/>
            <w:hideMark/>
          </w:tcPr>
          <w:p w14:paraId="6DBEFCE9"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0.089</w:t>
            </w:r>
          </w:p>
        </w:tc>
      </w:tr>
      <w:tr w:rsidR="00A20F65" w:rsidRPr="00855305" w14:paraId="33F6D9E5" w14:textId="77777777" w:rsidTr="003E6D45">
        <w:trPr>
          <w:trHeight w:val="295"/>
        </w:trPr>
        <w:tc>
          <w:tcPr>
            <w:tcW w:w="2436" w:type="dxa"/>
            <w:gridSpan w:val="2"/>
            <w:tcBorders>
              <w:top w:val="nil"/>
              <w:left w:val="nil"/>
              <w:bottom w:val="single" w:sz="4" w:space="0" w:color="auto"/>
              <w:right w:val="nil"/>
            </w:tcBorders>
            <w:shd w:val="clear" w:color="auto" w:fill="auto"/>
            <w:noWrap/>
            <w:vAlign w:val="bottom"/>
            <w:hideMark/>
          </w:tcPr>
          <w:p w14:paraId="4479F560" w14:textId="77777777" w:rsidR="00A20F65" w:rsidRPr="00855305" w:rsidRDefault="00A20F65" w:rsidP="003E6D45">
            <w:pPr>
              <w:spacing w:after="0" w:line="240" w:lineRule="auto"/>
              <w:rPr>
                <w:rFonts w:ascii="Calibri" w:eastAsia="Times New Roman" w:hAnsi="Calibri" w:cs="Calibri"/>
                <w:color w:val="000000"/>
              </w:rPr>
            </w:pPr>
            <w:r w:rsidRPr="00855305">
              <w:rPr>
                <w:rFonts w:ascii="Calibri" w:eastAsia="Times New Roman" w:hAnsi="Calibri" w:cs="Calibri"/>
                <w:color w:val="000000"/>
              </w:rPr>
              <w:t> </w:t>
            </w:r>
          </w:p>
        </w:tc>
        <w:tc>
          <w:tcPr>
            <w:tcW w:w="960" w:type="dxa"/>
            <w:gridSpan w:val="2"/>
            <w:tcBorders>
              <w:top w:val="nil"/>
              <w:left w:val="nil"/>
              <w:bottom w:val="single" w:sz="4" w:space="0" w:color="auto"/>
              <w:right w:val="nil"/>
            </w:tcBorders>
            <w:shd w:val="clear" w:color="auto" w:fill="auto"/>
            <w:noWrap/>
            <w:vAlign w:val="bottom"/>
            <w:hideMark/>
          </w:tcPr>
          <w:p w14:paraId="15C72BA9"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(0.49)</w:t>
            </w:r>
          </w:p>
        </w:tc>
        <w:tc>
          <w:tcPr>
            <w:tcW w:w="960" w:type="dxa"/>
            <w:gridSpan w:val="2"/>
            <w:tcBorders>
              <w:top w:val="nil"/>
              <w:left w:val="nil"/>
              <w:bottom w:val="single" w:sz="4" w:space="0" w:color="auto"/>
              <w:right w:val="nil"/>
            </w:tcBorders>
            <w:shd w:val="clear" w:color="auto" w:fill="auto"/>
            <w:noWrap/>
            <w:vAlign w:val="bottom"/>
            <w:hideMark/>
          </w:tcPr>
          <w:p w14:paraId="14E2A653"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(0.31)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6136CE8"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(0.34)</w:t>
            </w:r>
          </w:p>
        </w:tc>
        <w:tc>
          <w:tcPr>
            <w:tcW w:w="960" w:type="dxa"/>
            <w:gridSpan w:val="2"/>
            <w:tcBorders>
              <w:top w:val="nil"/>
              <w:left w:val="single" w:sz="4" w:space="0" w:color="auto"/>
              <w:bottom w:val="single" w:sz="4" w:space="0" w:color="auto"/>
              <w:right w:val="nil"/>
            </w:tcBorders>
            <w:shd w:val="clear" w:color="auto" w:fill="auto"/>
            <w:noWrap/>
            <w:vAlign w:val="bottom"/>
            <w:hideMark/>
          </w:tcPr>
          <w:p w14:paraId="4245E74F"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(1.65)</w:t>
            </w:r>
          </w:p>
        </w:tc>
        <w:tc>
          <w:tcPr>
            <w:tcW w:w="960" w:type="dxa"/>
            <w:gridSpan w:val="2"/>
            <w:tcBorders>
              <w:top w:val="nil"/>
              <w:left w:val="nil"/>
              <w:bottom w:val="single" w:sz="4" w:space="0" w:color="auto"/>
              <w:right w:val="nil"/>
            </w:tcBorders>
            <w:shd w:val="clear" w:color="auto" w:fill="auto"/>
            <w:noWrap/>
            <w:vAlign w:val="bottom"/>
            <w:hideMark/>
          </w:tcPr>
          <w:p w14:paraId="0EC7922D"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(1.67)</w:t>
            </w:r>
          </w:p>
        </w:tc>
        <w:tc>
          <w:tcPr>
            <w:tcW w:w="960" w:type="dxa"/>
            <w:gridSpan w:val="2"/>
            <w:tcBorders>
              <w:top w:val="nil"/>
              <w:left w:val="nil"/>
              <w:bottom w:val="single" w:sz="4" w:space="0" w:color="auto"/>
              <w:right w:val="nil"/>
            </w:tcBorders>
            <w:shd w:val="clear" w:color="auto" w:fill="auto"/>
            <w:noWrap/>
            <w:vAlign w:val="bottom"/>
            <w:hideMark/>
          </w:tcPr>
          <w:p w14:paraId="193F7EF9"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(1.64)</w:t>
            </w:r>
          </w:p>
        </w:tc>
      </w:tr>
      <w:tr w:rsidR="00A20F65" w:rsidRPr="00855305" w14:paraId="2F4A0890" w14:textId="77777777" w:rsidTr="003E6D45">
        <w:trPr>
          <w:trHeight w:val="295"/>
        </w:trPr>
        <w:tc>
          <w:tcPr>
            <w:tcW w:w="2436" w:type="dxa"/>
            <w:gridSpan w:val="2"/>
            <w:tcBorders>
              <w:top w:val="nil"/>
              <w:left w:val="nil"/>
              <w:bottom w:val="nil"/>
              <w:right w:val="nil"/>
            </w:tcBorders>
            <w:shd w:val="clear" w:color="D9D9D9" w:fill="D9D9D9"/>
            <w:noWrap/>
            <w:vAlign w:val="bottom"/>
            <w:hideMark/>
          </w:tcPr>
          <w:p w14:paraId="2011EBF4" w14:textId="77777777" w:rsidR="00A20F65" w:rsidRPr="00855305" w:rsidRDefault="00A20F65" w:rsidP="003E6D45">
            <w:pPr>
              <w:spacing w:after="0" w:line="240" w:lineRule="auto"/>
              <w:rPr>
                <w:rFonts w:ascii="Calibri" w:eastAsia="Times New Roman" w:hAnsi="Calibri" w:cs="Calibri"/>
                <w:color w:val="000000"/>
              </w:rPr>
            </w:pPr>
            <w:r w:rsidRPr="00855305">
              <w:rPr>
                <w:rFonts w:ascii="Calibri" w:eastAsia="Times New Roman" w:hAnsi="Calibri" w:cs="Calibri"/>
                <w:color w:val="000000"/>
              </w:rPr>
              <w:t>N</w:t>
            </w:r>
          </w:p>
        </w:tc>
        <w:tc>
          <w:tcPr>
            <w:tcW w:w="960" w:type="dxa"/>
            <w:gridSpan w:val="2"/>
            <w:tcBorders>
              <w:top w:val="nil"/>
              <w:left w:val="nil"/>
              <w:bottom w:val="nil"/>
              <w:right w:val="nil"/>
            </w:tcBorders>
            <w:shd w:val="clear" w:color="D9D9D9" w:fill="D9D9D9"/>
            <w:noWrap/>
            <w:vAlign w:val="bottom"/>
            <w:hideMark/>
          </w:tcPr>
          <w:p w14:paraId="6A95A73C"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13086</w:t>
            </w:r>
          </w:p>
        </w:tc>
        <w:tc>
          <w:tcPr>
            <w:tcW w:w="960" w:type="dxa"/>
            <w:gridSpan w:val="2"/>
            <w:tcBorders>
              <w:top w:val="nil"/>
              <w:left w:val="nil"/>
              <w:bottom w:val="nil"/>
              <w:right w:val="nil"/>
            </w:tcBorders>
            <w:shd w:val="clear" w:color="D9D9D9" w:fill="D9D9D9"/>
            <w:noWrap/>
            <w:vAlign w:val="bottom"/>
            <w:hideMark/>
          </w:tcPr>
          <w:p w14:paraId="0A3DA076"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13034</w:t>
            </w:r>
          </w:p>
        </w:tc>
        <w:tc>
          <w:tcPr>
            <w:tcW w:w="960" w:type="dxa"/>
            <w:gridSpan w:val="2"/>
            <w:tcBorders>
              <w:top w:val="nil"/>
              <w:left w:val="nil"/>
              <w:bottom w:val="nil"/>
              <w:right w:val="single" w:sz="4" w:space="0" w:color="auto"/>
            </w:tcBorders>
            <w:shd w:val="clear" w:color="D9D9D9" w:fill="D9D9D9"/>
            <w:noWrap/>
            <w:vAlign w:val="bottom"/>
            <w:hideMark/>
          </w:tcPr>
          <w:p w14:paraId="79418569"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13034</w:t>
            </w:r>
          </w:p>
        </w:tc>
        <w:tc>
          <w:tcPr>
            <w:tcW w:w="960" w:type="dxa"/>
            <w:gridSpan w:val="2"/>
            <w:tcBorders>
              <w:top w:val="nil"/>
              <w:left w:val="single" w:sz="4" w:space="0" w:color="auto"/>
              <w:bottom w:val="nil"/>
              <w:right w:val="nil"/>
            </w:tcBorders>
            <w:shd w:val="clear" w:color="D9D9D9" w:fill="D9D9D9"/>
            <w:noWrap/>
            <w:vAlign w:val="bottom"/>
            <w:hideMark/>
          </w:tcPr>
          <w:p w14:paraId="61A81656"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18013</w:t>
            </w:r>
          </w:p>
        </w:tc>
        <w:tc>
          <w:tcPr>
            <w:tcW w:w="960" w:type="dxa"/>
            <w:gridSpan w:val="2"/>
            <w:tcBorders>
              <w:top w:val="nil"/>
              <w:left w:val="nil"/>
              <w:bottom w:val="nil"/>
              <w:right w:val="nil"/>
            </w:tcBorders>
            <w:shd w:val="clear" w:color="D9D9D9" w:fill="D9D9D9"/>
            <w:noWrap/>
            <w:vAlign w:val="bottom"/>
            <w:hideMark/>
          </w:tcPr>
          <w:p w14:paraId="086DD190"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17941</w:t>
            </w:r>
          </w:p>
        </w:tc>
        <w:tc>
          <w:tcPr>
            <w:tcW w:w="960" w:type="dxa"/>
            <w:gridSpan w:val="2"/>
            <w:tcBorders>
              <w:top w:val="nil"/>
              <w:left w:val="nil"/>
              <w:bottom w:val="nil"/>
              <w:right w:val="nil"/>
            </w:tcBorders>
            <w:shd w:val="clear" w:color="D9D9D9" w:fill="D9D9D9"/>
            <w:noWrap/>
            <w:vAlign w:val="bottom"/>
            <w:hideMark/>
          </w:tcPr>
          <w:p w14:paraId="780D3F80"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16844</w:t>
            </w:r>
          </w:p>
        </w:tc>
      </w:tr>
      <w:tr w:rsidR="00A20F65" w:rsidRPr="00855305" w14:paraId="4CEDF037" w14:textId="77777777" w:rsidTr="003E6D45">
        <w:trPr>
          <w:trHeight w:val="295"/>
        </w:trPr>
        <w:tc>
          <w:tcPr>
            <w:tcW w:w="2436" w:type="dxa"/>
            <w:gridSpan w:val="2"/>
            <w:tcBorders>
              <w:top w:val="nil"/>
              <w:left w:val="nil"/>
              <w:bottom w:val="nil"/>
              <w:right w:val="nil"/>
            </w:tcBorders>
            <w:shd w:val="clear" w:color="auto" w:fill="auto"/>
            <w:noWrap/>
            <w:vAlign w:val="bottom"/>
            <w:hideMark/>
          </w:tcPr>
          <w:p w14:paraId="463747EA" w14:textId="77777777" w:rsidR="00A20F65" w:rsidRPr="00855305" w:rsidRDefault="00A20F65" w:rsidP="003E6D45">
            <w:pPr>
              <w:spacing w:after="0" w:line="240" w:lineRule="auto"/>
              <w:rPr>
                <w:rFonts w:ascii="Calibri" w:eastAsia="Times New Roman" w:hAnsi="Calibri" w:cs="Calibri"/>
                <w:color w:val="000000"/>
              </w:rPr>
            </w:pPr>
            <w:r w:rsidRPr="00855305">
              <w:rPr>
                <w:rFonts w:ascii="Calibri" w:eastAsia="Times New Roman" w:hAnsi="Calibri" w:cs="Calibri"/>
                <w:color w:val="000000"/>
              </w:rPr>
              <w:t>R-sq</w:t>
            </w:r>
          </w:p>
        </w:tc>
        <w:tc>
          <w:tcPr>
            <w:tcW w:w="960" w:type="dxa"/>
            <w:gridSpan w:val="2"/>
            <w:tcBorders>
              <w:top w:val="nil"/>
              <w:left w:val="nil"/>
              <w:bottom w:val="nil"/>
              <w:right w:val="nil"/>
            </w:tcBorders>
            <w:shd w:val="clear" w:color="auto" w:fill="auto"/>
            <w:noWrap/>
            <w:vAlign w:val="bottom"/>
            <w:hideMark/>
          </w:tcPr>
          <w:p w14:paraId="51CEC069"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0.451</w:t>
            </w:r>
          </w:p>
        </w:tc>
        <w:tc>
          <w:tcPr>
            <w:tcW w:w="960" w:type="dxa"/>
            <w:gridSpan w:val="2"/>
            <w:tcBorders>
              <w:top w:val="nil"/>
              <w:left w:val="nil"/>
              <w:bottom w:val="nil"/>
              <w:right w:val="nil"/>
            </w:tcBorders>
            <w:shd w:val="clear" w:color="auto" w:fill="auto"/>
            <w:noWrap/>
            <w:vAlign w:val="bottom"/>
            <w:hideMark/>
          </w:tcPr>
          <w:p w14:paraId="03B86546"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0.541</w:t>
            </w:r>
          </w:p>
        </w:tc>
        <w:tc>
          <w:tcPr>
            <w:tcW w:w="960" w:type="dxa"/>
            <w:gridSpan w:val="2"/>
            <w:tcBorders>
              <w:top w:val="nil"/>
              <w:left w:val="nil"/>
              <w:bottom w:val="nil"/>
              <w:right w:val="single" w:sz="4" w:space="0" w:color="auto"/>
            </w:tcBorders>
            <w:shd w:val="clear" w:color="auto" w:fill="auto"/>
            <w:noWrap/>
            <w:vAlign w:val="bottom"/>
            <w:hideMark/>
          </w:tcPr>
          <w:p w14:paraId="5411DBD6"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0.564</w:t>
            </w:r>
          </w:p>
        </w:tc>
        <w:tc>
          <w:tcPr>
            <w:tcW w:w="960" w:type="dxa"/>
            <w:gridSpan w:val="2"/>
            <w:tcBorders>
              <w:top w:val="nil"/>
              <w:left w:val="single" w:sz="4" w:space="0" w:color="auto"/>
              <w:bottom w:val="nil"/>
              <w:right w:val="nil"/>
            </w:tcBorders>
            <w:shd w:val="clear" w:color="auto" w:fill="auto"/>
            <w:noWrap/>
            <w:vAlign w:val="bottom"/>
            <w:hideMark/>
          </w:tcPr>
          <w:p w14:paraId="4C2B7D6E"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0.439</w:t>
            </w:r>
          </w:p>
        </w:tc>
        <w:tc>
          <w:tcPr>
            <w:tcW w:w="960" w:type="dxa"/>
            <w:gridSpan w:val="2"/>
            <w:tcBorders>
              <w:top w:val="nil"/>
              <w:left w:val="nil"/>
              <w:bottom w:val="nil"/>
              <w:right w:val="nil"/>
            </w:tcBorders>
            <w:shd w:val="clear" w:color="auto" w:fill="auto"/>
            <w:noWrap/>
            <w:vAlign w:val="bottom"/>
            <w:hideMark/>
          </w:tcPr>
          <w:p w14:paraId="3B77B2E3"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0.528</w:t>
            </w:r>
          </w:p>
        </w:tc>
        <w:tc>
          <w:tcPr>
            <w:tcW w:w="960" w:type="dxa"/>
            <w:gridSpan w:val="2"/>
            <w:tcBorders>
              <w:top w:val="nil"/>
              <w:left w:val="nil"/>
              <w:bottom w:val="nil"/>
              <w:right w:val="nil"/>
            </w:tcBorders>
            <w:shd w:val="clear" w:color="auto" w:fill="auto"/>
            <w:noWrap/>
            <w:vAlign w:val="bottom"/>
            <w:hideMark/>
          </w:tcPr>
          <w:p w14:paraId="7A1684B4"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0.553</w:t>
            </w:r>
          </w:p>
        </w:tc>
      </w:tr>
      <w:tr w:rsidR="00A20F65" w:rsidRPr="00855305" w14:paraId="7CD035DC" w14:textId="77777777" w:rsidTr="003E6D45">
        <w:trPr>
          <w:trHeight w:val="295"/>
        </w:trPr>
        <w:tc>
          <w:tcPr>
            <w:tcW w:w="2436" w:type="dxa"/>
            <w:gridSpan w:val="2"/>
            <w:tcBorders>
              <w:top w:val="nil"/>
              <w:left w:val="nil"/>
              <w:bottom w:val="nil"/>
              <w:right w:val="nil"/>
            </w:tcBorders>
            <w:shd w:val="clear" w:color="D9D9D9" w:fill="D9D9D9"/>
            <w:noWrap/>
            <w:vAlign w:val="bottom"/>
            <w:hideMark/>
          </w:tcPr>
          <w:p w14:paraId="5F254D83" w14:textId="77777777" w:rsidR="00A20F65" w:rsidRPr="00855305" w:rsidRDefault="00A20F65" w:rsidP="003E6D45">
            <w:pPr>
              <w:spacing w:after="0" w:line="240" w:lineRule="auto"/>
              <w:rPr>
                <w:rFonts w:ascii="Calibri" w:eastAsia="Times New Roman" w:hAnsi="Calibri" w:cs="Calibri"/>
                <w:color w:val="000000"/>
              </w:rPr>
            </w:pPr>
            <w:r w:rsidRPr="00855305">
              <w:rPr>
                <w:rFonts w:ascii="Calibri" w:eastAsia="Times New Roman" w:hAnsi="Calibri" w:cs="Calibri"/>
                <w:color w:val="000000"/>
              </w:rPr>
              <w:t>adj. R-sq</w:t>
            </w:r>
          </w:p>
        </w:tc>
        <w:tc>
          <w:tcPr>
            <w:tcW w:w="960" w:type="dxa"/>
            <w:gridSpan w:val="2"/>
            <w:tcBorders>
              <w:top w:val="nil"/>
              <w:left w:val="nil"/>
              <w:bottom w:val="nil"/>
              <w:right w:val="nil"/>
            </w:tcBorders>
            <w:shd w:val="clear" w:color="D9D9D9" w:fill="D9D9D9"/>
            <w:noWrap/>
            <w:vAlign w:val="bottom"/>
            <w:hideMark/>
          </w:tcPr>
          <w:p w14:paraId="351B8B22"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0.41</w:t>
            </w:r>
          </w:p>
        </w:tc>
        <w:tc>
          <w:tcPr>
            <w:tcW w:w="960" w:type="dxa"/>
            <w:gridSpan w:val="2"/>
            <w:tcBorders>
              <w:top w:val="nil"/>
              <w:left w:val="nil"/>
              <w:bottom w:val="nil"/>
              <w:right w:val="nil"/>
            </w:tcBorders>
            <w:shd w:val="clear" w:color="D9D9D9" w:fill="D9D9D9"/>
            <w:noWrap/>
            <w:vAlign w:val="bottom"/>
            <w:hideMark/>
          </w:tcPr>
          <w:p w14:paraId="7CB56A72"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0.507</w:t>
            </w:r>
          </w:p>
        </w:tc>
        <w:tc>
          <w:tcPr>
            <w:tcW w:w="960" w:type="dxa"/>
            <w:gridSpan w:val="2"/>
            <w:tcBorders>
              <w:top w:val="nil"/>
              <w:left w:val="nil"/>
              <w:bottom w:val="nil"/>
              <w:right w:val="single" w:sz="4" w:space="0" w:color="auto"/>
            </w:tcBorders>
            <w:shd w:val="clear" w:color="D9D9D9" w:fill="D9D9D9"/>
            <w:noWrap/>
            <w:vAlign w:val="bottom"/>
            <w:hideMark/>
          </w:tcPr>
          <w:p w14:paraId="56C1821C"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0.53</w:t>
            </w:r>
          </w:p>
        </w:tc>
        <w:tc>
          <w:tcPr>
            <w:tcW w:w="960" w:type="dxa"/>
            <w:gridSpan w:val="2"/>
            <w:tcBorders>
              <w:top w:val="nil"/>
              <w:left w:val="single" w:sz="4" w:space="0" w:color="auto"/>
              <w:bottom w:val="nil"/>
              <w:right w:val="nil"/>
            </w:tcBorders>
            <w:shd w:val="clear" w:color="D9D9D9" w:fill="D9D9D9"/>
            <w:noWrap/>
            <w:vAlign w:val="bottom"/>
            <w:hideMark/>
          </w:tcPr>
          <w:p w14:paraId="58A95F30"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0.408</w:t>
            </w:r>
          </w:p>
        </w:tc>
        <w:tc>
          <w:tcPr>
            <w:tcW w:w="960" w:type="dxa"/>
            <w:gridSpan w:val="2"/>
            <w:tcBorders>
              <w:top w:val="nil"/>
              <w:left w:val="nil"/>
              <w:bottom w:val="nil"/>
              <w:right w:val="nil"/>
            </w:tcBorders>
            <w:shd w:val="clear" w:color="D9D9D9" w:fill="D9D9D9"/>
            <w:noWrap/>
            <w:vAlign w:val="bottom"/>
            <w:hideMark/>
          </w:tcPr>
          <w:p w14:paraId="74B5874E"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0.502</w:t>
            </w:r>
          </w:p>
        </w:tc>
        <w:tc>
          <w:tcPr>
            <w:tcW w:w="960" w:type="dxa"/>
            <w:gridSpan w:val="2"/>
            <w:tcBorders>
              <w:top w:val="nil"/>
              <w:left w:val="nil"/>
              <w:bottom w:val="nil"/>
              <w:right w:val="nil"/>
            </w:tcBorders>
            <w:shd w:val="clear" w:color="D9D9D9" w:fill="D9D9D9"/>
            <w:noWrap/>
            <w:vAlign w:val="bottom"/>
            <w:hideMark/>
          </w:tcPr>
          <w:p w14:paraId="7314B77D"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0.526</w:t>
            </w:r>
          </w:p>
        </w:tc>
      </w:tr>
      <w:tr w:rsidR="00A20F65" w:rsidRPr="00855305" w14:paraId="6D2A0842" w14:textId="77777777" w:rsidTr="003E6D45">
        <w:trPr>
          <w:trHeight w:val="295"/>
        </w:trPr>
        <w:tc>
          <w:tcPr>
            <w:tcW w:w="2436" w:type="dxa"/>
            <w:gridSpan w:val="2"/>
            <w:tcBorders>
              <w:top w:val="nil"/>
              <w:left w:val="nil"/>
              <w:bottom w:val="nil"/>
              <w:right w:val="nil"/>
            </w:tcBorders>
            <w:shd w:val="clear" w:color="auto" w:fill="auto"/>
            <w:noWrap/>
            <w:vAlign w:val="bottom"/>
            <w:hideMark/>
          </w:tcPr>
          <w:p w14:paraId="5AAF3813" w14:textId="77777777" w:rsidR="00A20F65" w:rsidRPr="00855305" w:rsidRDefault="00A20F65" w:rsidP="003E6D45">
            <w:pPr>
              <w:spacing w:after="0" w:line="240" w:lineRule="auto"/>
              <w:rPr>
                <w:rFonts w:ascii="Calibri" w:eastAsia="Times New Roman" w:hAnsi="Calibri" w:cs="Calibri"/>
                <w:color w:val="000000"/>
              </w:rPr>
            </w:pPr>
            <w:r w:rsidRPr="00855305">
              <w:rPr>
                <w:rFonts w:ascii="Calibri" w:eastAsia="Times New Roman" w:hAnsi="Calibri" w:cs="Calibri"/>
                <w:color w:val="000000"/>
              </w:rPr>
              <w:t>AIC</w:t>
            </w:r>
          </w:p>
        </w:tc>
        <w:tc>
          <w:tcPr>
            <w:tcW w:w="960" w:type="dxa"/>
            <w:gridSpan w:val="2"/>
            <w:tcBorders>
              <w:top w:val="nil"/>
              <w:left w:val="nil"/>
              <w:bottom w:val="nil"/>
              <w:right w:val="nil"/>
            </w:tcBorders>
            <w:shd w:val="clear" w:color="auto" w:fill="auto"/>
            <w:noWrap/>
            <w:vAlign w:val="bottom"/>
            <w:hideMark/>
          </w:tcPr>
          <w:p w14:paraId="0F071430"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12859.9</w:t>
            </w:r>
          </w:p>
        </w:tc>
        <w:tc>
          <w:tcPr>
            <w:tcW w:w="960" w:type="dxa"/>
            <w:gridSpan w:val="2"/>
            <w:tcBorders>
              <w:top w:val="nil"/>
              <w:left w:val="nil"/>
              <w:bottom w:val="nil"/>
              <w:right w:val="nil"/>
            </w:tcBorders>
            <w:shd w:val="clear" w:color="auto" w:fill="auto"/>
            <w:noWrap/>
            <w:vAlign w:val="bottom"/>
            <w:hideMark/>
          </w:tcPr>
          <w:p w14:paraId="1D9E1C67"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10498.9</w:t>
            </w:r>
          </w:p>
        </w:tc>
        <w:tc>
          <w:tcPr>
            <w:tcW w:w="960" w:type="dxa"/>
            <w:gridSpan w:val="2"/>
            <w:tcBorders>
              <w:top w:val="nil"/>
              <w:left w:val="nil"/>
              <w:bottom w:val="nil"/>
              <w:right w:val="single" w:sz="4" w:space="0" w:color="auto"/>
            </w:tcBorders>
            <w:shd w:val="clear" w:color="auto" w:fill="auto"/>
            <w:noWrap/>
            <w:vAlign w:val="bottom"/>
            <w:hideMark/>
          </w:tcPr>
          <w:p w14:paraId="55B46047"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9835.6</w:t>
            </w:r>
          </w:p>
        </w:tc>
        <w:tc>
          <w:tcPr>
            <w:tcW w:w="960" w:type="dxa"/>
            <w:gridSpan w:val="2"/>
            <w:tcBorders>
              <w:top w:val="nil"/>
              <w:left w:val="single" w:sz="4" w:space="0" w:color="auto"/>
              <w:bottom w:val="nil"/>
              <w:right w:val="nil"/>
            </w:tcBorders>
            <w:shd w:val="clear" w:color="auto" w:fill="auto"/>
            <w:noWrap/>
            <w:vAlign w:val="bottom"/>
            <w:hideMark/>
          </w:tcPr>
          <w:p w14:paraId="03DE5ADD"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17934.9</w:t>
            </w:r>
          </w:p>
        </w:tc>
        <w:tc>
          <w:tcPr>
            <w:tcW w:w="960" w:type="dxa"/>
            <w:gridSpan w:val="2"/>
            <w:tcBorders>
              <w:top w:val="nil"/>
              <w:left w:val="nil"/>
              <w:bottom w:val="nil"/>
              <w:right w:val="nil"/>
            </w:tcBorders>
            <w:shd w:val="clear" w:color="auto" w:fill="auto"/>
            <w:noWrap/>
            <w:vAlign w:val="bottom"/>
            <w:hideMark/>
          </w:tcPr>
          <w:p w14:paraId="04508650"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14773.6</w:t>
            </w:r>
          </w:p>
        </w:tc>
        <w:tc>
          <w:tcPr>
            <w:tcW w:w="960" w:type="dxa"/>
            <w:gridSpan w:val="2"/>
            <w:tcBorders>
              <w:top w:val="nil"/>
              <w:left w:val="nil"/>
              <w:bottom w:val="nil"/>
              <w:right w:val="nil"/>
            </w:tcBorders>
            <w:shd w:val="clear" w:color="auto" w:fill="auto"/>
            <w:noWrap/>
            <w:vAlign w:val="bottom"/>
            <w:hideMark/>
          </w:tcPr>
          <w:p w14:paraId="203D5D1E"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12980.6</w:t>
            </w:r>
          </w:p>
        </w:tc>
      </w:tr>
      <w:tr w:rsidR="00A20F65" w:rsidRPr="00855305" w14:paraId="53EFE470" w14:textId="77777777" w:rsidTr="003E6D45">
        <w:trPr>
          <w:trHeight w:val="295"/>
        </w:trPr>
        <w:tc>
          <w:tcPr>
            <w:tcW w:w="2436" w:type="dxa"/>
            <w:gridSpan w:val="2"/>
            <w:tcBorders>
              <w:top w:val="nil"/>
              <w:left w:val="nil"/>
              <w:bottom w:val="single" w:sz="4" w:space="0" w:color="000000"/>
              <w:right w:val="nil"/>
            </w:tcBorders>
            <w:shd w:val="clear" w:color="D9D9D9" w:fill="D9D9D9"/>
            <w:noWrap/>
            <w:vAlign w:val="bottom"/>
            <w:hideMark/>
          </w:tcPr>
          <w:p w14:paraId="008BCD4F" w14:textId="77777777" w:rsidR="00A20F65" w:rsidRPr="00855305" w:rsidRDefault="00A20F65" w:rsidP="003E6D45">
            <w:pPr>
              <w:spacing w:after="0" w:line="240" w:lineRule="auto"/>
              <w:rPr>
                <w:rFonts w:ascii="Calibri" w:eastAsia="Times New Roman" w:hAnsi="Calibri" w:cs="Calibri"/>
                <w:color w:val="000000"/>
              </w:rPr>
            </w:pPr>
            <w:r w:rsidRPr="00855305">
              <w:rPr>
                <w:rFonts w:ascii="Calibri" w:eastAsia="Times New Roman" w:hAnsi="Calibri" w:cs="Calibri"/>
                <w:color w:val="000000"/>
              </w:rPr>
              <w:t>BIC</w:t>
            </w:r>
          </w:p>
        </w:tc>
        <w:tc>
          <w:tcPr>
            <w:tcW w:w="960" w:type="dxa"/>
            <w:gridSpan w:val="2"/>
            <w:tcBorders>
              <w:top w:val="nil"/>
              <w:left w:val="nil"/>
              <w:bottom w:val="single" w:sz="4" w:space="0" w:color="000000"/>
              <w:right w:val="nil"/>
            </w:tcBorders>
            <w:shd w:val="clear" w:color="D9D9D9" w:fill="D9D9D9"/>
            <w:noWrap/>
            <w:vAlign w:val="bottom"/>
            <w:hideMark/>
          </w:tcPr>
          <w:p w14:paraId="0E4FF099"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12889.8</w:t>
            </w:r>
          </w:p>
        </w:tc>
        <w:tc>
          <w:tcPr>
            <w:tcW w:w="960" w:type="dxa"/>
            <w:gridSpan w:val="2"/>
            <w:tcBorders>
              <w:top w:val="nil"/>
              <w:left w:val="nil"/>
              <w:bottom w:val="single" w:sz="4" w:space="0" w:color="000000"/>
              <w:right w:val="nil"/>
            </w:tcBorders>
            <w:shd w:val="clear" w:color="D9D9D9" w:fill="D9D9D9"/>
            <w:noWrap/>
            <w:vAlign w:val="bottom"/>
            <w:hideMark/>
          </w:tcPr>
          <w:p w14:paraId="2BCDC718"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10528.8</w:t>
            </w:r>
          </w:p>
        </w:tc>
        <w:tc>
          <w:tcPr>
            <w:tcW w:w="960" w:type="dxa"/>
            <w:gridSpan w:val="2"/>
            <w:tcBorders>
              <w:top w:val="nil"/>
              <w:left w:val="nil"/>
              <w:bottom w:val="single" w:sz="4" w:space="0" w:color="000000"/>
              <w:right w:val="single" w:sz="4" w:space="0" w:color="auto"/>
            </w:tcBorders>
            <w:shd w:val="clear" w:color="D9D9D9" w:fill="D9D9D9"/>
            <w:noWrap/>
            <w:vAlign w:val="bottom"/>
            <w:hideMark/>
          </w:tcPr>
          <w:p w14:paraId="105BBAD3"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9865.5</w:t>
            </w:r>
          </w:p>
        </w:tc>
        <w:tc>
          <w:tcPr>
            <w:tcW w:w="960" w:type="dxa"/>
            <w:gridSpan w:val="2"/>
            <w:tcBorders>
              <w:top w:val="nil"/>
              <w:left w:val="single" w:sz="4" w:space="0" w:color="auto"/>
              <w:bottom w:val="single" w:sz="4" w:space="0" w:color="000000"/>
              <w:right w:val="nil"/>
            </w:tcBorders>
            <w:shd w:val="clear" w:color="D9D9D9" w:fill="D9D9D9"/>
            <w:noWrap/>
            <w:vAlign w:val="bottom"/>
            <w:hideMark/>
          </w:tcPr>
          <w:p w14:paraId="2A1AFD58"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17966.1</w:t>
            </w:r>
          </w:p>
        </w:tc>
        <w:tc>
          <w:tcPr>
            <w:tcW w:w="960" w:type="dxa"/>
            <w:gridSpan w:val="2"/>
            <w:tcBorders>
              <w:top w:val="nil"/>
              <w:left w:val="nil"/>
              <w:bottom w:val="single" w:sz="4" w:space="0" w:color="000000"/>
              <w:right w:val="nil"/>
            </w:tcBorders>
            <w:shd w:val="clear" w:color="D9D9D9" w:fill="D9D9D9"/>
            <w:noWrap/>
            <w:vAlign w:val="bottom"/>
            <w:hideMark/>
          </w:tcPr>
          <w:p w14:paraId="6875DC24"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14804.8</w:t>
            </w:r>
          </w:p>
        </w:tc>
        <w:tc>
          <w:tcPr>
            <w:tcW w:w="960" w:type="dxa"/>
            <w:gridSpan w:val="2"/>
            <w:tcBorders>
              <w:top w:val="nil"/>
              <w:left w:val="nil"/>
              <w:bottom w:val="single" w:sz="4" w:space="0" w:color="000000"/>
              <w:right w:val="nil"/>
            </w:tcBorders>
            <w:shd w:val="clear" w:color="D9D9D9" w:fill="D9D9D9"/>
            <w:noWrap/>
            <w:vAlign w:val="bottom"/>
            <w:hideMark/>
          </w:tcPr>
          <w:p w14:paraId="0C8B37FF" w14:textId="77777777" w:rsidR="00A20F65" w:rsidRPr="00855305" w:rsidRDefault="00A20F65" w:rsidP="003E6D45">
            <w:pPr>
              <w:spacing w:after="0" w:line="240" w:lineRule="auto"/>
              <w:jc w:val="right"/>
              <w:rPr>
                <w:rFonts w:ascii="Calibri" w:eastAsia="Times New Roman" w:hAnsi="Calibri" w:cs="Calibri"/>
                <w:color w:val="000000"/>
              </w:rPr>
            </w:pPr>
            <w:r w:rsidRPr="00855305">
              <w:rPr>
                <w:rFonts w:ascii="Calibri" w:eastAsia="Times New Roman" w:hAnsi="Calibri" w:cs="Calibri"/>
                <w:color w:val="000000"/>
              </w:rPr>
              <w:t>13011.5</w:t>
            </w:r>
          </w:p>
        </w:tc>
      </w:tr>
    </w:tbl>
    <w:p w14:paraId="351B7C5F" w14:textId="77777777" w:rsidR="00A20F65" w:rsidRPr="008E4020" w:rsidRDefault="00A20F65" w:rsidP="00A20F65">
      <w:pPr>
        <w:pStyle w:val="NoSpacing"/>
        <w:rPr>
          <w:rFonts w:ascii="Times New Roman" w:hAnsi="Times New Roman" w:cs="Times New Roman"/>
          <w:sz w:val="18"/>
          <w:szCs w:val="18"/>
        </w:rPr>
      </w:pPr>
      <w:r w:rsidRPr="008E4020">
        <w:rPr>
          <w:rFonts w:ascii="Times New Roman" w:hAnsi="Times New Roman" w:cs="Times New Roman"/>
          <w:sz w:val="18"/>
          <w:szCs w:val="18"/>
        </w:rPr>
        <w:t>Note</w:t>
      </w:r>
      <w:r>
        <w:rPr>
          <w:rFonts w:ascii="Times New Roman" w:hAnsi="Times New Roman" w:cs="Times New Roman"/>
          <w:sz w:val="18"/>
          <w:szCs w:val="18"/>
        </w:rPr>
        <w:t>s</w:t>
      </w:r>
      <w:r w:rsidRPr="008E4020">
        <w:rPr>
          <w:rFonts w:ascii="Times New Roman" w:hAnsi="Times New Roman" w:cs="Times New Roman"/>
          <w:sz w:val="18"/>
          <w:szCs w:val="18"/>
        </w:rPr>
        <w:t xml:space="preserve">: Other control variables not shown. The specification </w:t>
      </w:r>
      <w:r>
        <w:rPr>
          <w:rFonts w:ascii="Times New Roman" w:hAnsi="Times New Roman" w:cs="Times New Roman"/>
          <w:sz w:val="18"/>
          <w:szCs w:val="18"/>
        </w:rPr>
        <w:t xml:space="preserve">are </w:t>
      </w:r>
      <w:r w:rsidRPr="008E4020">
        <w:rPr>
          <w:rFonts w:ascii="Times New Roman" w:hAnsi="Times New Roman" w:cs="Times New Roman"/>
          <w:sz w:val="18"/>
          <w:szCs w:val="18"/>
        </w:rPr>
        <w:t>the same as Table 2</w:t>
      </w:r>
      <w:r>
        <w:rPr>
          <w:rFonts w:ascii="Times New Roman" w:hAnsi="Times New Roman" w:cs="Times New Roman"/>
          <w:sz w:val="18"/>
          <w:szCs w:val="18"/>
        </w:rPr>
        <w:t>.</w:t>
      </w:r>
      <w:r w:rsidRPr="008E4020">
        <w:rPr>
          <w:rFonts w:ascii="Times New Roman" w:hAnsi="Times New Roman" w:cs="Times New Roman"/>
          <w:sz w:val="18"/>
          <w:szCs w:val="18"/>
        </w:rPr>
        <w:t xml:space="preserve"> t statistics in parentheses. * p&lt;0.10, ** p&lt;0.05, *** p&lt;0.01. Standard errors clustered by borough.</w:t>
      </w:r>
    </w:p>
    <w:p w14:paraId="7A7F20A0" w14:textId="77777777" w:rsidR="00A20F65" w:rsidRDefault="00A20F65" w:rsidP="00A20F65">
      <w:pPr>
        <w:pStyle w:val="NoSpacing"/>
        <w:rPr>
          <w:rFonts w:ascii="Times New Roman" w:hAnsi="Times New Roman" w:cs="Times New Roman"/>
          <w:sz w:val="16"/>
          <w:szCs w:val="16"/>
        </w:rPr>
      </w:pPr>
    </w:p>
    <w:p w14:paraId="7A138B57" w14:textId="77777777" w:rsidR="00A20F65" w:rsidRPr="007A3F24" w:rsidRDefault="00A20F65" w:rsidP="00A20F65">
      <w:pPr>
        <w:pStyle w:val="NoSpacing"/>
        <w:rPr>
          <w:rFonts w:ascii="Courier New" w:hAnsi="Courier New" w:cs="Courier New"/>
          <w:sz w:val="20"/>
          <w:szCs w:val="20"/>
        </w:rPr>
      </w:pPr>
      <w:r>
        <w:rPr>
          <w:rFonts w:ascii="Courier New" w:hAnsi="Courier New" w:cs="Courier New"/>
          <w:sz w:val="20"/>
          <w:szCs w:val="20"/>
        </w:rPr>
        <w:t xml:space="preserve"> </w:t>
      </w:r>
    </w:p>
    <w:p w14:paraId="5AD57420" w14:textId="77777777" w:rsidR="00A20F65" w:rsidRDefault="00A20F65" w:rsidP="00A20F65">
      <w:pPr>
        <w:pStyle w:val="NoSpacing"/>
        <w:rPr>
          <w:rFonts w:ascii="Times New Roman" w:hAnsi="Times New Roman" w:cs="Times New Roman"/>
          <w:b/>
          <w:bCs/>
        </w:rPr>
      </w:pPr>
      <w:r w:rsidRPr="008E4020">
        <w:rPr>
          <w:rFonts w:ascii="Times New Roman" w:hAnsi="Times New Roman" w:cs="Times New Roman"/>
          <w:b/>
          <w:bCs/>
        </w:rPr>
        <w:t>Table A.</w:t>
      </w:r>
      <w:r>
        <w:rPr>
          <w:rFonts w:ascii="Times New Roman" w:hAnsi="Times New Roman" w:cs="Times New Roman"/>
          <w:b/>
          <w:bCs/>
        </w:rPr>
        <w:t>4</w:t>
      </w:r>
      <w:r w:rsidRPr="008E4020">
        <w:rPr>
          <w:rFonts w:ascii="Times New Roman" w:hAnsi="Times New Roman" w:cs="Times New Roman"/>
          <w:b/>
          <w:bCs/>
        </w:rPr>
        <w:t xml:space="preserve"> </w:t>
      </w:r>
      <w:r w:rsidRPr="007B72BF">
        <w:rPr>
          <w:rFonts w:ascii="Times New Roman" w:hAnsi="Times New Roman" w:cs="Times New Roman"/>
          <w:b/>
          <w:bCs/>
          <w:i/>
          <w:iCs/>
        </w:rPr>
        <w:t xml:space="preserve">Distance to Sandy x </w:t>
      </w:r>
      <w:proofErr w:type="spellStart"/>
      <w:r w:rsidRPr="007B72BF">
        <w:rPr>
          <w:rFonts w:ascii="Times New Roman" w:hAnsi="Times New Roman" w:cs="Times New Roman"/>
          <w:b/>
          <w:bCs/>
          <w:i/>
          <w:iCs/>
        </w:rPr>
        <w:t>PostSandy</w:t>
      </w:r>
      <w:proofErr w:type="spellEnd"/>
      <w:r w:rsidRPr="007B72BF">
        <w:rPr>
          <w:rFonts w:ascii="Times New Roman" w:hAnsi="Times New Roman" w:cs="Times New Roman"/>
          <w:b/>
          <w:bCs/>
          <w:i/>
          <w:iCs/>
        </w:rPr>
        <w:t xml:space="preserve"> Dummy</w:t>
      </w:r>
      <w:r w:rsidRPr="008B6EFB">
        <w:rPr>
          <w:rFonts w:ascii="Times New Roman" w:hAnsi="Times New Roman" w:cs="Times New Roman"/>
          <w:b/>
          <w:bCs/>
        </w:rPr>
        <w:t xml:space="preserve"> </w:t>
      </w:r>
      <w:r w:rsidRPr="008E4020">
        <w:rPr>
          <w:rFonts w:ascii="Times New Roman" w:hAnsi="Times New Roman" w:cs="Times New Roman"/>
          <w:b/>
          <w:bCs/>
        </w:rPr>
        <w:t>within 1 mile</w:t>
      </w:r>
      <w:r>
        <w:rPr>
          <w:rFonts w:ascii="Times New Roman" w:hAnsi="Times New Roman" w:cs="Times New Roman"/>
          <w:b/>
          <w:bCs/>
        </w:rPr>
        <w:t xml:space="preserve">, </w:t>
      </w:r>
      <w:r w:rsidRPr="008E4020">
        <w:rPr>
          <w:rFonts w:ascii="Times New Roman" w:hAnsi="Times New Roman" w:cs="Times New Roman"/>
          <w:b/>
          <w:bCs/>
          <w:i/>
          <w:iCs/>
        </w:rPr>
        <w:t>Sandy</w:t>
      </w:r>
      <w:r>
        <w:rPr>
          <w:rFonts w:ascii="Times New Roman" w:hAnsi="Times New Roman" w:cs="Times New Roman"/>
          <w:b/>
          <w:bCs/>
          <w:i/>
          <w:iCs/>
        </w:rPr>
        <w:t xml:space="preserve">, </w:t>
      </w:r>
      <w:r w:rsidRPr="008E4020">
        <w:rPr>
          <w:rFonts w:ascii="Times New Roman" w:hAnsi="Times New Roman" w:cs="Times New Roman"/>
          <w:b/>
          <w:bCs/>
          <w:i/>
          <w:iCs/>
        </w:rPr>
        <w:t>FEM</w:t>
      </w:r>
      <w:r>
        <w:rPr>
          <w:rFonts w:ascii="Times New Roman" w:hAnsi="Times New Roman" w:cs="Times New Roman"/>
          <w:b/>
          <w:bCs/>
          <w:i/>
          <w:iCs/>
        </w:rPr>
        <w:t>A and dist. to shore</w:t>
      </w:r>
      <w:r>
        <w:rPr>
          <w:rFonts w:ascii="Times New Roman" w:hAnsi="Times New Roman" w:cs="Times New Roman"/>
          <w:b/>
          <w:bCs/>
        </w:rPr>
        <w:t xml:space="preserve"> variable in logs</w:t>
      </w:r>
      <w:r w:rsidRPr="008E4020">
        <w:rPr>
          <w:rFonts w:ascii="Times New Roman" w:hAnsi="Times New Roman" w:cs="Times New Roman"/>
          <w:b/>
          <w:bCs/>
        </w:rPr>
        <w:t>. Dep. Var.: Ln(Price per square foot)</w:t>
      </w:r>
      <w:r>
        <w:rPr>
          <w:rFonts w:ascii="Times New Roman" w:hAnsi="Times New Roman" w:cs="Times New Roman"/>
          <w:b/>
          <w:bCs/>
        </w:rPr>
        <w:t>, Columns (1)-(3) are 2011-2013; Columns (4)-(6) are 2011-2014</w:t>
      </w:r>
    </w:p>
    <w:tbl>
      <w:tblPr>
        <w:tblW w:w="8980" w:type="dxa"/>
        <w:tblLook w:val="04A0" w:firstRow="1" w:lastRow="0" w:firstColumn="1" w:lastColumn="0" w:noHBand="0" w:noVBand="1"/>
      </w:tblPr>
      <w:tblGrid>
        <w:gridCol w:w="3220"/>
        <w:gridCol w:w="960"/>
        <w:gridCol w:w="960"/>
        <w:gridCol w:w="960"/>
        <w:gridCol w:w="960"/>
        <w:gridCol w:w="1049"/>
        <w:gridCol w:w="960"/>
      </w:tblGrid>
      <w:tr w:rsidR="00A20F65" w:rsidRPr="008027EE" w14:paraId="4FE9CD38" w14:textId="77777777" w:rsidTr="003E6D45">
        <w:trPr>
          <w:trHeight w:val="295"/>
        </w:trPr>
        <w:tc>
          <w:tcPr>
            <w:tcW w:w="3220" w:type="dxa"/>
            <w:tcBorders>
              <w:top w:val="single" w:sz="4" w:space="0" w:color="000000"/>
              <w:left w:val="nil"/>
              <w:bottom w:val="single" w:sz="4" w:space="0" w:color="000000"/>
              <w:right w:val="nil"/>
            </w:tcBorders>
            <w:shd w:val="clear" w:color="auto" w:fill="auto"/>
            <w:noWrap/>
            <w:vAlign w:val="bottom"/>
            <w:hideMark/>
          </w:tcPr>
          <w:p w14:paraId="49D4E2A4" w14:textId="77777777" w:rsidR="00A20F65" w:rsidRPr="008027EE" w:rsidRDefault="00A20F65" w:rsidP="003E6D45">
            <w:pPr>
              <w:spacing w:after="0" w:line="240" w:lineRule="auto"/>
              <w:rPr>
                <w:rFonts w:ascii="Calibri" w:eastAsia="Times New Roman" w:hAnsi="Calibri" w:cs="Calibri"/>
                <w:b/>
                <w:bCs/>
                <w:color w:val="000000"/>
              </w:rPr>
            </w:pPr>
          </w:p>
        </w:tc>
        <w:tc>
          <w:tcPr>
            <w:tcW w:w="960" w:type="dxa"/>
            <w:tcBorders>
              <w:top w:val="single" w:sz="4" w:space="0" w:color="000000"/>
              <w:left w:val="nil"/>
              <w:bottom w:val="single" w:sz="4" w:space="0" w:color="000000"/>
              <w:right w:val="nil"/>
            </w:tcBorders>
            <w:shd w:val="clear" w:color="auto" w:fill="auto"/>
            <w:noWrap/>
            <w:vAlign w:val="bottom"/>
            <w:hideMark/>
          </w:tcPr>
          <w:p w14:paraId="07078074" w14:textId="77777777" w:rsidR="00A20F65" w:rsidRPr="008027EE" w:rsidRDefault="00A20F65" w:rsidP="003E6D45">
            <w:pPr>
              <w:spacing w:after="0" w:line="240" w:lineRule="auto"/>
              <w:jc w:val="center"/>
              <w:rPr>
                <w:rFonts w:ascii="Calibri" w:eastAsia="Times New Roman" w:hAnsi="Calibri" w:cs="Calibri"/>
                <w:b/>
                <w:bCs/>
                <w:color w:val="000000"/>
              </w:rPr>
            </w:pPr>
            <w:r w:rsidRPr="008027EE">
              <w:rPr>
                <w:rFonts w:ascii="Calibri" w:eastAsia="Times New Roman" w:hAnsi="Calibri" w:cs="Calibri"/>
                <w:b/>
                <w:bCs/>
                <w:color w:val="000000"/>
              </w:rPr>
              <w:t>(1)</w:t>
            </w:r>
          </w:p>
        </w:tc>
        <w:tc>
          <w:tcPr>
            <w:tcW w:w="960" w:type="dxa"/>
            <w:tcBorders>
              <w:top w:val="single" w:sz="4" w:space="0" w:color="000000"/>
              <w:left w:val="nil"/>
              <w:bottom w:val="single" w:sz="4" w:space="0" w:color="000000"/>
              <w:right w:val="nil"/>
            </w:tcBorders>
            <w:shd w:val="clear" w:color="auto" w:fill="auto"/>
            <w:noWrap/>
            <w:vAlign w:val="bottom"/>
            <w:hideMark/>
          </w:tcPr>
          <w:p w14:paraId="45D79192" w14:textId="77777777" w:rsidR="00A20F65" w:rsidRPr="008027EE" w:rsidRDefault="00A20F65" w:rsidP="003E6D45">
            <w:pPr>
              <w:spacing w:after="0" w:line="240" w:lineRule="auto"/>
              <w:jc w:val="center"/>
              <w:rPr>
                <w:rFonts w:ascii="Calibri" w:eastAsia="Times New Roman" w:hAnsi="Calibri" w:cs="Calibri"/>
                <w:b/>
                <w:bCs/>
                <w:color w:val="000000"/>
              </w:rPr>
            </w:pPr>
            <w:r w:rsidRPr="008027EE">
              <w:rPr>
                <w:rFonts w:ascii="Calibri" w:eastAsia="Times New Roman" w:hAnsi="Calibri" w:cs="Calibri"/>
                <w:b/>
                <w:bCs/>
                <w:color w:val="000000"/>
              </w:rPr>
              <w:t>(2)</w:t>
            </w:r>
          </w:p>
        </w:tc>
        <w:tc>
          <w:tcPr>
            <w:tcW w:w="960" w:type="dxa"/>
            <w:tcBorders>
              <w:top w:val="single" w:sz="4" w:space="0" w:color="000000"/>
              <w:left w:val="nil"/>
              <w:bottom w:val="single" w:sz="4" w:space="0" w:color="000000"/>
              <w:right w:val="nil"/>
            </w:tcBorders>
            <w:shd w:val="clear" w:color="auto" w:fill="auto"/>
            <w:noWrap/>
            <w:vAlign w:val="bottom"/>
            <w:hideMark/>
          </w:tcPr>
          <w:p w14:paraId="79F8670D" w14:textId="77777777" w:rsidR="00A20F65" w:rsidRPr="008027EE" w:rsidRDefault="00A20F65" w:rsidP="003E6D45">
            <w:pPr>
              <w:spacing w:after="0" w:line="240" w:lineRule="auto"/>
              <w:jc w:val="center"/>
              <w:rPr>
                <w:rFonts w:ascii="Calibri" w:eastAsia="Times New Roman" w:hAnsi="Calibri" w:cs="Calibri"/>
                <w:b/>
                <w:bCs/>
                <w:color w:val="000000"/>
              </w:rPr>
            </w:pPr>
            <w:r w:rsidRPr="008027EE">
              <w:rPr>
                <w:rFonts w:ascii="Calibri" w:eastAsia="Times New Roman" w:hAnsi="Calibri" w:cs="Calibri"/>
                <w:b/>
                <w:bCs/>
                <w:color w:val="000000"/>
              </w:rPr>
              <w:t>(3)</w:t>
            </w:r>
          </w:p>
        </w:tc>
        <w:tc>
          <w:tcPr>
            <w:tcW w:w="960" w:type="dxa"/>
            <w:tcBorders>
              <w:top w:val="single" w:sz="4" w:space="0" w:color="000000"/>
              <w:left w:val="nil"/>
              <w:bottom w:val="single" w:sz="4" w:space="0" w:color="000000"/>
              <w:right w:val="nil"/>
            </w:tcBorders>
            <w:shd w:val="clear" w:color="auto" w:fill="auto"/>
            <w:noWrap/>
            <w:vAlign w:val="bottom"/>
            <w:hideMark/>
          </w:tcPr>
          <w:p w14:paraId="499655D5" w14:textId="77777777" w:rsidR="00A20F65" w:rsidRPr="008027EE" w:rsidRDefault="00A20F65" w:rsidP="003E6D45">
            <w:pPr>
              <w:spacing w:after="0" w:line="240" w:lineRule="auto"/>
              <w:jc w:val="center"/>
              <w:rPr>
                <w:rFonts w:ascii="Calibri" w:eastAsia="Times New Roman" w:hAnsi="Calibri" w:cs="Calibri"/>
                <w:b/>
                <w:bCs/>
                <w:color w:val="000000"/>
              </w:rPr>
            </w:pPr>
            <w:r w:rsidRPr="008027EE">
              <w:rPr>
                <w:rFonts w:ascii="Calibri" w:eastAsia="Times New Roman" w:hAnsi="Calibri" w:cs="Calibri"/>
                <w:b/>
                <w:bCs/>
                <w:color w:val="000000"/>
              </w:rPr>
              <w:t>(4)</w:t>
            </w:r>
          </w:p>
        </w:tc>
        <w:tc>
          <w:tcPr>
            <w:tcW w:w="960" w:type="dxa"/>
            <w:tcBorders>
              <w:top w:val="single" w:sz="4" w:space="0" w:color="000000"/>
              <w:left w:val="nil"/>
              <w:bottom w:val="single" w:sz="4" w:space="0" w:color="000000"/>
              <w:right w:val="nil"/>
            </w:tcBorders>
            <w:shd w:val="clear" w:color="auto" w:fill="auto"/>
            <w:noWrap/>
            <w:vAlign w:val="bottom"/>
            <w:hideMark/>
          </w:tcPr>
          <w:p w14:paraId="2767ACD0" w14:textId="77777777" w:rsidR="00A20F65" w:rsidRPr="008027EE" w:rsidRDefault="00A20F65" w:rsidP="003E6D45">
            <w:pPr>
              <w:spacing w:after="0" w:line="240" w:lineRule="auto"/>
              <w:jc w:val="center"/>
              <w:rPr>
                <w:rFonts w:ascii="Calibri" w:eastAsia="Times New Roman" w:hAnsi="Calibri" w:cs="Calibri"/>
                <w:b/>
                <w:bCs/>
                <w:color w:val="000000"/>
              </w:rPr>
            </w:pPr>
            <w:r w:rsidRPr="008027EE">
              <w:rPr>
                <w:rFonts w:ascii="Calibri" w:eastAsia="Times New Roman" w:hAnsi="Calibri" w:cs="Calibri"/>
                <w:b/>
                <w:bCs/>
                <w:color w:val="000000"/>
              </w:rPr>
              <w:t>(5)</w:t>
            </w:r>
          </w:p>
        </w:tc>
        <w:tc>
          <w:tcPr>
            <w:tcW w:w="960" w:type="dxa"/>
            <w:tcBorders>
              <w:top w:val="single" w:sz="4" w:space="0" w:color="000000"/>
              <w:left w:val="nil"/>
              <w:bottom w:val="single" w:sz="4" w:space="0" w:color="000000"/>
              <w:right w:val="nil"/>
            </w:tcBorders>
            <w:shd w:val="clear" w:color="auto" w:fill="auto"/>
            <w:noWrap/>
            <w:vAlign w:val="bottom"/>
            <w:hideMark/>
          </w:tcPr>
          <w:p w14:paraId="4F5D78A2" w14:textId="77777777" w:rsidR="00A20F65" w:rsidRPr="008027EE" w:rsidRDefault="00A20F65" w:rsidP="003E6D45">
            <w:pPr>
              <w:spacing w:after="0" w:line="240" w:lineRule="auto"/>
              <w:jc w:val="center"/>
              <w:rPr>
                <w:rFonts w:ascii="Calibri" w:eastAsia="Times New Roman" w:hAnsi="Calibri" w:cs="Calibri"/>
                <w:b/>
                <w:bCs/>
                <w:color w:val="000000"/>
              </w:rPr>
            </w:pPr>
            <w:r w:rsidRPr="008027EE">
              <w:rPr>
                <w:rFonts w:ascii="Calibri" w:eastAsia="Times New Roman" w:hAnsi="Calibri" w:cs="Calibri"/>
                <w:b/>
                <w:bCs/>
                <w:color w:val="000000"/>
              </w:rPr>
              <w:t>(6)</w:t>
            </w:r>
          </w:p>
        </w:tc>
      </w:tr>
      <w:tr w:rsidR="00A20F65" w:rsidRPr="008027EE" w14:paraId="1BD71838" w14:textId="77777777" w:rsidTr="003E6D45">
        <w:trPr>
          <w:trHeight w:val="295"/>
        </w:trPr>
        <w:tc>
          <w:tcPr>
            <w:tcW w:w="3220" w:type="dxa"/>
            <w:tcBorders>
              <w:top w:val="nil"/>
              <w:left w:val="nil"/>
              <w:bottom w:val="nil"/>
              <w:right w:val="nil"/>
            </w:tcBorders>
            <w:shd w:val="clear" w:color="D9D9D9" w:fill="D9D9D9"/>
            <w:noWrap/>
            <w:vAlign w:val="bottom"/>
            <w:hideMark/>
          </w:tcPr>
          <w:p w14:paraId="5772CC89" w14:textId="77777777" w:rsidR="00A20F65" w:rsidRPr="008027EE" w:rsidRDefault="00A20F65" w:rsidP="003E6D45">
            <w:pPr>
              <w:spacing w:after="0" w:line="240" w:lineRule="auto"/>
              <w:rPr>
                <w:rFonts w:ascii="Calibri" w:eastAsia="Times New Roman" w:hAnsi="Calibri" w:cs="Calibri"/>
                <w:color w:val="000000"/>
              </w:rPr>
            </w:pPr>
            <w:r w:rsidRPr="008027EE">
              <w:rPr>
                <w:rFonts w:ascii="Calibri" w:eastAsia="Times New Roman" w:hAnsi="Calibri" w:cs="Calibri"/>
                <w:color w:val="000000"/>
              </w:rPr>
              <w:t xml:space="preserve">ln(Dist. Sandy) x </w:t>
            </w:r>
            <w:proofErr w:type="spellStart"/>
            <w:r w:rsidRPr="008027EE">
              <w:rPr>
                <w:rFonts w:ascii="Calibri" w:eastAsia="Times New Roman" w:hAnsi="Calibri" w:cs="Calibri"/>
                <w:color w:val="000000"/>
              </w:rPr>
              <w:t>PostSandy</w:t>
            </w:r>
            <w:proofErr w:type="spellEnd"/>
          </w:p>
        </w:tc>
        <w:tc>
          <w:tcPr>
            <w:tcW w:w="960" w:type="dxa"/>
            <w:tcBorders>
              <w:top w:val="nil"/>
              <w:left w:val="nil"/>
              <w:bottom w:val="nil"/>
              <w:right w:val="nil"/>
            </w:tcBorders>
            <w:shd w:val="clear" w:color="D9D9D9" w:fill="D9D9D9"/>
            <w:noWrap/>
            <w:vAlign w:val="bottom"/>
            <w:hideMark/>
          </w:tcPr>
          <w:p w14:paraId="6A1D92E3"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0.00925</w:t>
            </w:r>
          </w:p>
        </w:tc>
        <w:tc>
          <w:tcPr>
            <w:tcW w:w="960" w:type="dxa"/>
            <w:tcBorders>
              <w:top w:val="nil"/>
              <w:left w:val="nil"/>
              <w:bottom w:val="nil"/>
              <w:right w:val="nil"/>
            </w:tcBorders>
            <w:shd w:val="clear" w:color="D9D9D9" w:fill="D9D9D9"/>
            <w:noWrap/>
            <w:vAlign w:val="bottom"/>
            <w:hideMark/>
          </w:tcPr>
          <w:p w14:paraId="0B98F69E"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0.00895</w:t>
            </w:r>
          </w:p>
        </w:tc>
        <w:tc>
          <w:tcPr>
            <w:tcW w:w="960" w:type="dxa"/>
            <w:tcBorders>
              <w:top w:val="single" w:sz="4" w:space="0" w:color="000000"/>
              <w:left w:val="nil"/>
              <w:bottom w:val="nil"/>
              <w:right w:val="single" w:sz="4" w:space="0" w:color="auto"/>
            </w:tcBorders>
            <w:shd w:val="clear" w:color="D9D9D9" w:fill="D9D9D9"/>
            <w:noWrap/>
            <w:vAlign w:val="bottom"/>
            <w:hideMark/>
          </w:tcPr>
          <w:p w14:paraId="0639D14F"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0.00534</w:t>
            </w:r>
          </w:p>
        </w:tc>
        <w:tc>
          <w:tcPr>
            <w:tcW w:w="960" w:type="dxa"/>
            <w:tcBorders>
              <w:top w:val="nil"/>
              <w:left w:val="single" w:sz="4" w:space="0" w:color="auto"/>
              <w:bottom w:val="nil"/>
              <w:right w:val="nil"/>
            </w:tcBorders>
            <w:shd w:val="clear" w:color="D9D9D9" w:fill="D9D9D9"/>
            <w:noWrap/>
            <w:vAlign w:val="bottom"/>
            <w:hideMark/>
          </w:tcPr>
          <w:p w14:paraId="731F893B" w14:textId="77777777" w:rsidR="00A20F65" w:rsidRPr="008027EE" w:rsidRDefault="00A20F65" w:rsidP="003E6D45">
            <w:pPr>
              <w:spacing w:after="0" w:line="240" w:lineRule="auto"/>
              <w:rPr>
                <w:rFonts w:ascii="Calibri" w:eastAsia="Times New Roman" w:hAnsi="Calibri" w:cs="Calibri"/>
                <w:color w:val="000000"/>
              </w:rPr>
            </w:pPr>
            <w:r w:rsidRPr="008027EE">
              <w:rPr>
                <w:rFonts w:ascii="Calibri" w:eastAsia="Times New Roman" w:hAnsi="Calibri" w:cs="Calibri"/>
                <w:color w:val="000000"/>
              </w:rPr>
              <w:t>0.0205*</w:t>
            </w:r>
          </w:p>
        </w:tc>
        <w:tc>
          <w:tcPr>
            <w:tcW w:w="960" w:type="dxa"/>
            <w:tcBorders>
              <w:top w:val="nil"/>
              <w:left w:val="nil"/>
              <w:bottom w:val="nil"/>
              <w:right w:val="nil"/>
            </w:tcBorders>
            <w:shd w:val="clear" w:color="D9D9D9" w:fill="D9D9D9"/>
            <w:noWrap/>
            <w:vAlign w:val="bottom"/>
            <w:hideMark/>
          </w:tcPr>
          <w:p w14:paraId="1BE08BDB" w14:textId="77777777" w:rsidR="00A20F65" w:rsidRPr="008027EE" w:rsidRDefault="00A20F65" w:rsidP="003E6D45">
            <w:pPr>
              <w:spacing w:after="0" w:line="240" w:lineRule="auto"/>
              <w:rPr>
                <w:rFonts w:ascii="Calibri" w:eastAsia="Times New Roman" w:hAnsi="Calibri" w:cs="Calibri"/>
                <w:color w:val="000000"/>
              </w:rPr>
            </w:pPr>
            <w:r w:rsidRPr="008027EE">
              <w:rPr>
                <w:rFonts w:ascii="Calibri" w:eastAsia="Times New Roman" w:hAnsi="Calibri" w:cs="Calibri"/>
                <w:color w:val="000000"/>
              </w:rPr>
              <w:t>0.0188**</w:t>
            </w:r>
          </w:p>
        </w:tc>
        <w:tc>
          <w:tcPr>
            <w:tcW w:w="960" w:type="dxa"/>
            <w:tcBorders>
              <w:top w:val="nil"/>
              <w:left w:val="nil"/>
              <w:bottom w:val="nil"/>
              <w:right w:val="nil"/>
            </w:tcBorders>
            <w:shd w:val="clear" w:color="D9D9D9" w:fill="D9D9D9"/>
            <w:noWrap/>
            <w:vAlign w:val="bottom"/>
            <w:hideMark/>
          </w:tcPr>
          <w:p w14:paraId="106207EF" w14:textId="77777777" w:rsidR="00A20F65" w:rsidRPr="008027EE" w:rsidRDefault="00A20F65" w:rsidP="003E6D45">
            <w:pPr>
              <w:spacing w:after="0" w:line="240" w:lineRule="auto"/>
              <w:rPr>
                <w:rFonts w:ascii="Calibri" w:eastAsia="Times New Roman" w:hAnsi="Calibri" w:cs="Calibri"/>
                <w:color w:val="000000"/>
              </w:rPr>
            </w:pPr>
            <w:r w:rsidRPr="008027EE">
              <w:rPr>
                <w:rFonts w:ascii="Calibri" w:eastAsia="Times New Roman" w:hAnsi="Calibri" w:cs="Calibri"/>
                <w:color w:val="000000"/>
              </w:rPr>
              <w:t>0.0125*</w:t>
            </w:r>
          </w:p>
        </w:tc>
      </w:tr>
      <w:tr w:rsidR="00A20F65" w:rsidRPr="008027EE" w14:paraId="5D282DCA" w14:textId="77777777" w:rsidTr="003E6D45">
        <w:trPr>
          <w:trHeight w:val="295"/>
        </w:trPr>
        <w:tc>
          <w:tcPr>
            <w:tcW w:w="3220" w:type="dxa"/>
            <w:tcBorders>
              <w:top w:val="nil"/>
              <w:left w:val="nil"/>
              <w:bottom w:val="single" w:sz="4" w:space="0" w:color="auto"/>
              <w:right w:val="nil"/>
            </w:tcBorders>
            <w:shd w:val="clear" w:color="auto" w:fill="auto"/>
            <w:noWrap/>
            <w:vAlign w:val="bottom"/>
            <w:hideMark/>
          </w:tcPr>
          <w:p w14:paraId="25C8DF42" w14:textId="77777777" w:rsidR="00A20F65" w:rsidRPr="008027EE" w:rsidRDefault="00A20F65" w:rsidP="003E6D45">
            <w:pPr>
              <w:spacing w:after="0" w:line="240" w:lineRule="auto"/>
              <w:rPr>
                <w:rFonts w:ascii="Calibri" w:eastAsia="Times New Roman" w:hAnsi="Calibri" w:cs="Calibri"/>
                <w:color w:val="000000"/>
              </w:rPr>
            </w:pPr>
            <w:r w:rsidRPr="008027EE">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2629A252"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(1.89)</w:t>
            </w:r>
          </w:p>
        </w:tc>
        <w:tc>
          <w:tcPr>
            <w:tcW w:w="960" w:type="dxa"/>
            <w:tcBorders>
              <w:top w:val="nil"/>
              <w:left w:val="nil"/>
              <w:bottom w:val="single" w:sz="4" w:space="0" w:color="auto"/>
              <w:right w:val="nil"/>
            </w:tcBorders>
            <w:shd w:val="clear" w:color="auto" w:fill="auto"/>
            <w:noWrap/>
            <w:vAlign w:val="bottom"/>
            <w:hideMark/>
          </w:tcPr>
          <w:p w14:paraId="2644F83C"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(1.79)</w:t>
            </w:r>
          </w:p>
        </w:tc>
        <w:tc>
          <w:tcPr>
            <w:tcW w:w="960" w:type="dxa"/>
            <w:tcBorders>
              <w:top w:val="nil"/>
              <w:left w:val="nil"/>
              <w:bottom w:val="single" w:sz="4" w:space="0" w:color="auto"/>
              <w:right w:val="single" w:sz="4" w:space="0" w:color="auto"/>
            </w:tcBorders>
            <w:shd w:val="clear" w:color="auto" w:fill="auto"/>
            <w:noWrap/>
            <w:vAlign w:val="bottom"/>
            <w:hideMark/>
          </w:tcPr>
          <w:p w14:paraId="3EF3E479"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(1.37)</w:t>
            </w:r>
          </w:p>
        </w:tc>
        <w:tc>
          <w:tcPr>
            <w:tcW w:w="960" w:type="dxa"/>
            <w:tcBorders>
              <w:top w:val="nil"/>
              <w:left w:val="single" w:sz="4" w:space="0" w:color="auto"/>
              <w:bottom w:val="single" w:sz="4" w:space="0" w:color="auto"/>
              <w:right w:val="nil"/>
            </w:tcBorders>
            <w:shd w:val="clear" w:color="auto" w:fill="auto"/>
            <w:noWrap/>
            <w:vAlign w:val="bottom"/>
            <w:hideMark/>
          </w:tcPr>
          <w:p w14:paraId="2D90C528"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(2.66)</w:t>
            </w:r>
          </w:p>
        </w:tc>
        <w:tc>
          <w:tcPr>
            <w:tcW w:w="960" w:type="dxa"/>
            <w:tcBorders>
              <w:top w:val="nil"/>
              <w:left w:val="nil"/>
              <w:bottom w:val="single" w:sz="4" w:space="0" w:color="auto"/>
              <w:right w:val="nil"/>
            </w:tcBorders>
            <w:shd w:val="clear" w:color="auto" w:fill="auto"/>
            <w:noWrap/>
            <w:vAlign w:val="bottom"/>
            <w:hideMark/>
          </w:tcPr>
          <w:p w14:paraId="25E86926"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(3.06)</w:t>
            </w:r>
          </w:p>
        </w:tc>
        <w:tc>
          <w:tcPr>
            <w:tcW w:w="960" w:type="dxa"/>
            <w:tcBorders>
              <w:top w:val="nil"/>
              <w:left w:val="nil"/>
              <w:bottom w:val="single" w:sz="4" w:space="0" w:color="auto"/>
              <w:right w:val="nil"/>
            </w:tcBorders>
            <w:shd w:val="clear" w:color="auto" w:fill="auto"/>
            <w:noWrap/>
            <w:vAlign w:val="bottom"/>
            <w:hideMark/>
          </w:tcPr>
          <w:p w14:paraId="60169392"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(2.77)</w:t>
            </w:r>
          </w:p>
        </w:tc>
      </w:tr>
      <w:tr w:rsidR="00A20F65" w:rsidRPr="008027EE" w14:paraId="08C9A4C9" w14:textId="77777777" w:rsidTr="003E6D45">
        <w:trPr>
          <w:trHeight w:val="295"/>
        </w:trPr>
        <w:tc>
          <w:tcPr>
            <w:tcW w:w="3220" w:type="dxa"/>
            <w:tcBorders>
              <w:top w:val="nil"/>
              <w:left w:val="nil"/>
              <w:bottom w:val="nil"/>
              <w:right w:val="nil"/>
            </w:tcBorders>
            <w:shd w:val="clear" w:color="D9D9D9" w:fill="D9D9D9"/>
            <w:noWrap/>
            <w:vAlign w:val="bottom"/>
            <w:hideMark/>
          </w:tcPr>
          <w:p w14:paraId="697191D8" w14:textId="77777777" w:rsidR="00A20F65" w:rsidRPr="008027EE" w:rsidRDefault="00A20F65" w:rsidP="003E6D45">
            <w:pPr>
              <w:spacing w:after="0" w:line="240" w:lineRule="auto"/>
              <w:rPr>
                <w:rFonts w:ascii="Calibri" w:eastAsia="Times New Roman" w:hAnsi="Calibri" w:cs="Calibri"/>
                <w:color w:val="000000"/>
              </w:rPr>
            </w:pPr>
            <w:r w:rsidRPr="008027EE">
              <w:rPr>
                <w:rFonts w:ascii="Calibri" w:eastAsia="Times New Roman" w:hAnsi="Calibri" w:cs="Calibri"/>
                <w:color w:val="000000"/>
              </w:rPr>
              <w:t>N</w:t>
            </w:r>
          </w:p>
        </w:tc>
        <w:tc>
          <w:tcPr>
            <w:tcW w:w="960" w:type="dxa"/>
            <w:tcBorders>
              <w:top w:val="nil"/>
              <w:left w:val="nil"/>
              <w:bottom w:val="nil"/>
              <w:right w:val="nil"/>
            </w:tcBorders>
            <w:shd w:val="clear" w:color="D9D9D9" w:fill="D9D9D9"/>
            <w:noWrap/>
            <w:vAlign w:val="bottom"/>
            <w:hideMark/>
          </w:tcPr>
          <w:p w14:paraId="44F50826"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23223</w:t>
            </w:r>
          </w:p>
        </w:tc>
        <w:tc>
          <w:tcPr>
            <w:tcW w:w="960" w:type="dxa"/>
            <w:tcBorders>
              <w:top w:val="nil"/>
              <w:left w:val="nil"/>
              <w:bottom w:val="nil"/>
              <w:right w:val="nil"/>
            </w:tcBorders>
            <w:shd w:val="clear" w:color="D9D9D9" w:fill="D9D9D9"/>
            <w:noWrap/>
            <w:vAlign w:val="bottom"/>
            <w:hideMark/>
          </w:tcPr>
          <w:p w14:paraId="07467D3D"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23135</w:t>
            </w:r>
          </w:p>
        </w:tc>
        <w:tc>
          <w:tcPr>
            <w:tcW w:w="960" w:type="dxa"/>
            <w:tcBorders>
              <w:top w:val="nil"/>
              <w:left w:val="nil"/>
              <w:bottom w:val="nil"/>
              <w:right w:val="single" w:sz="4" w:space="0" w:color="auto"/>
            </w:tcBorders>
            <w:shd w:val="clear" w:color="D9D9D9" w:fill="D9D9D9"/>
            <w:noWrap/>
            <w:vAlign w:val="bottom"/>
            <w:hideMark/>
          </w:tcPr>
          <w:p w14:paraId="363F420F"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23135</w:t>
            </w:r>
          </w:p>
        </w:tc>
        <w:tc>
          <w:tcPr>
            <w:tcW w:w="960" w:type="dxa"/>
            <w:tcBorders>
              <w:top w:val="nil"/>
              <w:left w:val="single" w:sz="4" w:space="0" w:color="auto"/>
              <w:bottom w:val="nil"/>
              <w:right w:val="nil"/>
            </w:tcBorders>
            <w:shd w:val="clear" w:color="D9D9D9" w:fill="D9D9D9"/>
            <w:noWrap/>
            <w:vAlign w:val="bottom"/>
            <w:hideMark/>
          </w:tcPr>
          <w:p w14:paraId="33D61C6E"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31982</w:t>
            </w:r>
          </w:p>
        </w:tc>
        <w:tc>
          <w:tcPr>
            <w:tcW w:w="960" w:type="dxa"/>
            <w:tcBorders>
              <w:top w:val="nil"/>
              <w:left w:val="nil"/>
              <w:bottom w:val="nil"/>
              <w:right w:val="nil"/>
            </w:tcBorders>
            <w:shd w:val="clear" w:color="D9D9D9" w:fill="D9D9D9"/>
            <w:noWrap/>
            <w:vAlign w:val="bottom"/>
            <w:hideMark/>
          </w:tcPr>
          <w:p w14:paraId="380D7FC7"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31833</w:t>
            </w:r>
          </w:p>
        </w:tc>
        <w:tc>
          <w:tcPr>
            <w:tcW w:w="960" w:type="dxa"/>
            <w:tcBorders>
              <w:top w:val="nil"/>
              <w:left w:val="nil"/>
              <w:bottom w:val="nil"/>
              <w:right w:val="nil"/>
            </w:tcBorders>
            <w:shd w:val="clear" w:color="D9D9D9" w:fill="D9D9D9"/>
            <w:noWrap/>
            <w:vAlign w:val="bottom"/>
            <w:hideMark/>
          </w:tcPr>
          <w:p w14:paraId="78EBCAA2"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29883</w:t>
            </w:r>
          </w:p>
        </w:tc>
      </w:tr>
      <w:tr w:rsidR="00A20F65" w:rsidRPr="008027EE" w14:paraId="4373CCEA" w14:textId="77777777" w:rsidTr="003E6D45">
        <w:trPr>
          <w:trHeight w:val="295"/>
        </w:trPr>
        <w:tc>
          <w:tcPr>
            <w:tcW w:w="3220" w:type="dxa"/>
            <w:tcBorders>
              <w:top w:val="nil"/>
              <w:left w:val="nil"/>
              <w:bottom w:val="nil"/>
              <w:right w:val="nil"/>
            </w:tcBorders>
            <w:shd w:val="clear" w:color="auto" w:fill="auto"/>
            <w:noWrap/>
            <w:vAlign w:val="bottom"/>
            <w:hideMark/>
          </w:tcPr>
          <w:p w14:paraId="3AC37748" w14:textId="77777777" w:rsidR="00A20F65" w:rsidRPr="008027EE" w:rsidRDefault="00A20F65" w:rsidP="003E6D45">
            <w:pPr>
              <w:spacing w:after="0" w:line="240" w:lineRule="auto"/>
              <w:rPr>
                <w:rFonts w:ascii="Calibri" w:eastAsia="Times New Roman" w:hAnsi="Calibri" w:cs="Calibri"/>
                <w:color w:val="000000"/>
              </w:rPr>
            </w:pPr>
            <w:r w:rsidRPr="008027EE">
              <w:rPr>
                <w:rFonts w:ascii="Calibri" w:eastAsia="Times New Roman" w:hAnsi="Calibri" w:cs="Calibri"/>
                <w:color w:val="000000"/>
              </w:rPr>
              <w:t>R-sq</w:t>
            </w:r>
          </w:p>
        </w:tc>
        <w:tc>
          <w:tcPr>
            <w:tcW w:w="960" w:type="dxa"/>
            <w:tcBorders>
              <w:top w:val="nil"/>
              <w:left w:val="nil"/>
              <w:bottom w:val="nil"/>
              <w:right w:val="nil"/>
            </w:tcBorders>
            <w:shd w:val="clear" w:color="auto" w:fill="auto"/>
            <w:noWrap/>
            <w:vAlign w:val="bottom"/>
            <w:hideMark/>
          </w:tcPr>
          <w:p w14:paraId="77C3CAD6"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0.457</w:t>
            </w:r>
          </w:p>
        </w:tc>
        <w:tc>
          <w:tcPr>
            <w:tcW w:w="960" w:type="dxa"/>
            <w:tcBorders>
              <w:top w:val="nil"/>
              <w:left w:val="nil"/>
              <w:bottom w:val="nil"/>
              <w:right w:val="nil"/>
            </w:tcBorders>
            <w:shd w:val="clear" w:color="auto" w:fill="auto"/>
            <w:noWrap/>
            <w:vAlign w:val="bottom"/>
            <w:hideMark/>
          </w:tcPr>
          <w:p w14:paraId="2D497119"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0.546</w:t>
            </w:r>
          </w:p>
        </w:tc>
        <w:tc>
          <w:tcPr>
            <w:tcW w:w="960" w:type="dxa"/>
            <w:tcBorders>
              <w:top w:val="nil"/>
              <w:left w:val="nil"/>
              <w:bottom w:val="nil"/>
              <w:right w:val="single" w:sz="4" w:space="0" w:color="auto"/>
            </w:tcBorders>
            <w:shd w:val="clear" w:color="auto" w:fill="auto"/>
            <w:noWrap/>
            <w:vAlign w:val="bottom"/>
            <w:hideMark/>
          </w:tcPr>
          <w:p w14:paraId="7584A193"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0.568</w:t>
            </w:r>
          </w:p>
        </w:tc>
        <w:tc>
          <w:tcPr>
            <w:tcW w:w="960" w:type="dxa"/>
            <w:tcBorders>
              <w:top w:val="nil"/>
              <w:left w:val="single" w:sz="4" w:space="0" w:color="auto"/>
              <w:bottom w:val="nil"/>
              <w:right w:val="nil"/>
            </w:tcBorders>
            <w:shd w:val="clear" w:color="auto" w:fill="auto"/>
            <w:noWrap/>
            <w:vAlign w:val="bottom"/>
            <w:hideMark/>
          </w:tcPr>
          <w:p w14:paraId="7C3767E7"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0.445</w:t>
            </w:r>
          </w:p>
        </w:tc>
        <w:tc>
          <w:tcPr>
            <w:tcW w:w="960" w:type="dxa"/>
            <w:tcBorders>
              <w:top w:val="nil"/>
              <w:left w:val="nil"/>
              <w:bottom w:val="nil"/>
              <w:right w:val="nil"/>
            </w:tcBorders>
            <w:shd w:val="clear" w:color="auto" w:fill="auto"/>
            <w:noWrap/>
            <w:vAlign w:val="bottom"/>
            <w:hideMark/>
          </w:tcPr>
          <w:p w14:paraId="749A1182"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0.532</w:t>
            </w:r>
          </w:p>
        </w:tc>
        <w:tc>
          <w:tcPr>
            <w:tcW w:w="960" w:type="dxa"/>
            <w:tcBorders>
              <w:top w:val="nil"/>
              <w:left w:val="nil"/>
              <w:bottom w:val="nil"/>
              <w:right w:val="nil"/>
            </w:tcBorders>
            <w:shd w:val="clear" w:color="auto" w:fill="auto"/>
            <w:noWrap/>
            <w:vAlign w:val="bottom"/>
            <w:hideMark/>
          </w:tcPr>
          <w:p w14:paraId="559EAD86"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0.556</w:t>
            </w:r>
          </w:p>
        </w:tc>
      </w:tr>
      <w:tr w:rsidR="00A20F65" w:rsidRPr="008027EE" w14:paraId="5C911883" w14:textId="77777777" w:rsidTr="003E6D45">
        <w:trPr>
          <w:trHeight w:val="295"/>
        </w:trPr>
        <w:tc>
          <w:tcPr>
            <w:tcW w:w="3220" w:type="dxa"/>
            <w:tcBorders>
              <w:top w:val="nil"/>
              <w:left w:val="nil"/>
              <w:bottom w:val="nil"/>
              <w:right w:val="nil"/>
            </w:tcBorders>
            <w:shd w:val="clear" w:color="D9D9D9" w:fill="D9D9D9"/>
            <w:noWrap/>
            <w:vAlign w:val="bottom"/>
            <w:hideMark/>
          </w:tcPr>
          <w:p w14:paraId="4C8901AD" w14:textId="77777777" w:rsidR="00A20F65" w:rsidRPr="008027EE" w:rsidRDefault="00A20F65" w:rsidP="003E6D45">
            <w:pPr>
              <w:spacing w:after="0" w:line="240" w:lineRule="auto"/>
              <w:rPr>
                <w:rFonts w:ascii="Calibri" w:eastAsia="Times New Roman" w:hAnsi="Calibri" w:cs="Calibri"/>
                <w:color w:val="000000"/>
              </w:rPr>
            </w:pPr>
            <w:r w:rsidRPr="008027EE">
              <w:rPr>
                <w:rFonts w:ascii="Calibri" w:eastAsia="Times New Roman" w:hAnsi="Calibri" w:cs="Calibri"/>
                <w:color w:val="000000"/>
              </w:rPr>
              <w:t>adj. R-sq</w:t>
            </w:r>
          </w:p>
        </w:tc>
        <w:tc>
          <w:tcPr>
            <w:tcW w:w="960" w:type="dxa"/>
            <w:tcBorders>
              <w:top w:val="nil"/>
              <w:left w:val="nil"/>
              <w:bottom w:val="nil"/>
              <w:right w:val="nil"/>
            </w:tcBorders>
            <w:shd w:val="clear" w:color="D9D9D9" w:fill="D9D9D9"/>
            <w:noWrap/>
            <w:vAlign w:val="bottom"/>
            <w:hideMark/>
          </w:tcPr>
          <w:p w14:paraId="3F122D6E"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0.423</w:t>
            </w:r>
          </w:p>
        </w:tc>
        <w:tc>
          <w:tcPr>
            <w:tcW w:w="960" w:type="dxa"/>
            <w:tcBorders>
              <w:top w:val="nil"/>
              <w:left w:val="nil"/>
              <w:bottom w:val="nil"/>
              <w:right w:val="nil"/>
            </w:tcBorders>
            <w:shd w:val="clear" w:color="D9D9D9" w:fill="D9D9D9"/>
            <w:noWrap/>
            <w:vAlign w:val="bottom"/>
            <w:hideMark/>
          </w:tcPr>
          <w:p w14:paraId="376597CC"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0.518</w:t>
            </w:r>
          </w:p>
        </w:tc>
        <w:tc>
          <w:tcPr>
            <w:tcW w:w="960" w:type="dxa"/>
            <w:tcBorders>
              <w:top w:val="nil"/>
              <w:left w:val="nil"/>
              <w:bottom w:val="nil"/>
              <w:right w:val="single" w:sz="4" w:space="0" w:color="auto"/>
            </w:tcBorders>
            <w:shd w:val="clear" w:color="D9D9D9" w:fill="D9D9D9"/>
            <w:noWrap/>
            <w:vAlign w:val="bottom"/>
            <w:hideMark/>
          </w:tcPr>
          <w:p w14:paraId="4F7D47D9"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0.54</w:t>
            </w:r>
          </w:p>
        </w:tc>
        <w:tc>
          <w:tcPr>
            <w:tcW w:w="960" w:type="dxa"/>
            <w:tcBorders>
              <w:top w:val="nil"/>
              <w:left w:val="single" w:sz="4" w:space="0" w:color="auto"/>
              <w:bottom w:val="nil"/>
              <w:right w:val="nil"/>
            </w:tcBorders>
            <w:shd w:val="clear" w:color="D9D9D9" w:fill="D9D9D9"/>
            <w:noWrap/>
            <w:vAlign w:val="bottom"/>
            <w:hideMark/>
          </w:tcPr>
          <w:p w14:paraId="143A2866"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0.42</w:t>
            </w:r>
          </w:p>
        </w:tc>
        <w:tc>
          <w:tcPr>
            <w:tcW w:w="960" w:type="dxa"/>
            <w:tcBorders>
              <w:top w:val="nil"/>
              <w:left w:val="nil"/>
              <w:bottom w:val="nil"/>
              <w:right w:val="nil"/>
            </w:tcBorders>
            <w:shd w:val="clear" w:color="D9D9D9" w:fill="D9D9D9"/>
            <w:noWrap/>
            <w:vAlign w:val="bottom"/>
            <w:hideMark/>
          </w:tcPr>
          <w:p w14:paraId="162C9F5C"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0.511</w:t>
            </w:r>
          </w:p>
        </w:tc>
        <w:tc>
          <w:tcPr>
            <w:tcW w:w="960" w:type="dxa"/>
            <w:tcBorders>
              <w:top w:val="nil"/>
              <w:left w:val="nil"/>
              <w:bottom w:val="nil"/>
              <w:right w:val="nil"/>
            </w:tcBorders>
            <w:shd w:val="clear" w:color="D9D9D9" w:fill="D9D9D9"/>
            <w:noWrap/>
            <w:vAlign w:val="bottom"/>
            <w:hideMark/>
          </w:tcPr>
          <w:p w14:paraId="48EA38C7"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0.534</w:t>
            </w:r>
          </w:p>
        </w:tc>
      </w:tr>
      <w:tr w:rsidR="00A20F65" w:rsidRPr="008027EE" w14:paraId="749346C2" w14:textId="77777777" w:rsidTr="003E6D45">
        <w:trPr>
          <w:trHeight w:val="295"/>
        </w:trPr>
        <w:tc>
          <w:tcPr>
            <w:tcW w:w="3220" w:type="dxa"/>
            <w:tcBorders>
              <w:top w:val="nil"/>
              <w:left w:val="nil"/>
              <w:bottom w:val="nil"/>
              <w:right w:val="nil"/>
            </w:tcBorders>
            <w:shd w:val="clear" w:color="auto" w:fill="auto"/>
            <w:noWrap/>
            <w:vAlign w:val="bottom"/>
            <w:hideMark/>
          </w:tcPr>
          <w:p w14:paraId="45663AD9" w14:textId="77777777" w:rsidR="00A20F65" w:rsidRPr="008027EE" w:rsidRDefault="00A20F65" w:rsidP="003E6D45">
            <w:pPr>
              <w:spacing w:after="0" w:line="240" w:lineRule="auto"/>
              <w:rPr>
                <w:rFonts w:ascii="Calibri" w:eastAsia="Times New Roman" w:hAnsi="Calibri" w:cs="Calibri"/>
                <w:color w:val="000000"/>
              </w:rPr>
            </w:pPr>
            <w:r w:rsidRPr="008027EE">
              <w:rPr>
                <w:rFonts w:ascii="Calibri" w:eastAsia="Times New Roman" w:hAnsi="Calibri" w:cs="Calibri"/>
                <w:color w:val="000000"/>
              </w:rPr>
              <w:t>AIC</w:t>
            </w:r>
          </w:p>
        </w:tc>
        <w:tc>
          <w:tcPr>
            <w:tcW w:w="960" w:type="dxa"/>
            <w:tcBorders>
              <w:top w:val="nil"/>
              <w:left w:val="nil"/>
              <w:bottom w:val="nil"/>
              <w:right w:val="nil"/>
            </w:tcBorders>
            <w:shd w:val="clear" w:color="auto" w:fill="auto"/>
            <w:noWrap/>
            <w:vAlign w:val="bottom"/>
            <w:hideMark/>
          </w:tcPr>
          <w:p w14:paraId="7DEC67D3"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22351.7</w:t>
            </w:r>
          </w:p>
        </w:tc>
        <w:tc>
          <w:tcPr>
            <w:tcW w:w="960" w:type="dxa"/>
            <w:tcBorders>
              <w:top w:val="nil"/>
              <w:left w:val="nil"/>
              <w:bottom w:val="nil"/>
              <w:right w:val="nil"/>
            </w:tcBorders>
            <w:shd w:val="clear" w:color="auto" w:fill="auto"/>
            <w:noWrap/>
            <w:vAlign w:val="bottom"/>
            <w:hideMark/>
          </w:tcPr>
          <w:p w14:paraId="7158176A"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18149.9</w:t>
            </w:r>
          </w:p>
        </w:tc>
        <w:tc>
          <w:tcPr>
            <w:tcW w:w="960" w:type="dxa"/>
            <w:tcBorders>
              <w:top w:val="nil"/>
              <w:left w:val="nil"/>
              <w:bottom w:val="nil"/>
              <w:right w:val="single" w:sz="4" w:space="0" w:color="auto"/>
            </w:tcBorders>
            <w:shd w:val="clear" w:color="auto" w:fill="auto"/>
            <w:noWrap/>
            <w:vAlign w:val="bottom"/>
            <w:hideMark/>
          </w:tcPr>
          <w:p w14:paraId="5B8730D2"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17032.3</w:t>
            </w:r>
          </w:p>
        </w:tc>
        <w:tc>
          <w:tcPr>
            <w:tcW w:w="960" w:type="dxa"/>
            <w:tcBorders>
              <w:top w:val="nil"/>
              <w:left w:val="single" w:sz="4" w:space="0" w:color="auto"/>
              <w:bottom w:val="nil"/>
              <w:right w:val="nil"/>
            </w:tcBorders>
            <w:shd w:val="clear" w:color="auto" w:fill="auto"/>
            <w:noWrap/>
            <w:vAlign w:val="bottom"/>
            <w:hideMark/>
          </w:tcPr>
          <w:p w14:paraId="6C68D71B"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31242.6</w:t>
            </w:r>
          </w:p>
        </w:tc>
        <w:tc>
          <w:tcPr>
            <w:tcW w:w="960" w:type="dxa"/>
            <w:tcBorders>
              <w:top w:val="nil"/>
              <w:left w:val="nil"/>
              <w:bottom w:val="nil"/>
              <w:right w:val="nil"/>
            </w:tcBorders>
            <w:shd w:val="clear" w:color="auto" w:fill="auto"/>
            <w:noWrap/>
            <w:vAlign w:val="bottom"/>
            <w:hideMark/>
          </w:tcPr>
          <w:p w14:paraId="0D111974"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25724.3</w:t>
            </w:r>
          </w:p>
        </w:tc>
        <w:tc>
          <w:tcPr>
            <w:tcW w:w="960" w:type="dxa"/>
            <w:tcBorders>
              <w:top w:val="nil"/>
              <w:left w:val="nil"/>
              <w:bottom w:val="nil"/>
              <w:right w:val="nil"/>
            </w:tcBorders>
            <w:shd w:val="clear" w:color="auto" w:fill="auto"/>
            <w:noWrap/>
            <w:vAlign w:val="bottom"/>
            <w:hideMark/>
          </w:tcPr>
          <w:p w14:paraId="640A2751"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22624.4</w:t>
            </w:r>
          </w:p>
        </w:tc>
      </w:tr>
      <w:tr w:rsidR="00A20F65" w:rsidRPr="008027EE" w14:paraId="5AFA8F0F" w14:textId="77777777" w:rsidTr="003E6D45">
        <w:trPr>
          <w:trHeight w:val="295"/>
        </w:trPr>
        <w:tc>
          <w:tcPr>
            <w:tcW w:w="3220" w:type="dxa"/>
            <w:tcBorders>
              <w:top w:val="nil"/>
              <w:left w:val="nil"/>
              <w:bottom w:val="single" w:sz="4" w:space="0" w:color="000000"/>
              <w:right w:val="nil"/>
            </w:tcBorders>
            <w:shd w:val="clear" w:color="D9D9D9" w:fill="D9D9D9"/>
            <w:noWrap/>
            <w:vAlign w:val="bottom"/>
            <w:hideMark/>
          </w:tcPr>
          <w:p w14:paraId="510E75BD" w14:textId="77777777" w:rsidR="00A20F65" w:rsidRPr="008027EE" w:rsidRDefault="00A20F65" w:rsidP="003E6D45">
            <w:pPr>
              <w:spacing w:after="0" w:line="240" w:lineRule="auto"/>
              <w:rPr>
                <w:rFonts w:ascii="Calibri" w:eastAsia="Times New Roman" w:hAnsi="Calibri" w:cs="Calibri"/>
                <w:color w:val="000000"/>
              </w:rPr>
            </w:pPr>
            <w:r w:rsidRPr="008027EE">
              <w:rPr>
                <w:rFonts w:ascii="Calibri" w:eastAsia="Times New Roman" w:hAnsi="Calibri" w:cs="Calibri"/>
                <w:color w:val="000000"/>
              </w:rPr>
              <w:t>BIC</w:t>
            </w:r>
          </w:p>
        </w:tc>
        <w:tc>
          <w:tcPr>
            <w:tcW w:w="960" w:type="dxa"/>
            <w:tcBorders>
              <w:top w:val="nil"/>
              <w:left w:val="nil"/>
              <w:bottom w:val="single" w:sz="4" w:space="0" w:color="000000"/>
              <w:right w:val="nil"/>
            </w:tcBorders>
            <w:shd w:val="clear" w:color="D9D9D9" w:fill="D9D9D9"/>
            <w:noWrap/>
            <w:vAlign w:val="bottom"/>
            <w:hideMark/>
          </w:tcPr>
          <w:p w14:paraId="32C7B7D7"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22383.9</w:t>
            </w:r>
          </w:p>
        </w:tc>
        <w:tc>
          <w:tcPr>
            <w:tcW w:w="960" w:type="dxa"/>
            <w:tcBorders>
              <w:top w:val="nil"/>
              <w:left w:val="nil"/>
              <w:bottom w:val="single" w:sz="4" w:space="0" w:color="000000"/>
              <w:right w:val="nil"/>
            </w:tcBorders>
            <w:shd w:val="clear" w:color="D9D9D9" w:fill="D9D9D9"/>
            <w:noWrap/>
            <w:vAlign w:val="bottom"/>
            <w:hideMark/>
          </w:tcPr>
          <w:p w14:paraId="32E48753"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18182.1</w:t>
            </w:r>
          </w:p>
        </w:tc>
        <w:tc>
          <w:tcPr>
            <w:tcW w:w="960" w:type="dxa"/>
            <w:tcBorders>
              <w:top w:val="nil"/>
              <w:left w:val="nil"/>
              <w:bottom w:val="single" w:sz="4" w:space="0" w:color="000000"/>
              <w:right w:val="single" w:sz="4" w:space="0" w:color="auto"/>
            </w:tcBorders>
            <w:shd w:val="clear" w:color="D9D9D9" w:fill="D9D9D9"/>
            <w:noWrap/>
            <w:vAlign w:val="bottom"/>
            <w:hideMark/>
          </w:tcPr>
          <w:p w14:paraId="04285B4A"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17088.7</w:t>
            </w:r>
          </w:p>
        </w:tc>
        <w:tc>
          <w:tcPr>
            <w:tcW w:w="960" w:type="dxa"/>
            <w:tcBorders>
              <w:top w:val="nil"/>
              <w:left w:val="single" w:sz="4" w:space="0" w:color="auto"/>
              <w:bottom w:val="single" w:sz="4" w:space="0" w:color="000000"/>
              <w:right w:val="nil"/>
            </w:tcBorders>
            <w:shd w:val="clear" w:color="D9D9D9" w:fill="D9D9D9"/>
            <w:noWrap/>
            <w:vAlign w:val="bottom"/>
            <w:hideMark/>
          </w:tcPr>
          <w:p w14:paraId="1B42DB16"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31276.1</w:t>
            </w:r>
          </w:p>
        </w:tc>
        <w:tc>
          <w:tcPr>
            <w:tcW w:w="960" w:type="dxa"/>
            <w:tcBorders>
              <w:top w:val="nil"/>
              <w:left w:val="nil"/>
              <w:bottom w:val="single" w:sz="4" w:space="0" w:color="000000"/>
              <w:right w:val="nil"/>
            </w:tcBorders>
            <w:shd w:val="clear" w:color="D9D9D9" w:fill="D9D9D9"/>
            <w:noWrap/>
            <w:vAlign w:val="bottom"/>
            <w:hideMark/>
          </w:tcPr>
          <w:p w14:paraId="6EDB8D1E"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25757.8</w:t>
            </w:r>
          </w:p>
        </w:tc>
        <w:tc>
          <w:tcPr>
            <w:tcW w:w="960" w:type="dxa"/>
            <w:tcBorders>
              <w:top w:val="nil"/>
              <w:left w:val="nil"/>
              <w:bottom w:val="single" w:sz="4" w:space="0" w:color="000000"/>
              <w:right w:val="nil"/>
            </w:tcBorders>
            <w:shd w:val="clear" w:color="D9D9D9" w:fill="D9D9D9"/>
            <w:noWrap/>
            <w:vAlign w:val="bottom"/>
            <w:hideMark/>
          </w:tcPr>
          <w:p w14:paraId="77C1A597" w14:textId="77777777" w:rsidR="00A20F65" w:rsidRPr="008027EE" w:rsidRDefault="00A20F65" w:rsidP="003E6D45">
            <w:pPr>
              <w:spacing w:after="0" w:line="240" w:lineRule="auto"/>
              <w:jc w:val="right"/>
              <w:rPr>
                <w:rFonts w:ascii="Calibri" w:eastAsia="Times New Roman" w:hAnsi="Calibri" w:cs="Calibri"/>
                <w:color w:val="000000"/>
              </w:rPr>
            </w:pPr>
            <w:r w:rsidRPr="008027EE">
              <w:rPr>
                <w:rFonts w:ascii="Calibri" w:eastAsia="Times New Roman" w:hAnsi="Calibri" w:cs="Calibri"/>
                <w:color w:val="000000"/>
              </w:rPr>
              <w:t>22665.9</w:t>
            </w:r>
          </w:p>
        </w:tc>
      </w:tr>
    </w:tbl>
    <w:p w14:paraId="594F205E" w14:textId="77777777" w:rsidR="00A20F65" w:rsidRPr="004644F1" w:rsidRDefault="00A20F65" w:rsidP="00A20F65">
      <w:pPr>
        <w:pStyle w:val="NoSpacing"/>
        <w:rPr>
          <w:rFonts w:ascii="Times New Roman" w:hAnsi="Times New Roman" w:cs="Times New Roman"/>
        </w:rPr>
      </w:pPr>
    </w:p>
    <w:p w14:paraId="4B99A1E5" w14:textId="77777777" w:rsidR="00A20F65" w:rsidRDefault="00A20F65" w:rsidP="00A20F65">
      <w:pPr>
        <w:pStyle w:val="NoSpacing"/>
        <w:rPr>
          <w:rFonts w:ascii="Times New Roman" w:hAnsi="Times New Roman" w:cs="Times New Roman"/>
          <w:sz w:val="18"/>
          <w:szCs w:val="18"/>
        </w:rPr>
      </w:pPr>
    </w:p>
    <w:p w14:paraId="5FE4AFAC" w14:textId="77777777" w:rsidR="00A20F65" w:rsidRDefault="00A20F65" w:rsidP="00A20F65">
      <w:pPr>
        <w:pStyle w:val="NoSpacing"/>
        <w:rPr>
          <w:rFonts w:ascii="Times New Roman" w:hAnsi="Times New Roman" w:cs="Times New Roman"/>
          <w:sz w:val="18"/>
          <w:szCs w:val="18"/>
        </w:rPr>
      </w:pPr>
      <w:r w:rsidRPr="008E4020">
        <w:rPr>
          <w:rFonts w:ascii="Times New Roman" w:hAnsi="Times New Roman" w:cs="Times New Roman"/>
          <w:sz w:val="18"/>
          <w:szCs w:val="18"/>
        </w:rPr>
        <w:t>Note</w:t>
      </w:r>
      <w:r>
        <w:rPr>
          <w:rFonts w:ascii="Times New Roman" w:hAnsi="Times New Roman" w:cs="Times New Roman"/>
          <w:sz w:val="18"/>
          <w:szCs w:val="18"/>
        </w:rPr>
        <w:t>s</w:t>
      </w:r>
      <w:r w:rsidRPr="008E4020">
        <w:rPr>
          <w:rFonts w:ascii="Times New Roman" w:hAnsi="Times New Roman" w:cs="Times New Roman"/>
          <w:sz w:val="18"/>
          <w:szCs w:val="18"/>
        </w:rPr>
        <w:t>: Other control variables not shown. The specifications are the same as Table 2</w:t>
      </w:r>
      <w:r>
        <w:rPr>
          <w:rFonts w:ascii="Times New Roman" w:hAnsi="Times New Roman" w:cs="Times New Roman"/>
          <w:sz w:val="18"/>
          <w:szCs w:val="18"/>
        </w:rPr>
        <w:t xml:space="preserve">. </w:t>
      </w:r>
      <w:r w:rsidRPr="008E4020">
        <w:rPr>
          <w:rFonts w:ascii="Times New Roman" w:hAnsi="Times New Roman" w:cs="Times New Roman"/>
          <w:sz w:val="18"/>
          <w:szCs w:val="18"/>
        </w:rPr>
        <w:t xml:space="preserve">t statistics in parentheses. </w:t>
      </w:r>
    </w:p>
    <w:p w14:paraId="63343F63" w14:textId="77777777" w:rsidR="00A20F65" w:rsidRPr="008E4020" w:rsidRDefault="00A20F65" w:rsidP="00A20F65">
      <w:pPr>
        <w:pStyle w:val="NoSpacing"/>
        <w:rPr>
          <w:rFonts w:ascii="Times New Roman" w:hAnsi="Times New Roman" w:cs="Times New Roman"/>
          <w:sz w:val="18"/>
          <w:szCs w:val="18"/>
        </w:rPr>
      </w:pPr>
      <w:r w:rsidRPr="008E4020">
        <w:rPr>
          <w:rFonts w:ascii="Times New Roman" w:hAnsi="Times New Roman" w:cs="Times New Roman"/>
          <w:sz w:val="18"/>
          <w:szCs w:val="18"/>
        </w:rPr>
        <w:t>* p&lt;0.10, ** p&lt;0.05, *** p&lt;0.01. Standard errors clustered by borough</w:t>
      </w:r>
    </w:p>
    <w:p w14:paraId="66709400" w14:textId="77777777" w:rsidR="00A20F65" w:rsidRDefault="00A20F65" w:rsidP="00A20F65">
      <w:pPr>
        <w:pStyle w:val="NoSpacing"/>
        <w:rPr>
          <w:rFonts w:ascii="Courier New" w:hAnsi="Courier New" w:cs="Courier New"/>
        </w:rPr>
      </w:pPr>
    </w:p>
    <w:p w14:paraId="07EAB871" w14:textId="77777777" w:rsidR="00A20F65" w:rsidRDefault="00A20F65" w:rsidP="00A20F65">
      <w:pPr>
        <w:rPr>
          <w:rFonts w:ascii="Times New Roman" w:hAnsi="Times New Roman" w:cs="Times New Roman"/>
          <w:b/>
          <w:bCs/>
        </w:rPr>
      </w:pPr>
      <w:r w:rsidRPr="008E4020">
        <w:rPr>
          <w:rFonts w:ascii="Times New Roman" w:hAnsi="Times New Roman" w:cs="Times New Roman"/>
          <w:b/>
          <w:bCs/>
        </w:rPr>
        <w:t>Table A.</w:t>
      </w:r>
      <w:r>
        <w:rPr>
          <w:rFonts w:ascii="Times New Roman" w:hAnsi="Times New Roman" w:cs="Times New Roman"/>
          <w:b/>
          <w:bCs/>
        </w:rPr>
        <w:t>5</w:t>
      </w:r>
      <w:r w:rsidRPr="008E4020">
        <w:rPr>
          <w:rFonts w:ascii="Times New Roman" w:hAnsi="Times New Roman" w:cs="Times New Roman"/>
          <w:b/>
          <w:bCs/>
        </w:rPr>
        <w:t xml:space="preserve">: </w:t>
      </w:r>
      <w:r w:rsidRPr="007B72BF">
        <w:rPr>
          <w:rFonts w:ascii="Times New Roman" w:hAnsi="Times New Roman" w:cs="Times New Roman"/>
          <w:b/>
          <w:bCs/>
          <w:i/>
          <w:iCs/>
        </w:rPr>
        <w:t xml:space="preserve">Distance to Sandy x </w:t>
      </w:r>
      <w:proofErr w:type="spellStart"/>
      <w:r w:rsidRPr="007B72BF">
        <w:rPr>
          <w:rFonts w:ascii="Times New Roman" w:hAnsi="Times New Roman" w:cs="Times New Roman"/>
          <w:b/>
          <w:bCs/>
          <w:i/>
          <w:iCs/>
        </w:rPr>
        <w:t>PostSandy</w:t>
      </w:r>
      <w:proofErr w:type="spellEnd"/>
      <w:r w:rsidRPr="007B72BF">
        <w:rPr>
          <w:rFonts w:ascii="Times New Roman" w:hAnsi="Times New Roman" w:cs="Times New Roman"/>
          <w:b/>
          <w:bCs/>
          <w:i/>
          <w:iCs/>
        </w:rPr>
        <w:t xml:space="preserve"> Dummy</w:t>
      </w:r>
      <w:r w:rsidRPr="008B6EFB">
        <w:rPr>
          <w:rFonts w:ascii="Times New Roman" w:hAnsi="Times New Roman" w:cs="Times New Roman"/>
          <w:b/>
          <w:bCs/>
        </w:rPr>
        <w:t xml:space="preserve"> </w:t>
      </w:r>
      <w:r w:rsidRPr="008E4020">
        <w:rPr>
          <w:rFonts w:ascii="Times New Roman" w:hAnsi="Times New Roman" w:cs="Times New Roman"/>
          <w:b/>
          <w:bCs/>
        </w:rPr>
        <w:t>within 1 mile, by shock type</w:t>
      </w:r>
      <w:r>
        <w:rPr>
          <w:rFonts w:ascii="Times New Roman" w:hAnsi="Times New Roman" w:cs="Times New Roman"/>
          <w:b/>
          <w:bCs/>
        </w:rPr>
        <w:t xml:space="preserve">, </w:t>
      </w:r>
      <w:r w:rsidRPr="008E4020">
        <w:rPr>
          <w:rFonts w:ascii="Times New Roman" w:hAnsi="Times New Roman" w:cs="Times New Roman"/>
          <w:b/>
          <w:bCs/>
          <w:i/>
          <w:iCs/>
        </w:rPr>
        <w:t>Sandy</w:t>
      </w:r>
      <w:r>
        <w:rPr>
          <w:rFonts w:ascii="Times New Roman" w:hAnsi="Times New Roman" w:cs="Times New Roman"/>
          <w:b/>
          <w:bCs/>
          <w:i/>
          <w:iCs/>
        </w:rPr>
        <w:t xml:space="preserve"> and </w:t>
      </w:r>
      <w:r w:rsidRPr="008E4020">
        <w:rPr>
          <w:rFonts w:ascii="Times New Roman" w:hAnsi="Times New Roman" w:cs="Times New Roman"/>
          <w:b/>
          <w:bCs/>
          <w:i/>
          <w:iCs/>
        </w:rPr>
        <w:t>FEM</w:t>
      </w:r>
      <w:r>
        <w:rPr>
          <w:rFonts w:ascii="Times New Roman" w:hAnsi="Times New Roman" w:cs="Times New Roman"/>
          <w:b/>
          <w:bCs/>
          <w:i/>
          <w:iCs/>
        </w:rPr>
        <w:t>A</w:t>
      </w:r>
      <w:r>
        <w:rPr>
          <w:rFonts w:ascii="Times New Roman" w:hAnsi="Times New Roman" w:cs="Times New Roman"/>
          <w:b/>
          <w:bCs/>
        </w:rPr>
        <w:t xml:space="preserve"> variable in logs</w:t>
      </w:r>
      <w:r w:rsidRPr="008E4020">
        <w:rPr>
          <w:rFonts w:ascii="Times New Roman" w:hAnsi="Times New Roman" w:cs="Times New Roman"/>
          <w:b/>
          <w:bCs/>
        </w:rPr>
        <w:t>. Dep. Var.: Ln(Price per square foot)</w:t>
      </w:r>
      <w:r>
        <w:rPr>
          <w:rFonts w:ascii="Times New Roman" w:hAnsi="Times New Roman" w:cs="Times New Roman"/>
          <w:b/>
          <w:bCs/>
        </w:rPr>
        <w:t>, 2011-2014</w:t>
      </w:r>
    </w:p>
    <w:tbl>
      <w:tblPr>
        <w:tblW w:w="4904" w:type="dxa"/>
        <w:tblLook w:val="04A0" w:firstRow="1" w:lastRow="0" w:firstColumn="1" w:lastColumn="0" w:noHBand="0" w:noVBand="1"/>
      </w:tblPr>
      <w:tblGrid>
        <w:gridCol w:w="2735"/>
        <w:gridCol w:w="960"/>
        <w:gridCol w:w="158"/>
        <w:gridCol w:w="802"/>
        <w:gridCol w:w="249"/>
      </w:tblGrid>
      <w:tr w:rsidR="00A20F65" w:rsidRPr="004644F1" w14:paraId="7BCB5437" w14:textId="77777777" w:rsidTr="003E6D45">
        <w:trPr>
          <w:gridAfter w:val="1"/>
          <w:wAfter w:w="249" w:type="dxa"/>
          <w:trHeight w:val="295"/>
        </w:trPr>
        <w:tc>
          <w:tcPr>
            <w:tcW w:w="2735" w:type="dxa"/>
            <w:tcBorders>
              <w:top w:val="single" w:sz="4" w:space="0" w:color="000000"/>
              <w:left w:val="nil"/>
              <w:bottom w:val="single" w:sz="4" w:space="0" w:color="000000"/>
              <w:right w:val="nil"/>
            </w:tcBorders>
            <w:shd w:val="clear" w:color="auto" w:fill="auto"/>
            <w:noWrap/>
            <w:vAlign w:val="bottom"/>
            <w:hideMark/>
          </w:tcPr>
          <w:p w14:paraId="52B284DE" w14:textId="77777777" w:rsidR="00A20F65" w:rsidRPr="004644F1" w:rsidRDefault="00A20F65" w:rsidP="003E6D45">
            <w:pPr>
              <w:spacing w:after="0" w:line="240" w:lineRule="auto"/>
              <w:rPr>
                <w:rFonts w:ascii="Calibri" w:eastAsia="Times New Roman" w:hAnsi="Calibri" w:cs="Calibri"/>
                <w:b/>
                <w:bCs/>
                <w:color w:val="000000"/>
              </w:rPr>
            </w:pPr>
          </w:p>
        </w:tc>
        <w:tc>
          <w:tcPr>
            <w:tcW w:w="960" w:type="dxa"/>
            <w:tcBorders>
              <w:top w:val="single" w:sz="4" w:space="0" w:color="000000"/>
              <w:left w:val="nil"/>
              <w:bottom w:val="single" w:sz="4" w:space="0" w:color="000000"/>
              <w:right w:val="nil"/>
            </w:tcBorders>
            <w:shd w:val="clear" w:color="auto" w:fill="auto"/>
            <w:noWrap/>
            <w:vAlign w:val="bottom"/>
            <w:hideMark/>
          </w:tcPr>
          <w:p w14:paraId="25A00CDF" w14:textId="77777777" w:rsidR="00A20F65" w:rsidRPr="004644F1" w:rsidRDefault="00A20F65" w:rsidP="003E6D45">
            <w:pPr>
              <w:spacing w:after="0" w:line="240" w:lineRule="auto"/>
              <w:jc w:val="center"/>
              <w:rPr>
                <w:rFonts w:ascii="Calibri" w:eastAsia="Times New Roman" w:hAnsi="Calibri" w:cs="Calibri"/>
                <w:b/>
                <w:bCs/>
                <w:color w:val="000000"/>
              </w:rPr>
            </w:pPr>
            <w:r w:rsidRPr="004644F1">
              <w:rPr>
                <w:rFonts w:ascii="Calibri" w:eastAsia="Times New Roman" w:hAnsi="Calibri" w:cs="Calibri"/>
                <w:b/>
                <w:bCs/>
                <w:color w:val="000000"/>
              </w:rPr>
              <w:t>(1)</w:t>
            </w:r>
          </w:p>
        </w:tc>
        <w:tc>
          <w:tcPr>
            <w:tcW w:w="960" w:type="dxa"/>
            <w:gridSpan w:val="2"/>
            <w:tcBorders>
              <w:top w:val="single" w:sz="4" w:space="0" w:color="000000"/>
              <w:left w:val="nil"/>
              <w:bottom w:val="single" w:sz="4" w:space="0" w:color="000000"/>
              <w:right w:val="nil"/>
            </w:tcBorders>
            <w:shd w:val="clear" w:color="auto" w:fill="auto"/>
            <w:noWrap/>
            <w:vAlign w:val="bottom"/>
            <w:hideMark/>
          </w:tcPr>
          <w:p w14:paraId="081A80C9" w14:textId="77777777" w:rsidR="00A20F65" w:rsidRPr="004644F1" w:rsidRDefault="00A20F65" w:rsidP="003E6D45">
            <w:pPr>
              <w:spacing w:after="0" w:line="240" w:lineRule="auto"/>
              <w:jc w:val="center"/>
              <w:rPr>
                <w:rFonts w:ascii="Calibri" w:eastAsia="Times New Roman" w:hAnsi="Calibri" w:cs="Calibri"/>
                <w:b/>
                <w:bCs/>
                <w:color w:val="000000"/>
              </w:rPr>
            </w:pPr>
            <w:r w:rsidRPr="004644F1">
              <w:rPr>
                <w:rFonts w:ascii="Calibri" w:eastAsia="Times New Roman" w:hAnsi="Calibri" w:cs="Calibri"/>
                <w:b/>
                <w:bCs/>
                <w:color w:val="000000"/>
              </w:rPr>
              <w:t>(2)</w:t>
            </w:r>
          </w:p>
        </w:tc>
      </w:tr>
      <w:tr w:rsidR="00A20F65" w:rsidRPr="004644F1" w14:paraId="7D9D84C1" w14:textId="77777777" w:rsidTr="003E6D45">
        <w:trPr>
          <w:trHeight w:val="295"/>
        </w:trPr>
        <w:tc>
          <w:tcPr>
            <w:tcW w:w="2735" w:type="dxa"/>
            <w:tcBorders>
              <w:top w:val="nil"/>
              <w:left w:val="nil"/>
              <w:bottom w:val="nil"/>
              <w:right w:val="nil"/>
            </w:tcBorders>
            <w:shd w:val="clear" w:color="D9D9D9" w:fill="D9D9D9"/>
            <w:noWrap/>
            <w:vAlign w:val="bottom"/>
            <w:hideMark/>
          </w:tcPr>
          <w:p w14:paraId="426AC0D6" w14:textId="77777777" w:rsidR="00A20F65" w:rsidRPr="004644F1" w:rsidRDefault="00A20F65" w:rsidP="003E6D45">
            <w:pPr>
              <w:spacing w:after="0" w:line="240" w:lineRule="auto"/>
              <w:jc w:val="center"/>
              <w:rPr>
                <w:rFonts w:ascii="Calibri" w:eastAsia="Times New Roman" w:hAnsi="Calibri" w:cs="Calibri"/>
                <w:b/>
                <w:bCs/>
                <w:color w:val="000000"/>
              </w:rPr>
            </w:pPr>
          </w:p>
        </w:tc>
        <w:tc>
          <w:tcPr>
            <w:tcW w:w="1118" w:type="dxa"/>
            <w:gridSpan w:val="2"/>
            <w:tcBorders>
              <w:top w:val="nil"/>
              <w:left w:val="nil"/>
              <w:bottom w:val="nil"/>
              <w:right w:val="nil"/>
            </w:tcBorders>
            <w:shd w:val="clear" w:color="D9D9D9" w:fill="D9D9D9"/>
            <w:noWrap/>
            <w:vAlign w:val="bottom"/>
            <w:hideMark/>
          </w:tcPr>
          <w:p w14:paraId="14749927" w14:textId="77777777" w:rsidR="00A20F65" w:rsidRPr="004644F1" w:rsidRDefault="00A20F65" w:rsidP="003E6D45">
            <w:pPr>
              <w:spacing w:after="0" w:line="240" w:lineRule="auto"/>
              <w:jc w:val="center"/>
              <w:rPr>
                <w:rFonts w:ascii="Calibri" w:eastAsia="Times New Roman" w:hAnsi="Calibri" w:cs="Calibri"/>
                <w:color w:val="000000"/>
              </w:rPr>
            </w:pPr>
            <w:r w:rsidRPr="004644F1">
              <w:rPr>
                <w:rFonts w:ascii="Calibri" w:eastAsia="Times New Roman" w:hAnsi="Calibri" w:cs="Calibri"/>
                <w:color w:val="000000"/>
              </w:rPr>
              <w:t>&gt;0</w:t>
            </w:r>
          </w:p>
        </w:tc>
        <w:tc>
          <w:tcPr>
            <w:tcW w:w="1051" w:type="dxa"/>
            <w:gridSpan w:val="2"/>
            <w:tcBorders>
              <w:top w:val="nil"/>
              <w:left w:val="nil"/>
              <w:bottom w:val="nil"/>
              <w:right w:val="nil"/>
            </w:tcBorders>
            <w:shd w:val="clear" w:color="D9D9D9" w:fill="D9D9D9"/>
            <w:noWrap/>
            <w:vAlign w:val="bottom"/>
            <w:hideMark/>
          </w:tcPr>
          <w:p w14:paraId="5824249D" w14:textId="77777777" w:rsidR="00A20F65" w:rsidRPr="004644F1" w:rsidRDefault="00A20F65" w:rsidP="003E6D45">
            <w:pPr>
              <w:spacing w:after="0" w:line="240" w:lineRule="auto"/>
              <w:jc w:val="center"/>
              <w:rPr>
                <w:rFonts w:ascii="Calibri" w:eastAsia="Times New Roman" w:hAnsi="Calibri" w:cs="Calibri"/>
                <w:color w:val="000000"/>
              </w:rPr>
            </w:pPr>
            <w:r w:rsidRPr="004644F1">
              <w:rPr>
                <w:rFonts w:ascii="Calibri" w:eastAsia="Times New Roman" w:hAnsi="Calibri" w:cs="Calibri"/>
                <w:color w:val="000000"/>
              </w:rPr>
              <w:t>&lt;0</w:t>
            </w:r>
          </w:p>
        </w:tc>
      </w:tr>
      <w:tr w:rsidR="00A20F65" w:rsidRPr="004644F1" w14:paraId="6DA60794" w14:textId="77777777" w:rsidTr="003E6D45">
        <w:trPr>
          <w:trHeight w:val="295"/>
        </w:trPr>
        <w:tc>
          <w:tcPr>
            <w:tcW w:w="2735" w:type="dxa"/>
            <w:tcBorders>
              <w:top w:val="nil"/>
              <w:left w:val="nil"/>
              <w:bottom w:val="nil"/>
              <w:right w:val="nil"/>
            </w:tcBorders>
            <w:shd w:val="clear" w:color="auto" w:fill="auto"/>
            <w:noWrap/>
            <w:vAlign w:val="bottom"/>
            <w:hideMark/>
          </w:tcPr>
          <w:p w14:paraId="1EFAEBA2" w14:textId="77777777" w:rsidR="00A20F65" w:rsidRPr="004644F1" w:rsidRDefault="00A20F65" w:rsidP="003E6D45">
            <w:pPr>
              <w:spacing w:after="0" w:line="240" w:lineRule="auto"/>
              <w:rPr>
                <w:rFonts w:ascii="Calibri" w:eastAsia="Times New Roman" w:hAnsi="Calibri" w:cs="Calibri"/>
                <w:color w:val="000000"/>
              </w:rPr>
            </w:pPr>
            <w:r w:rsidRPr="004644F1">
              <w:rPr>
                <w:rFonts w:ascii="Calibri" w:eastAsia="Times New Roman" w:hAnsi="Calibri" w:cs="Calibri"/>
                <w:color w:val="000000"/>
              </w:rPr>
              <w:t xml:space="preserve">ln(Dist. Sandy) x </w:t>
            </w:r>
            <w:proofErr w:type="spellStart"/>
            <w:r w:rsidRPr="004644F1">
              <w:rPr>
                <w:rFonts w:ascii="Calibri" w:eastAsia="Times New Roman" w:hAnsi="Calibri" w:cs="Calibri"/>
                <w:color w:val="000000"/>
              </w:rPr>
              <w:t>PostSandy</w:t>
            </w:r>
            <w:proofErr w:type="spellEnd"/>
          </w:p>
        </w:tc>
        <w:tc>
          <w:tcPr>
            <w:tcW w:w="1118" w:type="dxa"/>
            <w:gridSpan w:val="2"/>
            <w:tcBorders>
              <w:top w:val="nil"/>
              <w:left w:val="nil"/>
              <w:bottom w:val="nil"/>
              <w:right w:val="nil"/>
            </w:tcBorders>
            <w:shd w:val="clear" w:color="auto" w:fill="auto"/>
            <w:noWrap/>
            <w:vAlign w:val="bottom"/>
            <w:hideMark/>
          </w:tcPr>
          <w:p w14:paraId="1B2E61B9" w14:textId="77777777" w:rsidR="00A20F65" w:rsidRPr="004644F1" w:rsidRDefault="00A20F65" w:rsidP="003E6D45">
            <w:pPr>
              <w:spacing w:after="0" w:line="240" w:lineRule="auto"/>
              <w:jc w:val="right"/>
              <w:rPr>
                <w:rFonts w:ascii="Calibri" w:eastAsia="Times New Roman" w:hAnsi="Calibri" w:cs="Calibri"/>
                <w:color w:val="000000"/>
              </w:rPr>
            </w:pPr>
            <w:r w:rsidRPr="004644F1">
              <w:rPr>
                <w:rFonts w:ascii="Calibri" w:eastAsia="Times New Roman" w:hAnsi="Calibri" w:cs="Calibri"/>
                <w:color w:val="000000"/>
              </w:rPr>
              <w:t>-0.00392</w:t>
            </w:r>
          </w:p>
        </w:tc>
        <w:tc>
          <w:tcPr>
            <w:tcW w:w="1051" w:type="dxa"/>
            <w:gridSpan w:val="2"/>
            <w:tcBorders>
              <w:top w:val="nil"/>
              <w:left w:val="nil"/>
              <w:bottom w:val="nil"/>
              <w:right w:val="nil"/>
            </w:tcBorders>
            <w:shd w:val="clear" w:color="auto" w:fill="auto"/>
            <w:noWrap/>
            <w:vAlign w:val="bottom"/>
            <w:hideMark/>
          </w:tcPr>
          <w:p w14:paraId="5D67AEB4" w14:textId="77777777" w:rsidR="00A20F65" w:rsidRPr="004644F1" w:rsidRDefault="00A20F65" w:rsidP="003E6D45">
            <w:pPr>
              <w:spacing w:after="0" w:line="240" w:lineRule="auto"/>
              <w:jc w:val="right"/>
              <w:rPr>
                <w:rFonts w:ascii="Calibri" w:eastAsia="Times New Roman" w:hAnsi="Calibri" w:cs="Calibri"/>
                <w:color w:val="000000"/>
              </w:rPr>
            </w:pPr>
            <w:r w:rsidRPr="004644F1">
              <w:rPr>
                <w:rFonts w:ascii="Calibri" w:eastAsia="Times New Roman" w:hAnsi="Calibri" w:cs="Calibri"/>
                <w:color w:val="000000"/>
              </w:rPr>
              <w:t>0.0210*</w:t>
            </w:r>
          </w:p>
        </w:tc>
      </w:tr>
      <w:tr w:rsidR="00A20F65" w:rsidRPr="004644F1" w14:paraId="2DA612C0" w14:textId="77777777" w:rsidTr="003E6D45">
        <w:trPr>
          <w:trHeight w:val="295"/>
        </w:trPr>
        <w:tc>
          <w:tcPr>
            <w:tcW w:w="2735" w:type="dxa"/>
            <w:tcBorders>
              <w:top w:val="nil"/>
              <w:left w:val="nil"/>
              <w:bottom w:val="nil"/>
              <w:right w:val="nil"/>
            </w:tcBorders>
            <w:shd w:val="clear" w:color="D9D9D9" w:fill="D9D9D9"/>
            <w:noWrap/>
            <w:vAlign w:val="bottom"/>
            <w:hideMark/>
          </w:tcPr>
          <w:p w14:paraId="157DB0F4" w14:textId="77777777" w:rsidR="00A20F65" w:rsidRPr="004644F1" w:rsidRDefault="00A20F65" w:rsidP="003E6D45">
            <w:pPr>
              <w:spacing w:after="0" w:line="240" w:lineRule="auto"/>
              <w:jc w:val="right"/>
              <w:rPr>
                <w:rFonts w:ascii="Calibri" w:eastAsia="Times New Roman" w:hAnsi="Calibri" w:cs="Calibri"/>
                <w:color w:val="000000"/>
              </w:rPr>
            </w:pPr>
          </w:p>
        </w:tc>
        <w:tc>
          <w:tcPr>
            <w:tcW w:w="1118" w:type="dxa"/>
            <w:gridSpan w:val="2"/>
            <w:tcBorders>
              <w:top w:val="nil"/>
              <w:left w:val="nil"/>
              <w:bottom w:val="nil"/>
              <w:right w:val="nil"/>
            </w:tcBorders>
            <w:shd w:val="clear" w:color="D9D9D9" w:fill="D9D9D9"/>
            <w:noWrap/>
            <w:vAlign w:val="bottom"/>
            <w:hideMark/>
          </w:tcPr>
          <w:p w14:paraId="11FA419B" w14:textId="77777777" w:rsidR="00A20F65" w:rsidRPr="004644F1" w:rsidRDefault="00A20F65" w:rsidP="003E6D45">
            <w:pPr>
              <w:spacing w:after="0" w:line="240" w:lineRule="auto"/>
              <w:jc w:val="right"/>
              <w:rPr>
                <w:rFonts w:ascii="Calibri" w:eastAsia="Times New Roman" w:hAnsi="Calibri" w:cs="Calibri"/>
                <w:color w:val="000000"/>
              </w:rPr>
            </w:pPr>
            <w:r w:rsidRPr="004644F1">
              <w:rPr>
                <w:rFonts w:ascii="Calibri" w:eastAsia="Times New Roman" w:hAnsi="Calibri" w:cs="Calibri"/>
                <w:color w:val="000000"/>
              </w:rPr>
              <w:t>(0.35)</w:t>
            </w:r>
          </w:p>
        </w:tc>
        <w:tc>
          <w:tcPr>
            <w:tcW w:w="1051" w:type="dxa"/>
            <w:gridSpan w:val="2"/>
            <w:tcBorders>
              <w:top w:val="nil"/>
              <w:left w:val="nil"/>
              <w:bottom w:val="nil"/>
              <w:right w:val="nil"/>
            </w:tcBorders>
            <w:shd w:val="clear" w:color="D9D9D9" w:fill="D9D9D9"/>
            <w:noWrap/>
            <w:vAlign w:val="bottom"/>
            <w:hideMark/>
          </w:tcPr>
          <w:p w14:paraId="48B39D4B" w14:textId="77777777" w:rsidR="00A20F65" w:rsidRPr="004644F1" w:rsidRDefault="00A20F65" w:rsidP="003E6D45">
            <w:pPr>
              <w:spacing w:after="0" w:line="240" w:lineRule="auto"/>
              <w:jc w:val="right"/>
              <w:rPr>
                <w:rFonts w:ascii="Calibri" w:eastAsia="Times New Roman" w:hAnsi="Calibri" w:cs="Calibri"/>
                <w:color w:val="000000"/>
              </w:rPr>
            </w:pPr>
            <w:r w:rsidRPr="004644F1">
              <w:rPr>
                <w:rFonts w:ascii="Calibri" w:eastAsia="Times New Roman" w:hAnsi="Calibri" w:cs="Calibri"/>
                <w:color w:val="000000"/>
              </w:rPr>
              <w:t>(2.40)</w:t>
            </w:r>
          </w:p>
        </w:tc>
      </w:tr>
      <w:tr w:rsidR="00A20F65" w:rsidRPr="004644F1" w14:paraId="3DC79AFA" w14:textId="77777777" w:rsidTr="003E6D45">
        <w:trPr>
          <w:trHeight w:val="295"/>
        </w:trPr>
        <w:tc>
          <w:tcPr>
            <w:tcW w:w="2735" w:type="dxa"/>
            <w:tcBorders>
              <w:top w:val="nil"/>
              <w:left w:val="nil"/>
              <w:bottom w:val="nil"/>
              <w:right w:val="nil"/>
            </w:tcBorders>
            <w:shd w:val="clear" w:color="auto" w:fill="auto"/>
            <w:noWrap/>
            <w:vAlign w:val="bottom"/>
            <w:hideMark/>
          </w:tcPr>
          <w:p w14:paraId="572A14AF" w14:textId="77777777" w:rsidR="00A20F65" w:rsidRPr="004644F1" w:rsidRDefault="00A20F65" w:rsidP="003E6D45">
            <w:pPr>
              <w:spacing w:after="0" w:line="240" w:lineRule="auto"/>
              <w:rPr>
                <w:rFonts w:ascii="Calibri" w:eastAsia="Times New Roman" w:hAnsi="Calibri" w:cs="Calibri"/>
                <w:color w:val="000000"/>
              </w:rPr>
            </w:pPr>
            <w:r w:rsidRPr="004644F1">
              <w:rPr>
                <w:rFonts w:ascii="Calibri" w:eastAsia="Times New Roman" w:hAnsi="Calibri" w:cs="Calibri"/>
                <w:color w:val="000000"/>
              </w:rPr>
              <w:t>N</w:t>
            </w:r>
          </w:p>
        </w:tc>
        <w:tc>
          <w:tcPr>
            <w:tcW w:w="1118" w:type="dxa"/>
            <w:gridSpan w:val="2"/>
            <w:tcBorders>
              <w:top w:val="nil"/>
              <w:left w:val="nil"/>
              <w:bottom w:val="nil"/>
              <w:right w:val="nil"/>
            </w:tcBorders>
            <w:shd w:val="clear" w:color="auto" w:fill="auto"/>
            <w:noWrap/>
            <w:vAlign w:val="bottom"/>
            <w:hideMark/>
          </w:tcPr>
          <w:p w14:paraId="04685B9D" w14:textId="77777777" w:rsidR="00A20F65" w:rsidRPr="004644F1" w:rsidRDefault="00A20F65" w:rsidP="003E6D45">
            <w:pPr>
              <w:spacing w:after="0" w:line="240" w:lineRule="auto"/>
              <w:jc w:val="right"/>
              <w:rPr>
                <w:rFonts w:ascii="Calibri" w:eastAsia="Times New Roman" w:hAnsi="Calibri" w:cs="Calibri"/>
                <w:color w:val="000000"/>
              </w:rPr>
            </w:pPr>
            <w:r w:rsidRPr="004644F1">
              <w:rPr>
                <w:rFonts w:ascii="Calibri" w:eastAsia="Times New Roman" w:hAnsi="Calibri" w:cs="Calibri"/>
                <w:color w:val="000000"/>
              </w:rPr>
              <w:t>9967</w:t>
            </w:r>
          </w:p>
        </w:tc>
        <w:tc>
          <w:tcPr>
            <w:tcW w:w="1051" w:type="dxa"/>
            <w:gridSpan w:val="2"/>
            <w:tcBorders>
              <w:top w:val="nil"/>
              <w:left w:val="nil"/>
              <w:bottom w:val="nil"/>
              <w:right w:val="nil"/>
            </w:tcBorders>
            <w:shd w:val="clear" w:color="auto" w:fill="auto"/>
            <w:noWrap/>
            <w:vAlign w:val="bottom"/>
            <w:hideMark/>
          </w:tcPr>
          <w:p w14:paraId="328F47F0" w14:textId="77777777" w:rsidR="00A20F65" w:rsidRPr="004644F1" w:rsidRDefault="00A20F65" w:rsidP="003E6D45">
            <w:pPr>
              <w:spacing w:after="0" w:line="240" w:lineRule="auto"/>
              <w:jc w:val="right"/>
              <w:rPr>
                <w:rFonts w:ascii="Calibri" w:eastAsia="Times New Roman" w:hAnsi="Calibri" w:cs="Calibri"/>
                <w:color w:val="000000"/>
              </w:rPr>
            </w:pPr>
            <w:r w:rsidRPr="004644F1">
              <w:rPr>
                <w:rFonts w:ascii="Calibri" w:eastAsia="Times New Roman" w:hAnsi="Calibri" w:cs="Calibri"/>
                <w:color w:val="000000"/>
              </w:rPr>
              <w:t>19916</w:t>
            </w:r>
          </w:p>
        </w:tc>
      </w:tr>
      <w:tr w:rsidR="00A20F65" w:rsidRPr="004644F1" w14:paraId="2FA5BA3F" w14:textId="77777777" w:rsidTr="003E6D45">
        <w:trPr>
          <w:trHeight w:val="295"/>
        </w:trPr>
        <w:tc>
          <w:tcPr>
            <w:tcW w:w="2735" w:type="dxa"/>
            <w:tcBorders>
              <w:top w:val="nil"/>
              <w:left w:val="nil"/>
              <w:bottom w:val="nil"/>
              <w:right w:val="nil"/>
            </w:tcBorders>
            <w:shd w:val="clear" w:color="D9D9D9" w:fill="D9D9D9"/>
            <w:noWrap/>
            <w:vAlign w:val="bottom"/>
            <w:hideMark/>
          </w:tcPr>
          <w:p w14:paraId="2D914C07" w14:textId="77777777" w:rsidR="00A20F65" w:rsidRPr="004644F1" w:rsidRDefault="00A20F65" w:rsidP="003E6D45">
            <w:pPr>
              <w:spacing w:after="0" w:line="240" w:lineRule="auto"/>
              <w:rPr>
                <w:rFonts w:ascii="Calibri" w:eastAsia="Times New Roman" w:hAnsi="Calibri" w:cs="Calibri"/>
                <w:color w:val="000000"/>
              </w:rPr>
            </w:pPr>
            <w:r w:rsidRPr="004644F1">
              <w:rPr>
                <w:rFonts w:ascii="Calibri" w:eastAsia="Times New Roman" w:hAnsi="Calibri" w:cs="Calibri"/>
                <w:color w:val="000000"/>
              </w:rPr>
              <w:t>R-sq</w:t>
            </w:r>
          </w:p>
        </w:tc>
        <w:tc>
          <w:tcPr>
            <w:tcW w:w="1118" w:type="dxa"/>
            <w:gridSpan w:val="2"/>
            <w:tcBorders>
              <w:top w:val="nil"/>
              <w:left w:val="nil"/>
              <w:bottom w:val="nil"/>
              <w:right w:val="nil"/>
            </w:tcBorders>
            <w:shd w:val="clear" w:color="D9D9D9" w:fill="D9D9D9"/>
            <w:noWrap/>
            <w:vAlign w:val="bottom"/>
            <w:hideMark/>
          </w:tcPr>
          <w:p w14:paraId="3A1E6EE7" w14:textId="77777777" w:rsidR="00A20F65" w:rsidRPr="004644F1" w:rsidRDefault="00A20F65" w:rsidP="003E6D45">
            <w:pPr>
              <w:spacing w:after="0" w:line="240" w:lineRule="auto"/>
              <w:jc w:val="right"/>
              <w:rPr>
                <w:rFonts w:ascii="Calibri" w:eastAsia="Times New Roman" w:hAnsi="Calibri" w:cs="Calibri"/>
                <w:color w:val="000000"/>
              </w:rPr>
            </w:pPr>
            <w:r w:rsidRPr="004644F1">
              <w:rPr>
                <w:rFonts w:ascii="Calibri" w:eastAsia="Times New Roman" w:hAnsi="Calibri" w:cs="Calibri"/>
                <w:color w:val="000000"/>
              </w:rPr>
              <w:t>0.614</w:t>
            </w:r>
          </w:p>
        </w:tc>
        <w:tc>
          <w:tcPr>
            <w:tcW w:w="1051" w:type="dxa"/>
            <w:gridSpan w:val="2"/>
            <w:tcBorders>
              <w:top w:val="nil"/>
              <w:left w:val="nil"/>
              <w:bottom w:val="nil"/>
              <w:right w:val="nil"/>
            </w:tcBorders>
            <w:shd w:val="clear" w:color="D9D9D9" w:fill="D9D9D9"/>
            <w:noWrap/>
            <w:vAlign w:val="bottom"/>
            <w:hideMark/>
          </w:tcPr>
          <w:p w14:paraId="3C915CE6" w14:textId="77777777" w:rsidR="00A20F65" w:rsidRPr="004644F1" w:rsidRDefault="00A20F65" w:rsidP="003E6D45">
            <w:pPr>
              <w:spacing w:after="0" w:line="240" w:lineRule="auto"/>
              <w:jc w:val="right"/>
              <w:rPr>
                <w:rFonts w:ascii="Calibri" w:eastAsia="Times New Roman" w:hAnsi="Calibri" w:cs="Calibri"/>
                <w:color w:val="000000"/>
              </w:rPr>
            </w:pPr>
            <w:r w:rsidRPr="004644F1">
              <w:rPr>
                <w:rFonts w:ascii="Calibri" w:eastAsia="Times New Roman" w:hAnsi="Calibri" w:cs="Calibri"/>
                <w:color w:val="000000"/>
              </w:rPr>
              <w:t>0.541</w:t>
            </w:r>
          </w:p>
        </w:tc>
      </w:tr>
      <w:tr w:rsidR="00A20F65" w:rsidRPr="004644F1" w14:paraId="76943BA7" w14:textId="77777777" w:rsidTr="003E6D45">
        <w:trPr>
          <w:trHeight w:val="295"/>
        </w:trPr>
        <w:tc>
          <w:tcPr>
            <w:tcW w:w="2735" w:type="dxa"/>
            <w:tcBorders>
              <w:top w:val="nil"/>
              <w:left w:val="nil"/>
              <w:bottom w:val="nil"/>
              <w:right w:val="nil"/>
            </w:tcBorders>
            <w:shd w:val="clear" w:color="auto" w:fill="auto"/>
            <w:noWrap/>
            <w:vAlign w:val="bottom"/>
            <w:hideMark/>
          </w:tcPr>
          <w:p w14:paraId="03E6E2CD" w14:textId="77777777" w:rsidR="00A20F65" w:rsidRPr="004644F1" w:rsidRDefault="00A20F65" w:rsidP="003E6D45">
            <w:pPr>
              <w:spacing w:after="0" w:line="240" w:lineRule="auto"/>
              <w:rPr>
                <w:rFonts w:ascii="Calibri" w:eastAsia="Times New Roman" w:hAnsi="Calibri" w:cs="Calibri"/>
                <w:color w:val="000000"/>
              </w:rPr>
            </w:pPr>
            <w:r w:rsidRPr="004644F1">
              <w:rPr>
                <w:rFonts w:ascii="Calibri" w:eastAsia="Times New Roman" w:hAnsi="Calibri" w:cs="Calibri"/>
                <w:color w:val="000000"/>
              </w:rPr>
              <w:t>adj. R-sq</w:t>
            </w:r>
          </w:p>
        </w:tc>
        <w:tc>
          <w:tcPr>
            <w:tcW w:w="1118" w:type="dxa"/>
            <w:gridSpan w:val="2"/>
            <w:tcBorders>
              <w:top w:val="nil"/>
              <w:left w:val="nil"/>
              <w:bottom w:val="nil"/>
              <w:right w:val="nil"/>
            </w:tcBorders>
            <w:shd w:val="clear" w:color="auto" w:fill="auto"/>
            <w:noWrap/>
            <w:vAlign w:val="bottom"/>
            <w:hideMark/>
          </w:tcPr>
          <w:p w14:paraId="4B9772C4" w14:textId="77777777" w:rsidR="00A20F65" w:rsidRPr="004644F1" w:rsidRDefault="00A20F65" w:rsidP="003E6D45">
            <w:pPr>
              <w:spacing w:after="0" w:line="240" w:lineRule="auto"/>
              <w:jc w:val="right"/>
              <w:rPr>
                <w:rFonts w:ascii="Calibri" w:eastAsia="Times New Roman" w:hAnsi="Calibri" w:cs="Calibri"/>
                <w:color w:val="000000"/>
              </w:rPr>
            </w:pPr>
            <w:r w:rsidRPr="004644F1">
              <w:rPr>
                <w:rFonts w:ascii="Calibri" w:eastAsia="Times New Roman" w:hAnsi="Calibri" w:cs="Calibri"/>
                <w:color w:val="000000"/>
              </w:rPr>
              <w:t>0.59</w:t>
            </w:r>
          </w:p>
        </w:tc>
        <w:tc>
          <w:tcPr>
            <w:tcW w:w="1051" w:type="dxa"/>
            <w:gridSpan w:val="2"/>
            <w:tcBorders>
              <w:top w:val="nil"/>
              <w:left w:val="nil"/>
              <w:bottom w:val="nil"/>
              <w:right w:val="nil"/>
            </w:tcBorders>
            <w:shd w:val="clear" w:color="auto" w:fill="auto"/>
            <w:noWrap/>
            <w:vAlign w:val="bottom"/>
            <w:hideMark/>
          </w:tcPr>
          <w:p w14:paraId="0C1AAE0F" w14:textId="77777777" w:rsidR="00A20F65" w:rsidRPr="004644F1" w:rsidRDefault="00A20F65" w:rsidP="003E6D45">
            <w:pPr>
              <w:spacing w:after="0" w:line="240" w:lineRule="auto"/>
              <w:jc w:val="right"/>
              <w:rPr>
                <w:rFonts w:ascii="Calibri" w:eastAsia="Times New Roman" w:hAnsi="Calibri" w:cs="Calibri"/>
                <w:color w:val="000000"/>
              </w:rPr>
            </w:pPr>
            <w:r w:rsidRPr="004644F1">
              <w:rPr>
                <w:rFonts w:ascii="Calibri" w:eastAsia="Times New Roman" w:hAnsi="Calibri" w:cs="Calibri"/>
                <w:color w:val="000000"/>
              </w:rPr>
              <w:t>0.512</w:t>
            </w:r>
          </w:p>
        </w:tc>
      </w:tr>
      <w:tr w:rsidR="00A20F65" w:rsidRPr="004644F1" w14:paraId="50F3656F" w14:textId="77777777" w:rsidTr="003E6D45">
        <w:trPr>
          <w:trHeight w:val="295"/>
        </w:trPr>
        <w:tc>
          <w:tcPr>
            <w:tcW w:w="2735" w:type="dxa"/>
            <w:tcBorders>
              <w:top w:val="nil"/>
              <w:left w:val="nil"/>
              <w:bottom w:val="nil"/>
              <w:right w:val="nil"/>
            </w:tcBorders>
            <w:shd w:val="clear" w:color="D9D9D9" w:fill="D9D9D9"/>
            <w:noWrap/>
            <w:vAlign w:val="bottom"/>
            <w:hideMark/>
          </w:tcPr>
          <w:p w14:paraId="2FC17D70" w14:textId="77777777" w:rsidR="00A20F65" w:rsidRPr="004644F1" w:rsidRDefault="00A20F65" w:rsidP="003E6D45">
            <w:pPr>
              <w:spacing w:after="0" w:line="240" w:lineRule="auto"/>
              <w:rPr>
                <w:rFonts w:ascii="Calibri" w:eastAsia="Times New Roman" w:hAnsi="Calibri" w:cs="Calibri"/>
                <w:color w:val="000000"/>
              </w:rPr>
            </w:pPr>
            <w:r w:rsidRPr="004644F1">
              <w:rPr>
                <w:rFonts w:ascii="Calibri" w:eastAsia="Times New Roman" w:hAnsi="Calibri" w:cs="Calibri"/>
                <w:color w:val="000000"/>
              </w:rPr>
              <w:t>AIC</w:t>
            </w:r>
          </w:p>
        </w:tc>
        <w:tc>
          <w:tcPr>
            <w:tcW w:w="1118" w:type="dxa"/>
            <w:gridSpan w:val="2"/>
            <w:tcBorders>
              <w:top w:val="nil"/>
              <w:left w:val="nil"/>
              <w:bottom w:val="nil"/>
              <w:right w:val="nil"/>
            </w:tcBorders>
            <w:shd w:val="clear" w:color="D9D9D9" w:fill="D9D9D9"/>
            <w:noWrap/>
            <w:vAlign w:val="bottom"/>
            <w:hideMark/>
          </w:tcPr>
          <w:p w14:paraId="2CF610A0" w14:textId="77777777" w:rsidR="00A20F65" w:rsidRPr="004644F1" w:rsidRDefault="00A20F65" w:rsidP="003E6D45">
            <w:pPr>
              <w:spacing w:after="0" w:line="240" w:lineRule="auto"/>
              <w:jc w:val="right"/>
              <w:rPr>
                <w:rFonts w:ascii="Calibri" w:eastAsia="Times New Roman" w:hAnsi="Calibri" w:cs="Calibri"/>
                <w:color w:val="000000"/>
              </w:rPr>
            </w:pPr>
            <w:r w:rsidRPr="004644F1">
              <w:rPr>
                <w:rFonts w:ascii="Calibri" w:eastAsia="Times New Roman" w:hAnsi="Calibri" w:cs="Calibri"/>
                <w:color w:val="000000"/>
              </w:rPr>
              <w:t>5199.5</w:t>
            </w:r>
          </w:p>
        </w:tc>
        <w:tc>
          <w:tcPr>
            <w:tcW w:w="1051" w:type="dxa"/>
            <w:gridSpan w:val="2"/>
            <w:tcBorders>
              <w:top w:val="nil"/>
              <w:left w:val="nil"/>
              <w:bottom w:val="nil"/>
              <w:right w:val="nil"/>
            </w:tcBorders>
            <w:shd w:val="clear" w:color="D9D9D9" w:fill="D9D9D9"/>
            <w:noWrap/>
            <w:vAlign w:val="bottom"/>
            <w:hideMark/>
          </w:tcPr>
          <w:p w14:paraId="76E882EB" w14:textId="77777777" w:rsidR="00A20F65" w:rsidRPr="004644F1" w:rsidRDefault="00A20F65" w:rsidP="003E6D45">
            <w:pPr>
              <w:spacing w:after="0" w:line="240" w:lineRule="auto"/>
              <w:jc w:val="right"/>
              <w:rPr>
                <w:rFonts w:ascii="Calibri" w:eastAsia="Times New Roman" w:hAnsi="Calibri" w:cs="Calibri"/>
                <w:color w:val="000000"/>
              </w:rPr>
            </w:pPr>
            <w:r w:rsidRPr="004644F1">
              <w:rPr>
                <w:rFonts w:ascii="Calibri" w:eastAsia="Times New Roman" w:hAnsi="Calibri" w:cs="Calibri"/>
                <w:color w:val="000000"/>
              </w:rPr>
              <w:t>16557.8</w:t>
            </w:r>
          </w:p>
        </w:tc>
      </w:tr>
      <w:tr w:rsidR="00A20F65" w:rsidRPr="004644F1" w14:paraId="3F2A3336" w14:textId="77777777" w:rsidTr="003E6D45">
        <w:trPr>
          <w:trHeight w:val="295"/>
        </w:trPr>
        <w:tc>
          <w:tcPr>
            <w:tcW w:w="2735" w:type="dxa"/>
            <w:tcBorders>
              <w:top w:val="nil"/>
              <w:left w:val="nil"/>
              <w:bottom w:val="single" w:sz="4" w:space="0" w:color="000000"/>
              <w:right w:val="nil"/>
            </w:tcBorders>
            <w:shd w:val="clear" w:color="auto" w:fill="auto"/>
            <w:noWrap/>
            <w:vAlign w:val="bottom"/>
            <w:hideMark/>
          </w:tcPr>
          <w:p w14:paraId="24873B1A" w14:textId="77777777" w:rsidR="00A20F65" w:rsidRPr="004644F1" w:rsidRDefault="00A20F65" w:rsidP="003E6D45">
            <w:pPr>
              <w:spacing w:after="0" w:line="240" w:lineRule="auto"/>
              <w:rPr>
                <w:rFonts w:ascii="Calibri" w:eastAsia="Times New Roman" w:hAnsi="Calibri" w:cs="Calibri"/>
                <w:color w:val="000000"/>
              </w:rPr>
            </w:pPr>
            <w:r w:rsidRPr="004644F1">
              <w:rPr>
                <w:rFonts w:ascii="Calibri" w:eastAsia="Times New Roman" w:hAnsi="Calibri" w:cs="Calibri"/>
                <w:color w:val="000000"/>
              </w:rPr>
              <w:t>BIC</w:t>
            </w:r>
          </w:p>
        </w:tc>
        <w:tc>
          <w:tcPr>
            <w:tcW w:w="1118" w:type="dxa"/>
            <w:gridSpan w:val="2"/>
            <w:tcBorders>
              <w:top w:val="nil"/>
              <w:left w:val="nil"/>
              <w:bottom w:val="single" w:sz="4" w:space="0" w:color="000000"/>
              <w:right w:val="nil"/>
            </w:tcBorders>
            <w:shd w:val="clear" w:color="auto" w:fill="auto"/>
            <w:noWrap/>
            <w:vAlign w:val="bottom"/>
            <w:hideMark/>
          </w:tcPr>
          <w:p w14:paraId="72F31DDF" w14:textId="77777777" w:rsidR="00A20F65" w:rsidRPr="004644F1" w:rsidRDefault="00A20F65" w:rsidP="003E6D45">
            <w:pPr>
              <w:spacing w:after="0" w:line="240" w:lineRule="auto"/>
              <w:jc w:val="right"/>
              <w:rPr>
                <w:rFonts w:ascii="Calibri" w:eastAsia="Times New Roman" w:hAnsi="Calibri" w:cs="Calibri"/>
                <w:color w:val="000000"/>
              </w:rPr>
            </w:pPr>
            <w:r w:rsidRPr="004644F1">
              <w:rPr>
                <w:rFonts w:ascii="Calibri" w:eastAsia="Times New Roman" w:hAnsi="Calibri" w:cs="Calibri"/>
                <w:color w:val="000000"/>
              </w:rPr>
              <w:t>5228.3</w:t>
            </w:r>
          </w:p>
        </w:tc>
        <w:tc>
          <w:tcPr>
            <w:tcW w:w="1051" w:type="dxa"/>
            <w:gridSpan w:val="2"/>
            <w:tcBorders>
              <w:top w:val="nil"/>
              <w:left w:val="nil"/>
              <w:bottom w:val="single" w:sz="4" w:space="0" w:color="000000"/>
              <w:right w:val="nil"/>
            </w:tcBorders>
            <w:shd w:val="clear" w:color="auto" w:fill="auto"/>
            <w:noWrap/>
            <w:vAlign w:val="bottom"/>
            <w:hideMark/>
          </w:tcPr>
          <w:p w14:paraId="73CDF483" w14:textId="77777777" w:rsidR="00A20F65" w:rsidRPr="004644F1" w:rsidRDefault="00A20F65" w:rsidP="003E6D45">
            <w:pPr>
              <w:spacing w:after="0" w:line="240" w:lineRule="auto"/>
              <w:jc w:val="right"/>
              <w:rPr>
                <w:rFonts w:ascii="Calibri" w:eastAsia="Times New Roman" w:hAnsi="Calibri" w:cs="Calibri"/>
                <w:color w:val="000000"/>
              </w:rPr>
            </w:pPr>
            <w:r w:rsidRPr="004644F1">
              <w:rPr>
                <w:rFonts w:ascii="Calibri" w:eastAsia="Times New Roman" w:hAnsi="Calibri" w:cs="Calibri"/>
                <w:color w:val="000000"/>
              </w:rPr>
              <w:t>16589.4</w:t>
            </w:r>
          </w:p>
        </w:tc>
      </w:tr>
    </w:tbl>
    <w:p w14:paraId="50FB6E91" w14:textId="77777777" w:rsidR="00A20F65" w:rsidRDefault="00A20F65" w:rsidP="00A20F65">
      <w:pPr>
        <w:pStyle w:val="NoSpacing"/>
        <w:rPr>
          <w:rFonts w:ascii="Times New Roman" w:hAnsi="Times New Roman" w:cs="Times New Roman"/>
          <w:sz w:val="18"/>
          <w:szCs w:val="18"/>
        </w:rPr>
      </w:pPr>
      <w:r w:rsidRPr="008E4020">
        <w:rPr>
          <w:rFonts w:ascii="Times New Roman" w:hAnsi="Times New Roman" w:cs="Times New Roman"/>
          <w:sz w:val="18"/>
          <w:szCs w:val="18"/>
        </w:rPr>
        <w:t>Note</w:t>
      </w:r>
      <w:r>
        <w:rPr>
          <w:rFonts w:ascii="Times New Roman" w:hAnsi="Times New Roman" w:cs="Times New Roman"/>
          <w:sz w:val="18"/>
          <w:szCs w:val="18"/>
        </w:rPr>
        <w:t>s</w:t>
      </w:r>
      <w:r w:rsidRPr="008E4020">
        <w:rPr>
          <w:rFonts w:ascii="Times New Roman" w:hAnsi="Times New Roman" w:cs="Times New Roman"/>
          <w:sz w:val="18"/>
          <w:szCs w:val="18"/>
        </w:rPr>
        <w:t xml:space="preserve">: Other control variables not shown. The specifications are the same as Table 4. t statistics in parentheses. </w:t>
      </w:r>
    </w:p>
    <w:p w14:paraId="58CD833F" w14:textId="77777777" w:rsidR="00A20F65" w:rsidRPr="002C6D09" w:rsidRDefault="00A20F65" w:rsidP="00A20F65">
      <w:pPr>
        <w:pStyle w:val="NoSpacing"/>
        <w:rPr>
          <w:rFonts w:ascii="Times New Roman" w:hAnsi="Times New Roman" w:cs="Times New Roman"/>
          <w:b/>
          <w:sz w:val="24"/>
          <w:szCs w:val="24"/>
        </w:rPr>
      </w:pPr>
      <w:r w:rsidRPr="008E4020">
        <w:rPr>
          <w:rFonts w:ascii="Times New Roman" w:hAnsi="Times New Roman" w:cs="Times New Roman"/>
          <w:sz w:val="18"/>
          <w:szCs w:val="18"/>
        </w:rPr>
        <w:t>* p&lt;0.10, ** p&lt;0.05, *** p&lt;0.01. Standard errors clustered by borough.</w:t>
      </w:r>
    </w:p>
    <w:p w14:paraId="5F30E82B" w14:textId="77777777" w:rsidR="00A20F65" w:rsidRDefault="00A20F65" w:rsidP="00A20F65"/>
    <w:p w14:paraId="47436FF0" w14:textId="6C2A6806" w:rsidR="00BD6A5C" w:rsidRPr="002C6D09" w:rsidRDefault="00BD6A5C" w:rsidP="00A20F65">
      <w:pPr>
        <w:rPr>
          <w:rFonts w:ascii="Times New Roman" w:hAnsi="Times New Roman" w:cs="Times New Roman"/>
          <w:b/>
          <w:sz w:val="24"/>
          <w:szCs w:val="24"/>
        </w:rPr>
      </w:pPr>
    </w:p>
    <w:sectPr w:rsidR="00BD6A5C" w:rsidRPr="002C6D09" w:rsidSect="002E6ABF">
      <w:footerReference w:type="default" r:id="rId2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6F16B" w14:textId="77777777" w:rsidR="0036329D" w:rsidRDefault="0036329D" w:rsidP="00C21F72">
      <w:pPr>
        <w:spacing w:after="0" w:line="240" w:lineRule="auto"/>
      </w:pPr>
      <w:r>
        <w:separator/>
      </w:r>
    </w:p>
  </w:endnote>
  <w:endnote w:type="continuationSeparator" w:id="0">
    <w:p w14:paraId="6C01E401" w14:textId="77777777" w:rsidR="0036329D" w:rsidRDefault="0036329D" w:rsidP="00C2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813423"/>
      <w:docPartObj>
        <w:docPartGallery w:val="Page Numbers (Bottom of Page)"/>
        <w:docPartUnique/>
      </w:docPartObj>
    </w:sdtPr>
    <w:sdtEndPr>
      <w:rPr>
        <w:noProof/>
      </w:rPr>
    </w:sdtEndPr>
    <w:sdtContent>
      <w:p w14:paraId="026B435E" w14:textId="77777777" w:rsidR="0036329D" w:rsidRDefault="003632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04220C" w14:textId="77777777" w:rsidR="0036329D" w:rsidRDefault="0036329D">
    <w:pPr>
      <w:pStyle w:val="Footer"/>
    </w:pPr>
  </w:p>
  <w:p w14:paraId="019B0959" w14:textId="77777777" w:rsidR="0036329D" w:rsidRDefault="00363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04CA2" w14:textId="77777777" w:rsidR="0036329D" w:rsidRDefault="0036329D" w:rsidP="00C21F72">
      <w:pPr>
        <w:spacing w:after="0" w:line="240" w:lineRule="auto"/>
      </w:pPr>
      <w:r>
        <w:separator/>
      </w:r>
    </w:p>
  </w:footnote>
  <w:footnote w:type="continuationSeparator" w:id="0">
    <w:p w14:paraId="63B18F39" w14:textId="77777777" w:rsidR="0036329D" w:rsidRDefault="0036329D" w:rsidP="00C21F72">
      <w:pPr>
        <w:spacing w:after="0" w:line="240" w:lineRule="auto"/>
      </w:pPr>
      <w:r>
        <w:continuationSeparator/>
      </w:r>
    </w:p>
  </w:footnote>
  <w:footnote w:id="1">
    <w:p w14:paraId="55345545" w14:textId="79C965BB" w:rsidR="0036329D" w:rsidRPr="007E3081" w:rsidRDefault="0036329D" w:rsidP="004C53B1">
      <w:pPr>
        <w:pStyle w:val="FootnoteText"/>
        <w:rPr>
          <w:rFonts w:ascii="Times New Roman" w:hAnsi="Times New Roman" w:cs="Times New Roman"/>
        </w:rPr>
      </w:pPr>
      <w:r w:rsidRPr="007E3081">
        <w:rPr>
          <w:rStyle w:val="FootnoteReference"/>
          <w:rFonts w:ascii="Times New Roman" w:hAnsi="Times New Roman" w:cs="Times New Roman"/>
        </w:rPr>
        <w:t>*</w:t>
      </w:r>
      <w:r w:rsidRPr="007E3081">
        <w:rPr>
          <w:rFonts w:ascii="Times New Roman" w:hAnsi="Times New Roman" w:cs="Times New Roman"/>
        </w:rPr>
        <w:t xml:space="preserve">We thank </w:t>
      </w:r>
      <w:r>
        <w:rPr>
          <w:rFonts w:ascii="Times New Roman" w:hAnsi="Times New Roman" w:cs="Times New Roman"/>
        </w:rPr>
        <w:t xml:space="preserve">the </w:t>
      </w:r>
      <w:r w:rsidRPr="007E3081">
        <w:rPr>
          <w:rFonts w:ascii="Times New Roman" w:hAnsi="Times New Roman" w:cs="Times New Roman"/>
        </w:rPr>
        <w:t xml:space="preserve">National Resources Defense Council for providing GIS maps related to Hurricane Sandy. </w:t>
      </w:r>
      <w:r>
        <w:rPr>
          <w:rFonts w:ascii="Times New Roman" w:hAnsi="Times New Roman" w:cs="Times New Roman"/>
        </w:rPr>
        <w:t xml:space="preserve">Earlier versions of the paper were presented at the 2017 AREUEA National Conference and the 2017 and 2020 Eastern Economics Association meetings. We thank the associate editor of this journal and the anonymous referees, as well as Steve </w:t>
      </w:r>
      <w:proofErr w:type="spellStart"/>
      <w:r>
        <w:rPr>
          <w:rFonts w:ascii="Times New Roman" w:hAnsi="Times New Roman" w:cs="Times New Roman"/>
        </w:rPr>
        <w:t>Malpezzi</w:t>
      </w:r>
      <w:proofErr w:type="spellEnd"/>
      <w:r>
        <w:rPr>
          <w:rFonts w:ascii="Times New Roman" w:hAnsi="Times New Roman" w:cs="Times New Roman"/>
        </w:rPr>
        <w:t xml:space="preserve"> and</w:t>
      </w:r>
      <w:r w:rsidRPr="00D41C99">
        <w:rPr>
          <w:rFonts w:ascii="Times New Roman" w:hAnsi="Times New Roman" w:cs="Times New Roman"/>
        </w:rPr>
        <w:t xml:space="preserve"> Suleyman </w:t>
      </w:r>
      <w:proofErr w:type="spellStart"/>
      <w:r w:rsidRPr="00D41C99">
        <w:rPr>
          <w:rFonts w:ascii="Times New Roman" w:hAnsi="Times New Roman" w:cs="Times New Roman"/>
        </w:rPr>
        <w:t>Taspinar</w:t>
      </w:r>
      <w:proofErr w:type="spellEnd"/>
      <w:r>
        <w:rPr>
          <w:rFonts w:ascii="Times New Roman" w:hAnsi="Times New Roman" w:cs="Times New Roman"/>
        </w:rPr>
        <w:t>, for their comments. Any errors belong to the authors.</w:t>
      </w:r>
    </w:p>
  </w:footnote>
  <w:footnote w:id="2">
    <w:p w14:paraId="53B80AC9" w14:textId="77777777" w:rsidR="0036329D" w:rsidRPr="009B0EF9" w:rsidRDefault="0036329D" w:rsidP="000D2F43">
      <w:pPr>
        <w:pStyle w:val="FootnoteText"/>
        <w:rPr>
          <w:rFonts w:ascii="Times New Roman" w:hAnsi="Times New Roman" w:cs="Times New Roman"/>
        </w:rPr>
      </w:pPr>
      <w:r w:rsidRPr="009B0EF9">
        <w:rPr>
          <w:rStyle w:val="FootnoteReference"/>
          <w:rFonts w:ascii="Times New Roman" w:hAnsi="Times New Roman" w:cs="Times New Roman"/>
        </w:rPr>
        <w:footnoteRef/>
      </w:r>
      <w:r w:rsidRPr="009B0EF9">
        <w:rPr>
          <w:rFonts w:ascii="Times New Roman" w:hAnsi="Times New Roman" w:cs="Times New Roman"/>
        </w:rPr>
        <w:t xml:space="preserve"> For Harvey see: </w:t>
      </w:r>
      <w:hyperlink r:id="rId1" w:history="1">
        <w:r w:rsidRPr="009B0EF9">
          <w:rPr>
            <w:rStyle w:val="Hyperlink"/>
            <w:rFonts w:ascii="Times New Roman" w:hAnsi="Times New Roman" w:cs="Times New Roman"/>
          </w:rPr>
          <w:t>https://www.nytimes.com/interactive/2017/09/01/us/houston-damaged-buildings-in-fema-flood-zones.html?mcubz=1&amp;_r=1</w:t>
        </w:r>
      </w:hyperlink>
      <w:r w:rsidRPr="009B0EF9">
        <w:rPr>
          <w:rFonts w:ascii="Times New Roman" w:hAnsi="Times New Roman" w:cs="Times New Roman"/>
        </w:rPr>
        <w:t>.</w:t>
      </w:r>
    </w:p>
  </w:footnote>
  <w:footnote w:id="3">
    <w:p w14:paraId="6E89986A" w14:textId="77777777" w:rsidR="0036329D" w:rsidRPr="00E770E6" w:rsidRDefault="0036329D" w:rsidP="000D2F43">
      <w:pPr>
        <w:pStyle w:val="FootnoteText"/>
        <w:rPr>
          <w:rFonts w:ascii="Times New Roman" w:hAnsi="Times New Roman" w:cs="Times New Roman"/>
        </w:rPr>
      </w:pPr>
      <w:r w:rsidRPr="009B0EF9">
        <w:rPr>
          <w:rStyle w:val="FootnoteReference"/>
          <w:rFonts w:ascii="Times New Roman" w:hAnsi="Times New Roman" w:cs="Times New Roman"/>
        </w:rPr>
        <w:footnoteRef/>
      </w:r>
      <w:r w:rsidRPr="009B0EF9">
        <w:rPr>
          <w:rFonts w:ascii="Times New Roman" w:hAnsi="Times New Roman" w:cs="Times New Roman"/>
        </w:rPr>
        <w:t xml:space="preserve"> For New York City see: </w:t>
      </w:r>
      <w:hyperlink r:id="rId2" w:history="1">
        <w:r w:rsidRPr="009B0EF9">
          <w:rPr>
            <w:rStyle w:val="Hyperlink"/>
            <w:rFonts w:ascii="Times New Roman" w:hAnsi="Times New Roman" w:cs="Times New Roman"/>
          </w:rPr>
          <w:t>http://www.nyc.gov/html/sirr/downloads/pdf/final_report/Ch_1_SandyImpacts_FINAL_singles.pdf</w:t>
        </w:r>
      </w:hyperlink>
      <w:r w:rsidRPr="009B0EF9">
        <w:rPr>
          <w:rFonts w:ascii="Times New Roman" w:hAnsi="Times New Roman" w:cs="Times New Roman"/>
        </w:rPr>
        <w:t>.</w:t>
      </w:r>
    </w:p>
  </w:footnote>
  <w:footnote w:id="4">
    <w:p w14:paraId="0DCCC62C" w14:textId="6B4CC1EB" w:rsidR="0036329D" w:rsidRDefault="0036329D">
      <w:pPr>
        <w:pStyle w:val="FootnoteText"/>
      </w:pPr>
      <w:r>
        <w:rPr>
          <w:rStyle w:val="FootnoteReference"/>
        </w:rPr>
        <w:footnoteRef/>
      </w:r>
      <w:r>
        <w:t xml:space="preserve"> </w:t>
      </w:r>
      <w:r w:rsidRPr="00020188">
        <w:rPr>
          <w:rFonts w:ascii="Times New Roman" w:hAnsi="Times New Roman" w:cs="Times New Roman"/>
        </w:rPr>
        <w:t xml:space="preserve">Note that as of </w:t>
      </w:r>
      <w:r>
        <w:rPr>
          <w:rFonts w:ascii="Times New Roman" w:hAnsi="Times New Roman" w:cs="Times New Roman"/>
        </w:rPr>
        <w:t>October</w:t>
      </w:r>
      <w:r w:rsidRPr="00020188">
        <w:rPr>
          <w:rFonts w:ascii="Times New Roman" w:hAnsi="Times New Roman" w:cs="Times New Roman"/>
        </w:rPr>
        <w:t xml:space="preserve"> 2020, the FIRMS for New York City have not officially changed from what they were before Sandy. Evidently, the process of changing the maps has proven too politically contentious (</w:t>
      </w:r>
      <w:r>
        <w:rPr>
          <w:rFonts w:ascii="Times New Roman" w:hAnsi="Times New Roman" w:cs="Times New Roman"/>
        </w:rPr>
        <w:t>New York City, 2020</w:t>
      </w:r>
      <w:r w:rsidRPr="00020188">
        <w:rPr>
          <w:rFonts w:ascii="Times New Roman" w:hAnsi="Times New Roman" w:cs="Times New Roman"/>
        </w:rPr>
        <w:t>).</w:t>
      </w:r>
    </w:p>
  </w:footnote>
  <w:footnote w:id="5">
    <w:p w14:paraId="14955A4A" w14:textId="3D23F11C" w:rsidR="0036329D" w:rsidRPr="00897E66" w:rsidRDefault="0036329D">
      <w:pPr>
        <w:pStyle w:val="FootnoteText"/>
        <w:rPr>
          <w:rFonts w:ascii="Times New Roman" w:hAnsi="Times New Roman" w:cs="Times New Roman"/>
        </w:rPr>
      </w:pPr>
      <w:r w:rsidRPr="00B90979">
        <w:rPr>
          <w:rStyle w:val="FootnoteReference"/>
          <w:rFonts w:ascii="Times New Roman" w:hAnsi="Times New Roman" w:cs="Times New Roman"/>
        </w:rPr>
        <w:footnoteRef/>
      </w:r>
      <w:r w:rsidRPr="00B90979">
        <w:rPr>
          <w:rFonts w:ascii="Times New Roman" w:hAnsi="Times New Roman" w:cs="Times New Roman"/>
        </w:rPr>
        <w:t xml:space="preserve"> Other more general studies, that do not explicitly focus on risk perceptions, include Bin et al. (2011), who focus on a similar geographic area in North Carolina as Bin and Landry (2013), to estimate an approximate value of lost property due to potential flooding in these areas. For a 20 to 70 year period into the future, they forecast between a $179 million and $576 million loss for properties in four counties near the shore in North Carolina. </w:t>
      </w:r>
      <w:proofErr w:type="spellStart"/>
      <w:r w:rsidRPr="00B90979">
        <w:rPr>
          <w:rFonts w:ascii="Times New Roman" w:hAnsi="Times New Roman" w:cs="Times New Roman"/>
        </w:rPr>
        <w:t>Atreya</w:t>
      </w:r>
      <w:proofErr w:type="spellEnd"/>
      <w:r w:rsidRPr="00B90979">
        <w:rPr>
          <w:rFonts w:ascii="Times New Roman" w:hAnsi="Times New Roman" w:cs="Times New Roman"/>
        </w:rPr>
        <w:t xml:space="preserve"> and </w:t>
      </w:r>
      <w:proofErr w:type="spellStart"/>
      <w:r w:rsidRPr="00B90979">
        <w:rPr>
          <w:rFonts w:ascii="Times New Roman" w:hAnsi="Times New Roman" w:cs="Times New Roman"/>
        </w:rPr>
        <w:t>Czajkowski</w:t>
      </w:r>
      <w:proofErr w:type="spellEnd"/>
      <w:r w:rsidRPr="00B90979">
        <w:rPr>
          <w:rFonts w:ascii="Times New Roman" w:hAnsi="Times New Roman" w:cs="Times New Roman"/>
        </w:rPr>
        <w:t xml:space="preserve"> (201</w:t>
      </w:r>
      <w:r>
        <w:rPr>
          <w:rFonts w:ascii="Times New Roman" w:hAnsi="Times New Roman" w:cs="Times New Roman"/>
        </w:rPr>
        <w:t>9</w:t>
      </w:r>
      <w:r w:rsidRPr="00B90979">
        <w:rPr>
          <w:rFonts w:ascii="Times New Roman" w:hAnsi="Times New Roman" w:cs="Times New Roman"/>
        </w:rPr>
        <w:t>) use a spatial hedonic model to study the price effects of proximity to the coast in Galveston, Texas. They find that with ¼ mile from the coast, properties sell for higher prices than those that are further away.  An earlier study in this literature is MacDonald, Murdoch and White (1987), who estimate a hedonic house price function to study Monroe, Louisiana, an area prone to flooding. Given the nonlinear functional form for the dependent variable (i.e., the sales price), it is not straightforward in general to indicate one magnitude and direction for the marginal effects, but these effects depend on the fitted values of each of the sales prices. They provide a few examples of the effects for a small sample of homes, and they find that for these houses a higher flood risk leads to a decrease in sales prices in the range of $2000 to $8000. But n</w:t>
      </w:r>
      <w:r>
        <w:rPr>
          <w:rFonts w:ascii="Times New Roman" w:hAnsi="Times New Roman" w:cs="Times New Roman"/>
        </w:rPr>
        <w:t>one</w:t>
      </w:r>
      <w:r w:rsidRPr="00B90979">
        <w:rPr>
          <w:rFonts w:ascii="Times New Roman" w:hAnsi="Times New Roman" w:cs="Times New Roman"/>
        </w:rPr>
        <w:t xml:space="preserve"> of these studies </w:t>
      </w:r>
      <w:r>
        <w:rPr>
          <w:rFonts w:ascii="Times New Roman" w:hAnsi="Times New Roman" w:cs="Times New Roman"/>
        </w:rPr>
        <w:t xml:space="preserve">explicitly </w:t>
      </w:r>
      <w:r w:rsidRPr="00B90979">
        <w:rPr>
          <w:rFonts w:ascii="Times New Roman" w:hAnsi="Times New Roman" w:cs="Times New Roman"/>
        </w:rPr>
        <w:t>consider how changes in expectations of flood risks impact house prices.</w:t>
      </w:r>
    </w:p>
  </w:footnote>
  <w:footnote w:id="6">
    <w:p w14:paraId="0FB0BC19" w14:textId="20D00F50" w:rsidR="0036329D" w:rsidRPr="00897E66" w:rsidRDefault="0036329D" w:rsidP="00897E66">
      <w:pPr>
        <w:pStyle w:val="NoSpacing"/>
        <w:rPr>
          <w:rFonts w:ascii="Times New Roman" w:hAnsi="Times New Roman" w:cs="Times New Roman"/>
          <w:sz w:val="20"/>
          <w:szCs w:val="20"/>
        </w:rPr>
      </w:pPr>
      <w:r w:rsidRPr="00897E66">
        <w:rPr>
          <w:rStyle w:val="FootnoteReference"/>
          <w:rFonts w:ascii="Times New Roman" w:hAnsi="Times New Roman" w:cs="Times New Roman"/>
          <w:sz w:val="20"/>
          <w:szCs w:val="20"/>
        </w:rPr>
        <w:footnoteRef/>
      </w:r>
      <w:r w:rsidRPr="00897E66">
        <w:rPr>
          <w:rFonts w:ascii="Times New Roman" w:hAnsi="Times New Roman" w:cs="Times New Roman"/>
          <w:sz w:val="20"/>
          <w:szCs w:val="20"/>
        </w:rPr>
        <w:t xml:space="preserve"> Examining the impacts of a hurricane as a natural experiment extends beyond the literature on real estate impacts. Meltzer </w:t>
      </w:r>
      <w:r>
        <w:rPr>
          <w:rFonts w:ascii="Times New Roman" w:hAnsi="Times New Roman" w:cs="Times New Roman"/>
          <w:sz w:val="20"/>
          <w:szCs w:val="20"/>
        </w:rPr>
        <w:t>et al.</w:t>
      </w:r>
      <w:r w:rsidRPr="00897E66">
        <w:rPr>
          <w:rFonts w:ascii="Times New Roman" w:hAnsi="Times New Roman" w:cs="Times New Roman"/>
          <w:sz w:val="20"/>
          <w:szCs w:val="20"/>
        </w:rPr>
        <w:t xml:space="preserve"> (201</w:t>
      </w:r>
      <w:r>
        <w:rPr>
          <w:rFonts w:ascii="Times New Roman" w:hAnsi="Times New Roman" w:cs="Times New Roman"/>
          <w:sz w:val="20"/>
          <w:szCs w:val="20"/>
        </w:rPr>
        <w:t>9</w:t>
      </w:r>
      <w:r w:rsidRPr="00897E66">
        <w:rPr>
          <w:rFonts w:ascii="Times New Roman" w:hAnsi="Times New Roman" w:cs="Times New Roman"/>
          <w:sz w:val="20"/>
          <w:szCs w:val="20"/>
        </w:rPr>
        <w:t>) investigate the impact of Hurricane Sandy on small businesses vulnerability in New York City by looking at firms and employment before and after the storm. Their regression results show significant post-Sandy job declines, of about 4.5 to 6 per census block, for the retail sector only. But, across all job types, the impacts from Sandy are noisy and largely insignificant.</w:t>
      </w:r>
    </w:p>
    <w:p w14:paraId="7CB69B64" w14:textId="0A2CBA11" w:rsidR="0036329D" w:rsidRDefault="0036329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F1E36"/>
    <w:multiLevelType w:val="hybridMultilevel"/>
    <w:tmpl w:val="D9345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F2EB0"/>
    <w:multiLevelType w:val="hybridMultilevel"/>
    <w:tmpl w:val="4ACA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81050"/>
    <w:multiLevelType w:val="hybridMultilevel"/>
    <w:tmpl w:val="96F83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B282E"/>
    <w:multiLevelType w:val="hybridMultilevel"/>
    <w:tmpl w:val="E40097C4"/>
    <w:lvl w:ilvl="0" w:tplc="00D0A2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07A3F"/>
    <w:multiLevelType w:val="hybridMultilevel"/>
    <w:tmpl w:val="2A60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9000E"/>
    <w:multiLevelType w:val="hybridMultilevel"/>
    <w:tmpl w:val="2B90AD42"/>
    <w:lvl w:ilvl="0" w:tplc="B0C63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100AD"/>
    <w:multiLevelType w:val="hybridMultilevel"/>
    <w:tmpl w:val="80965A98"/>
    <w:lvl w:ilvl="0" w:tplc="533C8D8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C11CA"/>
    <w:multiLevelType w:val="multilevel"/>
    <w:tmpl w:val="5FBABAD8"/>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33550700"/>
    <w:multiLevelType w:val="hybridMultilevel"/>
    <w:tmpl w:val="A42E0286"/>
    <w:lvl w:ilvl="0" w:tplc="23F48C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50845"/>
    <w:multiLevelType w:val="hybridMultilevel"/>
    <w:tmpl w:val="C14ADA0A"/>
    <w:lvl w:ilvl="0" w:tplc="C56E83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121CF"/>
    <w:multiLevelType w:val="multilevel"/>
    <w:tmpl w:val="E1C4A12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853A72"/>
    <w:multiLevelType w:val="hybridMultilevel"/>
    <w:tmpl w:val="C5ACF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226F5"/>
    <w:multiLevelType w:val="hybridMultilevel"/>
    <w:tmpl w:val="B7BE6AB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60FF6"/>
    <w:multiLevelType w:val="hybridMultilevel"/>
    <w:tmpl w:val="DFCEA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64F70"/>
    <w:multiLevelType w:val="hybridMultilevel"/>
    <w:tmpl w:val="4156136C"/>
    <w:lvl w:ilvl="0" w:tplc="B43CE0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30B33"/>
    <w:multiLevelType w:val="multilevel"/>
    <w:tmpl w:val="63B0BB7E"/>
    <w:lvl w:ilvl="0">
      <w:start w:val="1"/>
      <w:numFmt w:val="decimal"/>
      <w:lvlText w:val="%1."/>
      <w:lvlJc w:val="left"/>
      <w:pPr>
        <w:ind w:left="810" w:hanging="360"/>
      </w:pPr>
      <w:rPr>
        <w:rFonts w:hint="default"/>
      </w:rPr>
    </w:lvl>
    <w:lvl w:ilvl="1">
      <w:start w:val="2"/>
      <w:numFmt w:val="decimal"/>
      <w:isLgl/>
      <w:lvlText w:val="%1.%2."/>
      <w:lvlJc w:val="left"/>
      <w:pPr>
        <w:ind w:left="13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D685975"/>
    <w:multiLevelType w:val="multilevel"/>
    <w:tmpl w:val="15C6939A"/>
    <w:lvl w:ilvl="0">
      <w:start w:val="1"/>
      <w:numFmt w:val="decimal"/>
      <w:lvlText w:val="%1."/>
      <w:lvlJc w:val="left"/>
      <w:pPr>
        <w:ind w:left="420" w:hanging="360"/>
      </w:pPr>
      <w:rPr>
        <w:rFonts w:hint="default"/>
      </w:rPr>
    </w:lvl>
    <w:lvl w:ilvl="1">
      <w:start w:val="1"/>
      <w:numFmt w:val="decimal"/>
      <w:isLgl/>
      <w:lvlText w:val="%1.%2"/>
      <w:lvlJc w:val="left"/>
      <w:pPr>
        <w:ind w:left="600" w:hanging="540"/>
      </w:pPr>
      <w:rPr>
        <w:rFonts w:hint="default"/>
      </w:rPr>
    </w:lvl>
    <w:lvl w:ilvl="2">
      <w:start w:val="4"/>
      <w:numFmt w:val="decimal"/>
      <w:isLgl/>
      <w:lvlText w:val="%1.%2.%3"/>
      <w:lvlJc w:val="left"/>
      <w:pPr>
        <w:ind w:left="162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abstractNumId w:val="15"/>
  </w:num>
  <w:num w:numId="2">
    <w:abstractNumId w:val="6"/>
  </w:num>
  <w:num w:numId="3">
    <w:abstractNumId w:val="11"/>
  </w:num>
  <w:num w:numId="4">
    <w:abstractNumId w:val="5"/>
  </w:num>
  <w:num w:numId="5">
    <w:abstractNumId w:val="10"/>
  </w:num>
  <w:num w:numId="6">
    <w:abstractNumId w:val="3"/>
  </w:num>
  <w:num w:numId="7">
    <w:abstractNumId w:val="13"/>
  </w:num>
  <w:num w:numId="8">
    <w:abstractNumId w:val="7"/>
  </w:num>
  <w:num w:numId="9">
    <w:abstractNumId w:val="12"/>
  </w:num>
  <w:num w:numId="10">
    <w:abstractNumId w:val="2"/>
  </w:num>
  <w:num w:numId="11">
    <w:abstractNumId w:val="9"/>
  </w:num>
  <w:num w:numId="12">
    <w:abstractNumId w:val="16"/>
  </w:num>
  <w:num w:numId="13">
    <w:abstractNumId w:val="0"/>
  </w:num>
  <w:num w:numId="14">
    <w:abstractNumId w:val="8"/>
  </w:num>
  <w:num w:numId="15">
    <w:abstractNumId w:val="4"/>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72"/>
    <w:rsid w:val="00000160"/>
    <w:rsid w:val="000030DC"/>
    <w:rsid w:val="00005A63"/>
    <w:rsid w:val="00006C24"/>
    <w:rsid w:val="000128B7"/>
    <w:rsid w:val="00012A67"/>
    <w:rsid w:val="000150B8"/>
    <w:rsid w:val="00020188"/>
    <w:rsid w:val="00020332"/>
    <w:rsid w:val="00023B73"/>
    <w:rsid w:val="00027532"/>
    <w:rsid w:val="0003193E"/>
    <w:rsid w:val="0003373F"/>
    <w:rsid w:val="000365D7"/>
    <w:rsid w:val="00036C02"/>
    <w:rsid w:val="00037E4C"/>
    <w:rsid w:val="00042421"/>
    <w:rsid w:val="0004362C"/>
    <w:rsid w:val="00044919"/>
    <w:rsid w:val="0004554D"/>
    <w:rsid w:val="0004765B"/>
    <w:rsid w:val="0005095A"/>
    <w:rsid w:val="00050AFB"/>
    <w:rsid w:val="0005228B"/>
    <w:rsid w:val="000523C8"/>
    <w:rsid w:val="00052B44"/>
    <w:rsid w:val="0006210A"/>
    <w:rsid w:val="000633AD"/>
    <w:rsid w:val="00065258"/>
    <w:rsid w:val="00066B93"/>
    <w:rsid w:val="00066F1A"/>
    <w:rsid w:val="00072CCB"/>
    <w:rsid w:val="000734D6"/>
    <w:rsid w:val="0007423B"/>
    <w:rsid w:val="00076744"/>
    <w:rsid w:val="0007685D"/>
    <w:rsid w:val="000802A8"/>
    <w:rsid w:val="00081FD5"/>
    <w:rsid w:val="000840D7"/>
    <w:rsid w:val="00084891"/>
    <w:rsid w:val="00085B1F"/>
    <w:rsid w:val="00086A65"/>
    <w:rsid w:val="00087187"/>
    <w:rsid w:val="000873D4"/>
    <w:rsid w:val="00092462"/>
    <w:rsid w:val="00093088"/>
    <w:rsid w:val="00096C7D"/>
    <w:rsid w:val="000A4CA9"/>
    <w:rsid w:val="000A7372"/>
    <w:rsid w:val="000B12B1"/>
    <w:rsid w:val="000B344B"/>
    <w:rsid w:val="000B3C6B"/>
    <w:rsid w:val="000B5DD7"/>
    <w:rsid w:val="000B6C6D"/>
    <w:rsid w:val="000C45F7"/>
    <w:rsid w:val="000C5661"/>
    <w:rsid w:val="000C6564"/>
    <w:rsid w:val="000C753D"/>
    <w:rsid w:val="000D0704"/>
    <w:rsid w:val="000D23E7"/>
    <w:rsid w:val="000D2F43"/>
    <w:rsid w:val="000D50AD"/>
    <w:rsid w:val="000D71CE"/>
    <w:rsid w:val="000D7CD0"/>
    <w:rsid w:val="000E05C4"/>
    <w:rsid w:val="000E5444"/>
    <w:rsid w:val="000E5740"/>
    <w:rsid w:val="000E7E31"/>
    <w:rsid w:val="000F07CC"/>
    <w:rsid w:val="000F4D10"/>
    <w:rsid w:val="000F50BC"/>
    <w:rsid w:val="000F5C5F"/>
    <w:rsid w:val="001016E6"/>
    <w:rsid w:val="00104F5B"/>
    <w:rsid w:val="00105780"/>
    <w:rsid w:val="0010585C"/>
    <w:rsid w:val="00106442"/>
    <w:rsid w:val="001065A6"/>
    <w:rsid w:val="001069E9"/>
    <w:rsid w:val="00107C3A"/>
    <w:rsid w:val="0011274E"/>
    <w:rsid w:val="00113F35"/>
    <w:rsid w:val="001154AC"/>
    <w:rsid w:val="001156BD"/>
    <w:rsid w:val="00121670"/>
    <w:rsid w:val="00121DFA"/>
    <w:rsid w:val="00122BE1"/>
    <w:rsid w:val="00124EE4"/>
    <w:rsid w:val="00125E72"/>
    <w:rsid w:val="0012644E"/>
    <w:rsid w:val="00131AFF"/>
    <w:rsid w:val="00131C04"/>
    <w:rsid w:val="00132407"/>
    <w:rsid w:val="001326AF"/>
    <w:rsid w:val="0013488D"/>
    <w:rsid w:val="00134A74"/>
    <w:rsid w:val="00134AB4"/>
    <w:rsid w:val="00135FBD"/>
    <w:rsid w:val="001422D3"/>
    <w:rsid w:val="0014237A"/>
    <w:rsid w:val="00142862"/>
    <w:rsid w:val="00142C45"/>
    <w:rsid w:val="00143786"/>
    <w:rsid w:val="001442A6"/>
    <w:rsid w:val="0015007C"/>
    <w:rsid w:val="0015126F"/>
    <w:rsid w:val="00152DD8"/>
    <w:rsid w:val="00152F43"/>
    <w:rsid w:val="001532B8"/>
    <w:rsid w:val="00155FBC"/>
    <w:rsid w:val="0015695C"/>
    <w:rsid w:val="001579C2"/>
    <w:rsid w:val="00161150"/>
    <w:rsid w:val="00161B92"/>
    <w:rsid w:val="00162F36"/>
    <w:rsid w:val="00164A18"/>
    <w:rsid w:val="001662CF"/>
    <w:rsid w:val="00170FC3"/>
    <w:rsid w:val="00171610"/>
    <w:rsid w:val="001735D4"/>
    <w:rsid w:val="001752D8"/>
    <w:rsid w:val="001756C0"/>
    <w:rsid w:val="001766A1"/>
    <w:rsid w:val="00176F38"/>
    <w:rsid w:val="0018351B"/>
    <w:rsid w:val="00186F41"/>
    <w:rsid w:val="00187DCD"/>
    <w:rsid w:val="00192E75"/>
    <w:rsid w:val="001932D6"/>
    <w:rsid w:val="001946CF"/>
    <w:rsid w:val="00196657"/>
    <w:rsid w:val="00196A48"/>
    <w:rsid w:val="001A26A5"/>
    <w:rsid w:val="001A35EE"/>
    <w:rsid w:val="001A4951"/>
    <w:rsid w:val="001A63B3"/>
    <w:rsid w:val="001A66F2"/>
    <w:rsid w:val="001A6D2F"/>
    <w:rsid w:val="001A76BE"/>
    <w:rsid w:val="001A771D"/>
    <w:rsid w:val="001B00F1"/>
    <w:rsid w:val="001B4ADA"/>
    <w:rsid w:val="001B4D0F"/>
    <w:rsid w:val="001B4FA7"/>
    <w:rsid w:val="001B54A9"/>
    <w:rsid w:val="001B630B"/>
    <w:rsid w:val="001B7758"/>
    <w:rsid w:val="001C0B01"/>
    <w:rsid w:val="001C19B5"/>
    <w:rsid w:val="001C19D6"/>
    <w:rsid w:val="001C3374"/>
    <w:rsid w:val="001C411B"/>
    <w:rsid w:val="001C4519"/>
    <w:rsid w:val="001D015A"/>
    <w:rsid w:val="001D073C"/>
    <w:rsid w:val="001D0C4C"/>
    <w:rsid w:val="001D285F"/>
    <w:rsid w:val="001D3629"/>
    <w:rsid w:val="001D400C"/>
    <w:rsid w:val="001D418B"/>
    <w:rsid w:val="001D6BBE"/>
    <w:rsid w:val="001D7228"/>
    <w:rsid w:val="001D7386"/>
    <w:rsid w:val="001D7597"/>
    <w:rsid w:val="001D7D0E"/>
    <w:rsid w:val="001E0E94"/>
    <w:rsid w:val="001E20F8"/>
    <w:rsid w:val="001E2170"/>
    <w:rsid w:val="001E3807"/>
    <w:rsid w:val="001E4542"/>
    <w:rsid w:val="001E5C0F"/>
    <w:rsid w:val="001E7711"/>
    <w:rsid w:val="001F13AD"/>
    <w:rsid w:val="001F2DFD"/>
    <w:rsid w:val="001F4495"/>
    <w:rsid w:val="001F4AEC"/>
    <w:rsid w:val="001F55EA"/>
    <w:rsid w:val="00200C16"/>
    <w:rsid w:val="00200F65"/>
    <w:rsid w:val="002024B2"/>
    <w:rsid w:val="002026DC"/>
    <w:rsid w:val="0020415F"/>
    <w:rsid w:val="002052BD"/>
    <w:rsid w:val="002053AD"/>
    <w:rsid w:val="00206940"/>
    <w:rsid w:val="00210BD3"/>
    <w:rsid w:val="002126E9"/>
    <w:rsid w:val="00213743"/>
    <w:rsid w:val="0021588E"/>
    <w:rsid w:val="002171E8"/>
    <w:rsid w:val="002227C8"/>
    <w:rsid w:val="0022303A"/>
    <w:rsid w:val="002235F8"/>
    <w:rsid w:val="00225520"/>
    <w:rsid w:val="00225656"/>
    <w:rsid w:val="00225E62"/>
    <w:rsid w:val="00226216"/>
    <w:rsid w:val="002263EA"/>
    <w:rsid w:val="002309C7"/>
    <w:rsid w:val="00230BAB"/>
    <w:rsid w:val="00231A4A"/>
    <w:rsid w:val="00232719"/>
    <w:rsid w:val="0023549F"/>
    <w:rsid w:val="00236885"/>
    <w:rsid w:val="00236EEA"/>
    <w:rsid w:val="0024179F"/>
    <w:rsid w:val="00247CAA"/>
    <w:rsid w:val="00252445"/>
    <w:rsid w:val="0025491C"/>
    <w:rsid w:val="0025661A"/>
    <w:rsid w:val="0026083C"/>
    <w:rsid w:val="00260BBF"/>
    <w:rsid w:val="00262D88"/>
    <w:rsid w:val="002666CF"/>
    <w:rsid w:val="002700F2"/>
    <w:rsid w:val="002716FA"/>
    <w:rsid w:val="002722FA"/>
    <w:rsid w:val="0027265C"/>
    <w:rsid w:val="00273874"/>
    <w:rsid w:val="00273D2F"/>
    <w:rsid w:val="0027442A"/>
    <w:rsid w:val="002762C5"/>
    <w:rsid w:val="00276500"/>
    <w:rsid w:val="0027691E"/>
    <w:rsid w:val="0027747C"/>
    <w:rsid w:val="00281763"/>
    <w:rsid w:val="002829CD"/>
    <w:rsid w:val="0028419A"/>
    <w:rsid w:val="002847D1"/>
    <w:rsid w:val="0028504A"/>
    <w:rsid w:val="00285BFB"/>
    <w:rsid w:val="0028674F"/>
    <w:rsid w:val="002914E1"/>
    <w:rsid w:val="00292C35"/>
    <w:rsid w:val="00295A77"/>
    <w:rsid w:val="00297105"/>
    <w:rsid w:val="00297109"/>
    <w:rsid w:val="00297BA4"/>
    <w:rsid w:val="002A1E02"/>
    <w:rsid w:val="002A2138"/>
    <w:rsid w:val="002A446E"/>
    <w:rsid w:val="002A4DE3"/>
    <w:rsid w:val="002A4E70"/>
    <w:rsid w:val="002A58C8"/>
    <w:rsid w:val="002A6F4A"/>
    <w:rsid w:val="002A7568"/>
    <w:rsid w:val="002B02B7"/>
    <w:rsid w:val="002B113C"/>
    <w:rsid w:val="002B2020"/>
    <w:rsid w:val="002B2F0A"/>
    <w:rsid w:val="002B3562"/>
    <w:rsid w:val="002B49D2"/>
    <w:rsid w:val="002B5FF9"/>
    <w:rsid w:val="002B63A4"/>
    <w:rsid w:val="002B6F16"/>
    <w:rsid w:val="002B7F46"/>
    <w:rsid w:val="002C08E7"/>
    <w:rsid w:val="002C1327"/>
    <w:rsid w:val="002C1433"/>
    <w:rsid w:val="002C3544"/>
    <w:rsid w:val="002C38C1"/>
    <w:rsid w:val="002C47F9"/>
    <w:rsid w:val="002C6D09"/>
    <w:rsid w:val="002C7838"/>
    <w:rsid w:val="002D0454"/>
    <w:rsid w:val="002D065B"/>
    <w:rsid w:val="002D0B30"/>
    <w:rsid w:val="002D1D82"/>
    <w:rsid w:val="002D3CB6"/>
    <w:rsid w:val="002D4FEC"/>
    <w:rsid w:val="002D5592"/>
    <w:rsid w:val="002D5AA7"/>
    <w:rsid w:val="002D6460"/>
    <w:rsid w:val="002D6A33"/>
    <w:rsid w:val="002D7A72"/>
    <w:rsid w:val="002E0E91"/>
    <w:rsid w:val="002E1DA0"/>
    <w:rsid w:val="002E416C"/>
    <w:rsid w:val="002E63DC"/>
    <w:rsid w:val="002E66F1"/>
    <w:rsid w:val="002E6A33"/>
    <w:rsid w:val="002E6ABF"/>
    <w:rsid w:val="002E722D"/>
    <w:rsid w:val="002F3691"/>
    <w:rsid w:val="002F61D3"/>
    <w:rsid w:val="00300DCE"/>
    <w:rsid w:val="00302299"/>
    <w:rsid w:val="003049B2"/>
    <w:rsid w:val="00305877"/>
    <w:rsid w:val="003064B9"/>
    <w:rsid w:val="00307675"/>
    <w:rsid w:val="00307895"/>
    <w:rsid w:val="003114C9"/>
    <w:rsid w:val="003115D5"/>
    <w:rsid w:val="003132BB"/>
    <w:rsid w:val="0031627D"/>
    <w:rsid w:val="00316999"/>
    <w:rsid w:val="00317692"/>
    <w:rsid w:val="00320AA4"/>
    <w:rsid w:val="003222CC"/>
    <w:rsid w:val="00323064"/>
    <w:rsid w:val="0032717F"/>
    <w:rsid w:val="003274CC"/>
    <w:rsid w:val="00332301"/>
    <w:rsid w:val="00333373"/>
    <w:rsid w:val="003333C0"/>
    <w:rsid w:val="003336CE"/>
    <w:rsid w:val="00334424"/>
    <w:rsid w:val="0033531B"/>
    <w:rsid w:val="00337903"/>
    <w:rsid w:val="00341F37"/>
    <w:rsid w:val="00342A98"/>
    <w:rsid w:val="00343197"/>
    <w:rsid w:val="00343488"/>
    <w:rsid w:val="00344081"/>
    <w:rsid w:val="0034598A"/>
    <w:rsid w:val="00346DE7"/>
    <w:rsid w:val="00350608"/>
    <w:rsid w:val="00354545"/>
    <w:rsid w:val="00355542"/>
    <w:rsid w:val="00356B51"/>
    <w:rsid w:val="00360EB1"/>
    <w:rsid w:val="00361CE1"/>
    <w:rsid w:val="0036217E"/>
    <w:rsid w:val="00362AB7"/>
    <w:rsid w:val="0036329D"/>
    <w:rsid w:val="0036543C"/>
    <w:rsid w:val="0036780F"/>
    <w:rsid w:val="00367A45"/>
    <w:rsid w:val="00380D8F"/>
    <w:rsid w:val="003854DB"/>
    <w:rsid w:val="003856FA"/>
    <w:rsid w:val="00387F92"/>
    <w:rsid w:val="00393C95"/>
    <w:rsid w:val="00395046"/>
    <w:rsid w:val="003A133E"/>
    <w:rsid w:val="003A1CF8"/>
    <w:rsid w:val="003A412C"/>
    <w:rsid w:val="003A468E"/>
    <w:rsid w:val="003A4737"/>
    <w:rsid w:val="003B0770"/>
    <w:rsid w:val="003B2242"/>
    <w:rsid w:val="003B6409"/>
    <w:rsid w:val="003B6893"/>
    <w:rsid w:val="003C2270"/>
    <w:rsid w:val="003C31E0"/>
    <w:rsid w:val="003C364E"/>
    <w:rsid w:val="003C3836"/>
    <w:rsid w:val="003C4021"/>
    <w:rsid w:val="003C434A"/>
    <w:rsid w:val="003C46AF"/>
    <w:rsid w:val="003C4DE2"/>
    <w:rsid w:val="003C5EA8"/>
    <w:rsid w:val="003C5EC7"/>
    <w:rsid w:val="003D157B"/>
    <w:rsid w:val="003D1CB9"/>
    <w:rsid w:val="003D2ECD"/>
    <w:rsid w:val="003D3469"/>
    <w:rsid w:val="003D3904"/>
    <w:rsid w:val="003D3A8F"/>
    <w:rsid w:val="003D4537"/>
    <w:rsid w:val="003D6892"/>
    <w:rsid w:val="003D6EB0"/>
    <w:rsid w:val="003D766A"/>
    <w:rsid w:val="003E23D2"/>
    <w:rsid w:val="003E2588"/>
    <w:rsid w:val="003E427C"/>
    <w:rsid w:val="003E5562"/>
    <w:rsid w:val="003E591B"/>
    <w:rsid w:val="003E6341"/>
    <w:rsid w:val="003E6489"/>
    <w:rsid w:val="003E6D45"/>
    <w:rsid w:val="003E761D"/>
    <w:rsid w:val="003E7A17"/>
    <w:rsid w:val="003F08BB"/>
    <w:rsid w:val="003F2028"/>
    <w:rsid w:val="003F2AC2"/>
    <w:rsid w:val="003F2F31"/>
    <w:rsid w:val="003F303F"/>
    <w:rsid w:val="003F5488"/>
    <w:rsid w:val="003F55CE"/>
    <w:rsid w:val="003F6815"/>
    <w:rsid w:val="004009C0"/>
    <w:rsid w:val="00402EF6"/>
    <w:rsid w:val="004048EF"/>
    <w:rsid w:val="00405A39"/>
    <w:rsid w:val="004119E1"/>
    <w:rsid w:val="00411A04"/>
    <w:rsid w:val="004129EF"/>
    <w:rsid w:val="00414E03"/>
    <w:rsid w:val="004228CF"/>
    <w:rsid w:val="00424411"/>
    <w:rsid w:val="004245B3"/>
    <w:rsid w:val="004308CC"/>
    <w:rsid w:val="00435AA3"/>
    <w:rsid w:val="00435EC8"/>
    <w:rsid w:val="00436573"/>
    <w:rsid w:val="00436856"/>
    <w:rsid w:val="004401C8"/>
    <w:rsid w:val="00440710"/>
    <w:rsid w:val="0044142C"/>
    <w:rsid w:val="00441A8F"/>
    <w:rsid w:val="00442A85"/>
    <w:rsid w:val="00443B24"/>
    <w:rsid w:val="004440CC"/>
    <w:rsid w:val="0044602D"/>
    <w:rsid w:val="004479C2"/>
    <w:rsid w:val="00450893"/>
    <w:rsid w:val="00450ECE"/>
    <w:rsid w:val="00460D4C"/>
    <w:rsid w:val="00461AB0"/>
    <w:rsid w:val="00464400"/>
    <w:rsid w:val="00466D27"/>
    <w:rsid w:val="00466ECC"/>
    <w:rsid w:val="004708D9"/>
    <w:rsid w:val="00472E2A"/>
    <w:rsid w:val="00476FF3"/>
    <w:rsid w:val="00481EE4"/>
    <w:rsid w:val="00483CD1"/>
    <w:rsid w:val="0048593B"/>
    <w:rsid w:val="004914D4"/>
    <w:rsid w:val="004917F7"/>
    <w:rsid w:val="004918CD"/>
    <w:rsid w:val="004926A0"/>
    <w:rsid w:val="004927ED"/>
    <w:rsid w:val="0049391D"/>
    <w:rsid w:val="0049498F"/>
    <w:rsid w:val="00494D95"/>
    <w:rsid w:val="00495A80"/>
    <w:rsid w:val="00496C69"/>
    <w:rsid w:val="00496DE4"/>
    <w:rsid w:val="004A4112"/>
    <w:rsid w:val="004A4D97"/>
    <w:rsid w:val="004A5C25"/>
    <w:rsid w:val="004A5FBD"/>
    <w:rsid w:val="004B21F0"/>
    <w:rsid w:val="004B35AE"/>
    <w:rsid w:val="004B4B94"/>
    <w:rsid w:val="004B7867"/>
    <w:rsid w:val="004C3212"/>
    <w:rsid w:val="004C3FD8"/>
    <w:rsid w:val="004C5322"/>
    <w:rsid w:val="004C53B1"/>
    <w:rsid w:val="004C7DFE"/>
    <w:rsid w:val="004D394D"/>
    <w:rsid w:val="004D4FAF"/>
    <w:rsid w:val="004D592E"/>
    <w:rsid w:val="004E3FFC"/>
    <w:rsid w:val="004E7384"/>
    <w:rsid w:val="004E7D00"/>
    <w:rsid w:val="004F7B36"/>
    <w:rsid w:val="0050187A"/>
    <w:rsid w:val="00501A94"/>
    <w:rsid w:val="00503785"/>
    <w:rsid w:val="00504A50"/>
    <w:rsid w:val="00504D45"/>
    <w:rsid w:val="005060D4"/>
    <w:rsid w:val="005102B6"/>
    <w:rsid w:val="00515526"/>
    <w:rsid w:val="00516267"/>
    <w:rsid w:val="00517216"/>
    <w:rsid w:val="00522A6E"/>
    <w:rsid w:val="00522F78"/>
    <w:rsid w:val="00523EBB"/>
    <w:rsid w:val="005253DE"/>
    <w:rsid w:val="00527241"/>
    <w:rsid w:val="00530040"/>
    <w:rsid w:val="0053015A"/>
    <w:rsid w:val="00530C7B"/>
    <w:rsid w:val="0053113F"/>
    <w:rsid w:val="00532FA9"/>
    <w:rsid w:val="00533225"/>
    <w:rsid w:val="00534902"/>
    <w:rsid w:val="00534DDE"/>
    <w:rsid w:val="00534E93"/>
    <w:rsid w:val="00537A43"/>
    <w:rsid w:val="005401E7"/>
    <w:rsid w:val="00541EAE"/>
    <w:rsid w:val="00546130"/>
    <w:rsid w:val="00546C5F"/>
    <w:rsid w:val="0055543E"/>
    <w:rsid w:val="00555DA6"/>
    <w:rsid w:val="00556192"/>
    <w:rsid w:val="00557F06"/>
    <w:rsid w:val="005608EF"/>
    <w:rsid w:val="00560DCA"/>
    <w:rsid w:val="00563193"/>
    <w:rsid w:val="00564DEE"/>
    <w:rsid w:val="00566B87"/>
    <w:rsid w:val="005706C2"/>
    <w:rsid w:val="00571C44"/>
    <w:rsid w:val="005720BD"/>
    <w:rsid w:val="00574FF2"/>
    <w:rsid w:val="00576770"/>
    <w:rsid w:val="00576ED5"/>
    <w:rsid w:val="00576F78"/>
    <w:rsid w:val="00577EBE"/>
    <w:rsid w:val="00581AB1"/>
    <w:rsid w:val="00582D31"/>
    <w:rsid w:val="0058364D"/>
    <w:rsid w:val="0058553D"/>
    <w:rsid w:val="005873F3"/>
    <w:rsid w:val="00587799"/>
    <w:rsid w:val="005878DB"/>
    <w:rsid w:val="00595188"/>
    <w:rsid w:val="00597470"/>
    <w:rsid w:val="005A0582"/>
    <w:rsid w:val="005A0AC5"/>
    <w:rsid w:val="005A3BBE"/>
    <w:rsid w:val="005A6B99"/>
    <w:rsid w:val="005B0659"/>
    <w:rsid w:val="005B0CCF"/>
    <w:rsid w:val="005B33A2"/>
    <w:rsid w:val="005B61EB"/>
    <w:rsid w:val="005B6371"/>
    <w:rsid w:val="005C1ED6"/>
    <w:rsid w:val="005C1F87"/>
    <w:rsid w:val="005C1FF1"/>
    <w:rsid w:val="005C2F54"/>
    <w:rsid w:val="005C4BF3"/>
    <w:rsid w:val="005C4F30"/>
    <w:rsid w:val="005D288B"/>
    <w:rsid w:val="005D3815"/>
    <w:rsid w:val="005D4B01"/>
    <w:rsid w:val="005D7E14"/>
    <w:rsid w:val="005E17A4"/>
    <w:rsid w:val="005E56DE"/>
    <w:rsid w:val="005E5D66"/>
    <w:rsid w:val="005F010B"/>
    <w:rsid w:val="005F1C37"/>
    <w:rsid w:val="005F531E"/>
    <w:rsid w:val="005F566D"/>
    <w:rsid w:val="006001E4"/>
    <w:rsid w:val="00600FA5"/>
    <w:rsid w:val="006029C9"/>
    <w:rsid w:val="006031CF"/>
    <w:rsid w:val="006032E5"/>
    <w:rsid w:val="00604038"/>
    <w:rsid w:val="00604499"/>
    <w:rsid w:val="006104FC"/>
    <w:rsid w:val="0061097D"/>
    <w:rsid w:val="00610ADB"/>
    <w:rsid w:val="00612159"/>
    <w:rsid w:val="00612778"/>
    <w:rsid w:val="006132C4"/>
    <w:rsid w:val="00620247"/>
    <w:rsid w:val="006206E5"/>
    <w:rsid w:val="00620FC8"/>
    <w:rsid w:val="00622A38"/>
    <w:rsid w:val="00622C9C"/>
    <w:rsid w:val="0062451A"/>
    <w:rsid w:val="00624DCA"/>
    <w:rsid w:val="00625582"/>
    <w:rsid w:val="00626E3B"/>
    <w:rsid w:val="006322B8"/>
    <w:rsid w:val="00640664"/>
    <w:rsid w:val="00642C8B"/>
    <w:rsid w:val="0064398E"/>
    <w:rsid w:val="00645344"/>
    <w:rsid w:val="0064555F"/>
    <w:rsid w:val="00645D4D"/>
    <w:rsid w:val="0064653F"/>
    <w:rsid w:val="00653231"/>
    <w:rsid w:val="00655E06"/>
    <w:rsid w:val="00656812"/>
    <w:rsid w:val="0066010B"/>
    <w:rsid w:val="006605EA"/>
    <w:rsid w:val="006608E0"/>
    <w:rsid w:val="00660C5C"/>
    <w:rsid w:val="0066294D"/>
    <w:rsid w:val="00662C97"/>
    <w:rsid w:val="00663059"/>
    <w:rsid w:val="006648F5"/>
    <w:rsid w:val="00664A6B"/>
    <w:rsid w:val="00666796"/>
    <w:rsid w:val="006668EF"/>
    <w:rsid w:val="00666DA1"/>
    <w:rsid w:val="00667484"/>
    <w:rsid w:val="00670854"/>
    <w:rsid w:val="006719BE"/>
    <w:rsid w:val="00673FCE"/>
    <w:rsid w:val="0067461D"/>
    <w:rsid w:val="00675228"/>
    <w:rsid w:val="006801D0"/>
    <w:rsid w:val="006801DB"/>
    <w:rsid w:val="00680C99"/>
    <w:rsid w:val="00681B8F"/>
    <w:rsid w:val="006831B0"/>
    <w:rsid w:val="00683650"/>
    <w:rsid w:val="00687E47"/>
    <w:rsid w:val="00690F1A"/>
    <w:rsid w:val="00691774"/>
    <w:rsid w:val="0069237C"/>
    <w:rsid w:val="006931AD"/>
    <w:rsid w:val="00694204"/>
    <w:rsid w:val="006943B0"/>
    <w:rsid w:val="006953AA"/>
    <w:rsid w:val="006A0D74"/>
    <w:rsid w:val="006A1E21"/>
    <w:rsid w:val="006A55C2"/>
    <w:rsid w:val="006A5EBC"/>
    <w:rsid w:val="006A6964"/>
    <w:rsid w:val="006B088D"/>
    <w:rsid w:val="006B0B74"/>
    <w:rsid w:val="006B168B"/>
    <w:rsid w:val="006B447A"/>
    <w:rsid w:val="006B493D"/>
    <w:rsid w:val="006B5381"/>
    <w:rsid w:val="006B5B59"/>
    <w:rsid w:val="006B5C3E"/>
    <w:rsid w:val="006B6EAC"/>
    <w:rsid w:val="006C01E0"/>
    <w:rsid w:val="006C02C6"/>
    <w:rsid w:val="006C179B"/>
    <w:rsid w:val="006C3469"/>
    <w:rsid w:val="006C434A"/>
    <w:rsid w:val="006C45BF"/>
    <w:rsid w:val="006D0FE8"/>
    <w:rsid w:val="006D17B5"/>
    <w:rsid w:val="006D1B98"/>
    <w:rsid w:val="006D2204"/>
    <w:rsid w:val="006D22F7"/>
    <w:rsid w:val="006D2D87"/>
    <w:rsid w:val="006E42AA"/>
    <w:rsid w:val="006E4A20"/>
    <w:rsid w:val="006E5769"/>
    <w:rsid w:val="006E5DEB"/>
    <w:rsid w:val="006E649C"/>
    <w:rsid w:val="006E730E"/>
    <w:rsid w:val="006F0586"/>
    <w:rsid w:val="006F083E"/>
    <w:rsid w:val="006F44DA"/>
    <w:rsid w:val="006F5E81"/>
    <w:rsid w:val="00700F2A"/>
    <w:rsid w:val="00700F41"/>
    <w:rsid w:val="007020F0"/>
    <w:rsid w:val="007069D7"/>
    <w:rsid w:val="00710E6E"/>
    <w:rsid w:val="00711D5C"/>
    <w:rsid w:val="0071292C"/>
    <w:rsid w:val="007138DB"/>
    <w:rsid w:val="00715ECC"/>
    <w:rsid w:val="007174A7"/>
    <w:rsid w:val="00721C78"/>
    <w:rsid w:val="0072297D"/>
    <w:rsid w:val="00723AEF"/>
    <w:rsid w:val="007321A4"/>
    <w:rsid w:val="00732A58"/>
    <w:rsid w:val="007419E9"/>
    <w:rsid w:val="00741E6F"/>
    <w:rsid w:val="007430C2"/>
    <w:rsid w:val="00743210"/>
    <w:rsid w:val="007432F4"/>
    <w:rsid w:val="0074528A"/>
    <w:rsid w:val="007458CD"/>
    <w:rsid w:val="0075164B"/>
    <w:rsid w:val="00752255"/>
    <w:rsid w:val="007539BD"/>
    <w:rsid w:val="00756078"/>
    <w:rsid w:val="00756B6C"/>
    <w:rsid w:val="00756BC8"/>
    <w:rsid w:val="00760076"/>
    <w:rsid w:val="00760E02"/>
    <w:rsid w:val="007646F5"/>
    <w:rsid w:val="00775BA1"/>
    <w:rsid w:val="00776309"/>
    <w:rsid w:val="007778B3"/>
    <w:rsid w:val="00777EDC"/>
    <w:rsid w:val="00780602"/>
    <w:rsid w:val="00784485"/>
    <w:rsid w:val="0078570B"/>
    <w:rsid w:val="00785949"/>
    <w:rsid w:val="007901B5"/>
    <w:rsid w:val="007908CA"/>
    <w:rsid w:val="00791E12"/>
    <w:rsid w:val="0079373B"/>
    <w:rsid w:val="00793B7E"/>
    <w:rsid w:val="00794B80"/>
    <w:rsid w:val="007953E3"/>
    <w:rsid w:val="00797B4F"/>
    <w:rsid w:val="007A020D"/>
    <w:rsid w:val="007A0F37"/>
    <w:rsid w:val="007A38A2"/>
    <w:rsid w:val="007A52A6"/>
    <w:rsid w:val="007A55CE"/>
    <w:rsid w:val="007A5736"/>
    <w:rsid w:val="007B0BEE"/>
    <w:rsid w:val="007B1A44"/>
    <w:rsid w:val="007B43F3"/>
    <w:rsid w:val="007B4EAE"/>
    <w:rsid w:val="007C3723"/>
    <w:rsid w:val="007C47E3"/>
    <w:rsid w:val="007C489A"/>
    <w:rsid w:val="007C68CF"/>
    <w:rsid w:val="007D1064"/>
    <w:rsid w:val="007D2041"/>
    <w:rsid w:val="007D4378"/>
    <w:rsid w:val="007D4925"/>
    <w:rsid w:val="007D562B"/>
    <w:rsid w:val="007E2775"/>
    <w:rsid w:val="007E3081"/>
    <w:rsid w:val="007E415B"/>
    <w:rsid w:val="007F0316"/>
    <w:rsid w:val="007F087C"/>
    <w:rsid w:val="007F3527"/>
    <w:rsid w:val="007F4B8D"/>
    <w:rsid w:val="007F568A"/>
    <w:rsid w:val="007F58BA"/>
    <w:rsid w:val="007F5CDB"/>
    <w:rsid w:val="00800ED7"/>
    <w:rsid w:val="0080134B"/>
    <w:rsid w:val="00804B5F"/>
    <w:rsid w:val="0080569C"/>
    <w:rsid w:val="00805D9B"/>
    <w:rsid w:val="00813A88"/>
    <w:rsid w:val="00815C6C"/>
    <w:rsid w:val="00821378"/>
    <w:rsid w:val="00821AC5"/>
    <w:rsid w:val="008227CD"/>
    <w:rsid w:val="0082289F"/>
    <w:rsid w:val="008325F7"/>
    <w:rsid w:val="0083753E"/>
    <w:rsid w:val="008416FE"/>
    <w:rsid w:val="00842217"/>
    <w:rsid w:val="0084506A"/>
    <w:rsid w:val="00845C2C"/>
    <w:rsid w:val="008462FD"/>
    <w:rsid w:val="00846B88"/>
    <w:rsid w:val="0085015D"/>
    <w:rsid w:val="00850E39"/>
    <w:rsid w:val="0085307A"/>
    <w:rsid w:val="00853B90"/>
    <w:rsid w:val="00854C3D"/>
    <w:rsid w:val="0085550A"/>
    <w:rsid w:val="0085557F"/>
    <w:rsid w:val="008560AA"/>
    <w:rsid w:val="008572B3"/>
    <w:rsid w:val="00860DAB"/>
    <w:rsid w:val="0086229F"/>
    <w:rsid w:val="00862F7D"/>
    <w:rsid w:val="00865558"/>
    <w:rsid w:val="008656F5"/>
    <w:rsid w:val="00865F29"/>
    <w:rsid w:val="008701AB"/>
    <w:rsid w:val="00874138"/>
    <w:rsid w:val="0087421A"/>
    <w:rsid w:val="00876639"/>
    <w:rsid w:val="008824C4"/>
    <w:rsid w:val="00883A1F"/>
    <w:rsid w:val="00883D63"/>
    <w:rsid w:val="00883E34"/>
    <w:rsid w:val="008841A1"/>
    <w:rsid w:val="00885F21"/>
    <w:rsid w:val="00885F9A"/>
    <w:rsid w:val="008870FC"/>
    <w:rsid w:val="008875BF"/>
    <w:rsid w:val="0089068B"/>
    <w:rsid w:val="00891B4B"/>
    <w:rsid w:val="00893284"/>
    <w:rsid w:val="0089361B"/>
    <w:rsid w:val="008953C6"/>
    <w:rsid w:val="0089566D"/>
    <w:rsid w:val="0089752B"/>
    <w:rsid w:val="00897E66"/>
    <w:rsid w:val="008A011C"/>
    <w:rsid w:val="008A10E3"/>
    <w:rsid w:val="008A375D"/>
    <w:rsid w:val="008A3F8C"/>
    <w:rsid w:val="008A3FD5"/>
    <w:rsid w:val="008A4122"/>
    <w:rsid w:val="008A48DD"/>
    <w:rsid w:val="008A56AF"/>
    <w:rsid w:val="008A573C"/>
    <w:rsid w:val="008A5775"/>
    <w:rsid w:val="008B1A58"/>
    <w:rsid w:val="008B3411"/>
    <w:rsid w:val="008B4975"/>
    <w:rsid w:val="008B5256"/>
    <w:rsid w:val="008B5D7D"/>
    <w:rsid w:val="008B7FA1"/>
    <w:rsid w:val="008C2120"/>
    <w:rsid w:val="008C2889"/>
    <w:rsid w:val="008C2ACC"/>
    <w:rsid w:val="008C30C7"/>
    <w:rsid w:val="008D0934"/>
    <w:rsid w:val="008D1A87"/>
    <w:rsid w:val="008D2162"/>
    <w:rsid w:val="008D48C0"/>
    <w:rsid w:val="008D5B09"/>
    <w:rsid w:val="008D60B9"/>
    <w:rsid w:val="008E3B5C"/>
    <w:rsid w:val="008E525D"/>
    <w:rsid w:val="008F124F"/>
    <w:rsid w:val="008F45DB"/>
    <w:rsid w:val="008F64C5"/>
    <w:rsid w:val="00903207"/>
    <w:rsid w:val="00905E66"/>
    <w:rsid w:val="00907248"/>
    <w:rsid w:val="0091091D"/>
    <w:rsid w:val="009117A7"/>
    <w:rsid w:val="00911B94"/>
    <w:rsid w:val="00912EFC"/>
    <w:rsid w:val="0091529A"/>
    <w:rsid w:val="0091585D"/>
    <w:rsid w:val="00915900"/>
    <w:rsid w:val="00915E85"/>
    <w:rsid w:val="0091697F"/>
    <w:rsid w:val="00916D13"/>
    <w:rsid w:val="00916F7C"/>
    <w:rsid w:val="00917BAB"/>
    <w:rsid w:val="009237A0"/>
    <w:rsid w:val="00926DA2"/>
    <w:rsid w:val="009315D1"/>
    <w:rsid w:val="009319D7"/>
    <w:rsid w:val="00931E07"/>
    <w:rsid w:val="00934D96"/>
    <w:rsid w:val="00935B65"/>
    <w:rsid w:val="0093721A"/>
    <w:rsid w:val="00940031"/>
    <w:rsid w:val="00940391"/>
    <w:rsid w:val="00940E74"/>
    <w:rsid w:val="00941D3E"/>
    <w:rsid w:val="0094291A"/>
    <w:rsid w:val="009433E5"/>
    <w:rsid w:val="009433EC"/>
    <w:rsid w:val="0094373D"/>
    <w:rsid w:val="009463F1"/>
    <w:rsid w:val="00947F49"/>
    <w:rsid w:val="00952401"/>
    <w:rsid w:val="00953C3F"/>
    <w:rsid w:val="00954903"/>
    <w:rsid w:val="00956610"/>
    <w:rsid w:val="00956AB2"/>
    <w:rsid w:val="00956C3F"/>
    <w:rsid w:val="00956DDD"/>
    <w:rsid w:val="00957087"/>
    <w:rsid w:val="009574E9"/>
    <w:rsid w:val="009636CA"/>
    <w:rsid w:val="009637F9"/>
    <w:rsid w:val="009674EF"/>
    <w:rsid w:val="00967F07"/>
    <w:rsid w:val="00971F41"/>
    <w:rsid w:val="00974356"/>
    <w:rsid w:val="0098015F"/>
    <w:rsid w:val="0098072E"/>
    <w:rsid w:val="00981235"/>
    <w:rsid w:val="009854DA"/>
    <w:rsid w:val="00985717"/>
    <w:rsid w:val="00990409"/>
    <w:rsid w:val="009905D1"/>
    <w:rsid w:val="00990602"/>
    <w:rsid w:val="0099115B"/>
    <w:rsid w:val="009922A6"/>
    <w:rsid w:val="009A057D"/>
    <w:rsid w:val="009A355D"/>
    <w:rsid w:val="009A4049"/>
    <w:rsid w:val="009A4F5B"/>
    <w:rsid w:val="009A5395"/>
    <w:rsid w:val="009A5F0C"/>
    <w:rsid w:val="009B0EF9"/>
    <w:rsid w:val="009B1989"/>
    <w:rsid w:val="009B1AD4"/>
    <w:rsid w:val="009B7C74"/>
    <w:rsid w:val="009C2794"/>
    <w:rsid w:val="009C52AB"/>
    <w:rsid w:val="009C59A8"/>
    <w:rsid w:val="009C6F4C"/>
    <w:rsid w:val="009D1006"/>
    <w:rsid w:val="009D3323"/>
    <w:rsid w:val="009D3FFC"/>
    <w:rsid w:val="009D47E7"/>
    <w:rsid w:val="009D7FA5"/>
    <w:rsid w:val="009E0A13"/>
    <w:rsid w:val="009E226B"/>
    <w:rsid w:val="009E306F"/>
    <w:rsid w:val="009E39F7"/>
    <w:rsid w:val="009E4275"/>
    <w:rsid w:val="009E5550"/>
    <w:rsid w:val="009E5F0C"/>
    <w:rsid w:val="009E5F7C"/>
    <w:rsid w:val="009F1138"/>
    <w:rsid w:val="009F2364"/>
    <w:rsid w:val="009F41F4"/>
    <w:rsid w:val="009F6BD8"/>
    <w:rsid w:val="009F751F"/>
    <w:rsid w:val="00A001D2"/>
    <w:rsid w:val="00A00B4B"/>
    <w:rsid w:val="00A0187D"/>
    <w:rsid w:val="00A046EE"/>
    <w:rsid w:val="00A049BC"/>
    <w:rsid w:val="00A04C19"/>
    <w:rsid w:val="00A07BFA"/>
    <w:rsid w:val="00A102C5"/>
    <w:rsid w:val="00A1141A"/>
    <w:rsid w:val="00A139F6"/>
    <w:rsid w:val="00A141AF"/>
    <w:rsid w:val="00A1448B"/>
    <w:rsid w:val="00A152C2"/>
    <w:rsid w:val="00A17230"/>
    <w:rsid w:val="00A20F65"/>
    <w:rsid w:val="00A2464A"/>
    <w:rsid w:val="00A24CB7"/>
    <w:rsid w:val="00A26968"/>
    <w:rsid w:val="00A330A2"/>
    <w:rsid w:val="00A337D0"/>
    <w:rsid w:val="00A35988"/>
    <w:rsid w:val="00A35ACF"/>
    <w:rsid w:val="00A35CAF"/>
    <w:rsid w:val="00A42048"/>
    <w:rsid w:val="00A4205F"/>
    <w:rsid w:val="00A43AA8"/>
    <w:rsid w:val="00A456D2"/>
    <w:rsid w:val="00A45E38"/>
    <w:rsid w:val="00A46F5D"/>
    <w:rsid w:val="00A50F18"/>
    <w:rsid w:val="00A51129"/>
    <w:rsid w:val="00A52BB4"/>
    <w:rsid w:val="00A55DA4"/>
    <w:rsid w:val="00A61A4D"/>
    <w:rsid w:val="00A61AFD"/>
    <w:rsid w:val="00A66812"/>
    <w:rsid w:val="00A77485"/>
    <w:rsid w:val="00A82216"/>
    <w:rsid w:val="00A8286E"/>
    <w:rsid w:val="00A82B49"/>
    <w:rsid w:val="00A82EED"/>
    <w:rsid w:val="00A83A75"/>
    <w:rsid w:val="00A85073"/>
    <w:rsid w:val="00A9372B"/>
    <w:rsid w:val="00A954E5"/>
    <w:rsid w:val="00A9601C"/>
    <w:rsid w:val="00A972B9"/>
    <w:rsid w:val="00A97B10"/>
    <w:rsid w:val="00AA16D5"/>
    <w:rsid w:val="00AA4F15"/>
    <w:rsid w:val="00AA5096"/>
    <w:rsid w:val="00AA5219"/>
    <w:rsid w:val="00AA57BC"/>
    <w:rsid w:val="00AA5EA5"/>
    <w:rsid w:val="00AB300D"/>
    <w:rsid w:val="00AB5859"/>
    <w:rsid w:val="00AB6A04"/>
    <w:rsid w:val="00AB77D5"/>
    <w:rsid w:val="00AC1591"/>
    <w:rsid w:val="00AC3CE5"/>
    <w:rsid w:val="00AC4D98"/>
    <w:rsid w:val="00AC4DCA"/>
    <w:rsid w:val="00AC69AB"/>
    <w:rsid w:val="00AC6C3D"/>
    <w:rsid w:val="00AC7C12"/>
    <w:rsid w:val="00AD20F6"/>
    <w:rsid w:val="00AD257E"/>
    <w:rsid w:val="00AD4933"/>
    <w:rsid w:val="00AD62BC"/>
    <w:rsid w:val="00AD692A"/>
    <w:rsid w:val="00AE0D87"/>
    <w:rsid w:val="00AE1459"/>
    <w:rsid w:val="00AE1C95"/>
    <w:rsid w:val="00AE2F0A"/>
    <w:rsid w:val="00AE323E"/>
    <w:rsid w:val="00AE3F50"/>
    <w:rsid w:val="00AE4FE2"/>
    <w:rsid w:val="00AF0480"/>
    <w:rsid w:val="00AF089F"/>
    <w:rsid w:val="00AF151D"/>
    <w:rsid w:val="00AF208D"/>
    <w:rsid w:val="00AF20EE"/>
    <w:rsid w:val="00AF2A8C"/>
    <w:rsid w:val="00AF5C19"/>
    <w:rsid w:val="00AF6DAE"/>
    <w:rsid w:val="00AF6E06"/>
    <w:rsid w:val="00B014B8"/>
    <w:rsid w:val="00B02238"/>
    <w:rsid w:val="00B035E1"/>
    <w:rsid w:val="00B10AE5"/>
    <w:rsid w:val="00B114BC"/>
    <w:rsid w:val="00B11666"/>
    <w:rsid w:val="00B13576"/>
    <w:rsid w:val="00B143ED"/>
    <w:rsid w:val="00B208F1"/>
    <w:rsid w:val="00B227C8"/>
    <w:rsid w:val="00B26A22"/>
    <w:rsid w:val="00B26AA0"/>
    <w:rsid w:val="00B305D7"/>
    <w:rsid w:val="00B32F89"/>
    <w:rsid w:val="00B35822"/>
    <w:rsid w:val="00B419AB"/>
    <w:rsid w:val="00B420A3"/>
    <w:rsid w:val="00B42516"/>
    <w:rsid w:val="00B44611"/>
    <w:rsid w:val="00B44CBD"/>
    <w:rsid w:val="00B46B21"/>
    <w:rsid w:val="00B5142B"/>
    <w:rsid w:val="00B540FE"/>
    <w:rsid w:val="00B54D62"/>
    <w:rsid w:val="00B60B10"/>
    <w:rsid w:val="00B6381C"/>
    <w:rsid w:val="00B6381E"/>
    <w:rsid w:val="00B63FD8"/>
    <w:rsid w:val="00B6624F"/>
    <w:rsid w:val="00B67A76"/>
    <w:rsid w:val="00B70CB5"/>
    <w:rsid w:val="00B7263D"/>
    <w:rsid w:val="00B739D9"/>
    <w:rsid w:val="00B800BA"/>
    <w:rsid w:val="00B82D6D"/>
    <w:rsid w:val="00B8383F"/>
    <w:rsid w:val="00B85118"/>
    <w:rsid w:val="00B869D7"/>
    <w:rsid w:val="00B90979"/>
    <w:rsid w:val="00B91C9D"/>
    <w:rsid w:val="00B9393C"/>
    <w:rsid w:val="00B93FE2"/>
    <w:rsid w:val="00B94281"/>
    <w:rsid w:val="00B94CA2"/>
    <w:rsid w:val="00BA3418"/>
    <w:rsid w:val="00BA353F"/>
    <w:rsid w:val="00BA62B6"/>
    <w:rsid w:val="00BA6440"/>
    <w:rsid w:val="00BA6D23"/>
    <w:rsid w:val="00BB3204"/>
    <w:rsid w:val="00BB5275"/>
    <w:rsid w:val="00BB6CBE"/>
    <w:rsid w:val="00BB741E"/>
    <w:rsid w:val="00BB7E64"/>
    <w:rsid w:val="00BC3AAB"/>
    <w:rsid w:val="00BC57F0"/>
    <w:rsid w:val="00BD1A62"/>
    <w:rsid w:val="00BD5095"/>
    <w:rsid w:val="00BD53EA"/>
    <w:rsid w:val="00BD6326"/>
    <w:rsid w:val="00BD6A5C"/>
    <w:rsid w:val="00BD7F85"/>
    <w:rsid w:val="00BE1190"/>
    <w:rsid w:val="00BE41F6"/>
    <w:rsid w:val="00BE472A"/>
    <w:rsid w:val="00BE784E"/>
    <w:rsid w:val="00BF2DB2"/>
    <w:rsid w:val="00BF5822"/>
    <w:rsid w:val="00BF7968"/>
    <w:rsid w:val="00C04030"/>
    <w:rsid w:val="00C04114"/>
    <w:rsid w:val="00C05225"/>
    <w:rsid w:val="00C126BC"/>
    <w:rsid w:val="00C127AD"/>
    <w:rsid w:val="00C13097"/>
    <w:rsid w:val="00C14633"/>
    <w:rsid w:val="00C15F1F"/>
    <w:rsid w:val="00C21F56"/>
    <w:rsid w:val="00C21F72"/>
    <w:rsid w:val="00C232D5"/>
    <w:rsid w:val="00C33648"/>
    <w:rsid w:val="00C34B71"/>
    <w:rsid w:val="00C34DF3"/>
    <w:rsid w:val="00C351C1"/>
    <w:rsid w:val="00C37B56"/>
    <w:rsid w:val="00C37E21"/>
    <w:rsid w:val="00C403EE"/>
    <w:rsid w:val="00C415DE"/>
    <w:rsid w:val="00C4177D"/>
    <w:rsid w:val="00C455CD"/>
    <w:rsid w:val="00C45990"/>
    <w:rsid w:val="00C47943"/>
    <w:rsid w:val="00C47DA1"/>
    <w:rsid w:val="00C52215"/>
    <w:rsid w:val="00C53C3F"/>
    <w:rsid w:val="00C54B6D"/>
    <w:rsid w:val="00C6067C"/>
    <w:rsid w:val="00C611CD"/>
    <w:rsid w:val="00C6398F"/>
    <w:rsid w:val="00C64072"/>
    <w:rsid w:val="00C64CA6"/>
    <w:rsid w:val="00C6730F"/>
    <w:rsid w:val="00C74C7B"/>
    <w:rsid w:val="00C75515"/>
    <w:rsid w:val="00C75AEC"/>
    <w:rsid w:val="00C82147"/>
    <w:rsid w:val="00C840B9"/>
    <w:rsid w:val="00C85A54"/>
    <w:rsid w:val="00C86889"/>
    <w:rsid w:val="00C86E5B"/>
    <w:rsid w:val="00C93394"/>
    <w:rsid w:val="00C954F3"/>
    <w:rsid w:val="00CA029F"/>
    <w:rsid w:val="00CA0C20"/>
    <w:rsid w:val="00CA2DBF"/>
    <w:rsid w:val="00CA65EC"/>
    <w:rsid w:val="00CA7F79"/>
    <w:rsid w:val="00CB00A7"/>
    <w:rsid w:val="00CB0802"/>
    <w:rsid w:val="00CB1942"/>
    <w:rsid w:val="00CB2F48"/>
    <w:rsid w:val="00CB3092"/>
    <w:rsid w:val="00CB3E79"/>
    <w:rsid w:val="00CB5082"/>
    <w:rsid w:val="00CB5833"/>
    <w:rsid w:val="00CC1211"/>
    <w:rsid w:val="00CC30B5"/>
    <w:rsid w:val="00CC420D"/>
    <w:rsid w:val="00CC58A1"/>
    <w:rsid w:val="00CC5B10"/>
    <w:rsid w:val="00CC6713"/>
    <w:rsid w:val="00CD03AC"/>
    <w:rsid w:val="00CD0F54"/>
    <w:rsid w:val="00CD4167"/>
    <w:rsid w:val="00CD5406"/>
    <w:rsid w:val="00CD6651"/>
    <w:rsid w:val="00CD732D"/>
    <w:rsid w:val="00CD73D6"/>
    <w:rsid w:val="00CD7630"/>
    <w:rsid w:val="00CD78E0"/>
    <w:rsid w:val="00CE0CED"/>
    <w:rsid w:val="00CE0D23"/>
    <w:rsid w:val="00CE223C"/>
    <w:rsid w:val="00CE2E8C"/>
    <w:rsid w:val="00CE3414"/>
    <w:rsid w:val="00CE41CD"/>
    <w:rsid w:val="00CE43BE"/>
    <w:rsid w:val="00CE647B"/>
    <w:rsid w:val="00CF3BE3"/>
    <w:rsid w:val="00CF4A81"/>
    <w:rsid w:val="00CF5A7F"/>
    <w:rsid w:val="00CF601F"/>
    <w:rsid w:val="00CF63D6"/>
    <w:rsid w:val="00CF6C7F"/>
    <w:rsid w:val="00CF7A0D"/>
    <w:rsid w:val="00D02CD8"/>
    <w:rsid w:val="00D04C1C"/>
    <w:rsid w:val="00D05CFF"/>
    <w:rsid w:val="00D076EE"/>
    <w:rsid w:val="00D1077D"/>
    <w:rsid w:val="00D11141"/>
    <w:rsid w:val="00D156D4"/>
    <w:rsid w:val="00D15B61"/>
    <w:rsid w:val="00D1639D"/>
    <w:rsid w:val="00D16854"/>
    <w:rsid w:val="00D2003C"/>
    <w:rsid w:val="00D20D1B"/>
    <w:rsid w:val="00D21B58"/>
    <w:rsid w:val="00D23575"/>
    <w:rsid w:val="00D24E03"/>
    <w:rsid w:val="00D265BC"/>
    <w:rsid w:val="00D265E3"/>
    <w:rsid w:val="00D3200F"/>
    <w:rsid w:val="00D321E3"/>
    <w:rsid w:val="00D3241A"/>
    <w:rsid w:val="00D32C69"/>
    <w:rsid w:val="00D33283"/>
    <w:rsid w:val="00D34783"/>
    <w:rsid w:val="00D3610D"/>
    <w:rsid w:val="00D410C1"/>
    <w:rsid w:val="00D41618"/>
    <w:rsid w:val="00D41C99"/>
    <w:rsid w:val="00D44660"/>
    <w:rsid w:val="00D5134F"/>
    <w:rsid w:val="00D51CEB"/>
    <w:rsid w:val="00D527D2"/>
    <w:rsid w:val="00D54E20"/>
    <w:rsid w:val="00D55E39"/>
    <w:rsid w:val="00D57898"/>
    <w:rsid w:val="00D57F33"/>
    <w:rsid w:val="00D6070E"/>
    <w:rsid w:val="00D60C1E"/>
    <w:rsid w:val="00D610E7"/>
    <w:rsid w:val="00D6399C"/>
    <w:rsid w:val="00D66FC5"/>
    <w:rsid w:val="00D70511"/>
    <w:rsid w:val="00D70767"/>
    <w:rsid w:val="00D7099F"/>
    <w:rsid w:val="00D74364"/>
    <w:rsid w:val="00D76AEB"/>
    <w:rsid w:val="00D80159"/>
    <w:rsid w:val="00D811E6"/>
    <w:rsid w:val="00D822FF"/>
    <w:rsid w:val="00D82BCB"/>
    <w:rsid w:val="00D82CC8"/>
    <w:rsid w:val="00D83761"/>
    <w:rsid w:val="00D83F76"/>
    <w:rsid w:val="00D8488E"/>
    <w:rsid w:val="00D90172"/>
    <w:rsid w:val="00D909AF"/>
    <w:rsid w:val="00D92507"/>
    <w:rsid w:val="00D930D5"/>
    <w:rsid w:val="00D9317C"/>
    <w:rsid w:val="00D94233"/>
    <w:rsid w:val="00D94833"/>
    <w:rsid w:val="00D95423"/>
    <w:rsid w:val="00D95E5F"/>
    <w:rsid w:val="00D967DA"/>
    <w:rsid w:val="00D97617"/>
    <w:rsid w:val="00DA097E"/>
    <w:rsid w:val="00DA1784"/>
    <w:rsid w:val="00DA18F6"/>
    <w:rsid w:val="00DA5B22"/>
    <w:rsid w:val="00DA75B8"/>
    <w:rsid w:val="00DB069A"/>
    <w:rsid w:val="00DB09E0"/>
    <w:rsid w:val="00DB2A89"/>
    <w:rsid w:val="00DB6CEE"/>
    <w:rsid w:val="00DC2E67"/>
    <w:rsid w:val="00DC49D4"/>
    <w:rsid w:val="00DC4C7B"/>
    <w:rsid w:val="00DC60B5"/>
    <w:rsid w:val="00DD18BB"/>
    <w:rsid w:val="00DD36B1"/>
    <w:rsid w:val="00DD4172"/>
    <w:rsid w:val="00DD6DA5"/>
    <w:rsid w:val="00DE399B"/>
    <w:rsid w:val="00DE3F41"/>
    <w:rsid w:val="00DE554D"/>
    <w:rsid w:val="00DE7CCB"/>
    <w:rsid w:val="00DE7EEC"/>
    <w:rsid w:val="00DF0834"/>
    <w:rsid w:val="00DF0DA9"/>
    <w:rsid w:val="00DF3E23"/>
    <w:rsid w:val="00DF442B"/>
    <w:rsid w:val="00DF6463"/>
    <w:rsid w:val="00DF6C98"/>
    <w:rsid w:val="00DF762B"/>
    <w:rsid w:val="00E00793"/>
    <w:rsid w:val="00E014FE"/>
    <w:rsid w:val="00E01A34"/>
    <w:rsid w:val="00E02341"/>
    <w:rsid w:val="00E02C1E"/>
    <w:rsid w:val="00E03074"/>
    <w:rsid w:val="00E0369B"/>
    <w:rsid w:val="00E061A3"/>
    <w:rsid w:val="00E06CED"/>
    <w:rsid w:val="00E135CD"/>
    <w:rsid w:val="00E137BB"/>
    <w:rsid w:val="00E16337"/>
    <w:rsid w:val="00E16C37"/>
    <w:rsid w:val="00E1718D"/>
    <w:rsid w:val="00E17F11"/>
    <w:rsid w:val="00E22356"/>
    <w:rsid w:val="00E22378"/>
    <w:rsid w:val="00E243BC"/>
    <w:rsid w:val="00E2497D"/>
    <w:rsid w:val="00E256C3"/>
    <w:rsid w:val="00E306A3"/>
    <w:rsid w:val="00E30E4E"/>
    <w:rsid w:val="00E313A5"/>
    <w:rsid w:val="00E31525"/>
    <w:rsid w:val="00E37C02"/>
    <w:rsid w:val="00E41272"/>
    <w:rsid w:val="00E41ACC"/>
    <w:rsid w:val="00E42D0D"/>
    <w:rsid w:val="00E42E90"/>
    <w:rsid w:val="00E451AC"/>
    <w:rsid w:val="00E45341"/>
    <w:rsid w:val="00E50FD0"/>
    <w:rsid w:val="00E519D3"/>
    <w:rsid w:val="00E53FEB"/>
    <w:rsid w:val="00E541C8"/>
    <w:rsid w:val="00E54ADA"/>
    <w:rsid w:val="00E54F71"/>
    <w:rsid w:val="00E61409"/>
    <w:rsid w:val="00E62144"/>
    <w:rsid w:val="00E63C2F"/>
    <w:rsid w:val="00E6479D"/>
    <w:rsid w:val="00E709AC"/>
    <w:rsid w:val="00E71FD3"/>
    <w:rsid w:val="00E72B79"/>
    <w:rsid w:val="00E73CD8"/>
    <w:rsid w:val="00E75273"/>
    <w:rsid w:val="00E754B5"/>
    <w:rsid w:val="00E756E2"/>
    <w:rsid w:val="00E7589B"/>
    <w:rsid w:val="00E770E6"/>
    <w:rsid w:val="00E8035E"/>
    <w:rsid w:val="00E826CA"/>
    <w:rsid w:val="00E840F4"/>
    <w:rsid w:val="00E915EC"/>
    <w:rsid w:val="00E92CE2"/>
    <w:rsid w:val="00E94FF6"/>
    <w:rsid w:val="00E9640C"/>
    <w:rsid w:val="00E9725F"/>
    <w:rsid w:val="00E97C0B"/>
    <w:rsid w:val="00EA0B26"/>
    <w:rsid w:val="00EA4377"/>
    <w:rsid w:val="00EA4B58"/>
    <w:rsid w:val="00EA544C"/>
    <w:rsid w:val="00EB0F4E"/>
    <w:rsid w:val="00EB362D"/>
    <w:rsid w:val="00EB40EE"/>
    <w:rsid w:val="00EB417E"/>
    <w:rsid w:val="00EB4C11"/>
    <w:rsid w:val="00EB5718"/>
    <w:rsid w:val="00EB5B71"/>
    <w:rsid w:val="00EC0A0D"/>
    <w:rsid w:val="00EC2284"/>
    <w:rsid w:val="00EC35C2"/>
    <w:rsid w:val="00EC5959"/>
    <w:rsid w:val="00EC5E2B"/>
    <w:rsid w:val="00ED0CAE"/>
    <w:rsid w:val="00ED1EAC"/>
    <w:rsid w:val="00ED2646"/>
    <w:rsid w:val="00ED474F"/>
    <w:rsid w:val="00ED59FA"/>
    <w:rsid w:val="00ED66C7"/>
    <w:rsid w:val="00ED7DCD"/>
    <w:rsid w:val="00EE31EA"/>
    <w:rsid w:val="00EE3339"/>
    <w:rsid w:val="00EE36EB"/>
    <w:rsid w:val="00EE5564"/>
    <w:rsid w:val="00EE60D9"/>
    <w:rsid w:val="00EF45F2"/>
    <w:rsid w:val="00EF6C26"/>
    <w:rsid w:val="00F07CE7"/>
    <w:rsid w:val="00F10EB4"/>
    <w:rsid w:val="00F11666"/>
    <w:rsid w:val="00F11888"/>
    <w:rsid w:val="00F12E4A"/>
    <w:rsid w:val="00F1709D"/>
    <w:rsid w:val="00F17359"/>
    <w:rsid w:val="00F21880"/>
    <w:rsid w:val="00F22F4B"/>
    <w:rsid w:val="00F23C34"/>
    <w:rsid w:val="00F241E8"/>
    <w:rsid w:val="00F26338"/>
    <w:rsid w:val="00F27ADB"/>
    <w:rsid w:val="00F27DFE"/>
    <w:rsid w:val="00F30699"/>
    <w:rsid w:val="00F32D1E"/>
    <w:rsid w:val="00F339CE"/>
    <w:rsid w:val="00F4273E"/>
    <w:rsid w:val="00F43336"/>
    <w:rsid w:val="00F44246"/>
    <w:rsid w:val="00F4513A"/>
    <w:rsid w:val="00F45839"/>
    <w:rsid w:val="00F46EA4"/>
    <w:rsid w:val="00F47393"/>
    <w:rsid w:val="00F50D3C"/>
    <w:rsid w:val="00F53432"/>
    <w:rsid w:val="00F57CFE"/>
    <w:rsid w:val="00F6091C"/>
    <w:rsid w:val="00F609AB"/>
    <w:rsid w:val="00F60BA0"/>
    <w:rsid w:val="00F627A2"/>
    <w:rsid w:val="00F646A2"/>
    <w:rsid w:val="00F6661F"/>
    <w:rsid w:val="00F66EE6"/>
    <w:rsid w:val="00F70AA0"/>
    <w:rsid w:val="00F73D86"/>
    <w:rsid w:val="00F753B2"/>
    <w:rsid w:val="00F770EE"/>
    <w:rsid w:val="00F80406"/>
    <w:rsid w:val="00F81547"/>
    <w:rsid w:val="00F87616"/>
    <w:rsid w:val="00F90375"/>
    <w:rsid w:val="00F933CD"/>
    <w:rsid w:val="00F93563"/>
    <w:rsid w:val="00F93F68"/>
    <w:rsid w:val="00F94A65"/>
    <w:rsid w:val="00F95CAC"/>
    <w:rsid w:val="00F968F9"/>
    <w:rsid w:val="00F97A8A"/>
    <w:rsid w:val="00F97DA1"/>
    <w:rsid w:val="00FA133A"/>
    <w:rsid w:val="00FA15FD"/>
    <w:rsid w:val="00FA19F2"/>
    <w:rsid w:val="00FA67E8"/>
    <w:rsid w:val="00FB1291"/>
    <w:rsid w:val="00FB3C83"/>
    <w:rsid w:val="00FB49ED"/>
    <w:rsid w:val="00FB51D6"/>
    <w:rsid w:val="00FC1AB5"/>
    <w:rsid w:val="00FC498C"/>
    <w:rsid w:val="00FC6147"/>
    <w:rsid w:val="00FC6CFB"/>
    <w:rsid w:val="00FD0BA3"/>
    <w:rsid w:val="00FD1E2B"/>
    <w:rsid w:val="00FD6AA1"/>
    <w:rsid w:val="00FD7CF3"/>
    <w:rsid w:val="00FE086A"/>
    <w:rsid w:val="00FE4158"/>
    <w:rsid w:val="00FE5859"/>
    <w:rsid w:val="00FE5D93"/>
    <w:rsid w:val="00FE6D2E"/>
    <w:rsid w:val="00FE772B"/>
    <w:rsid w:val="00FE7CE3"/>
    <w:rsid w:val="00FF106C"/>
    <w:rsid w:val="00FF16CE"/>
    <w:rsid w:val="00FF2930"/>
    <w:rsid w:val="00FF34FF"/>
    <w:rsid w:val="00FF35BC"/>
    <w:rsid w:val="00FF3777"/>
    <w:rsid w:val="00FF63FE"/>
    <w:rsid w:val="00FF6A90"/>
    <w:rsid w:val="00FF6DE1"/>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61F2"/>
  <w15:chartTrackingRefBased/>
  <w15:docId w15:val="{D79511FE-AA6F-47E5-899F-A8AC92A2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F72"/>
    <w:pPr>
      <w:spacing w:after="0" w:line="240" w:lineRule="auto"/>
    </w:pPr>
  </w:style>
  <w:style w:type="character" w:styleId="Hyperlink">
    <w:name w:val="Hyperlink"/>
    <w:basedOn w:val="DefaultParagraphFont"/>
    <w:uiPriority w:val="99"/>
    <w:unhideWhenUsed/>
    <w:rsid w:val="00C21F72"/>
    <w:rPr>
      <w:color w:val="0563C1" w:themeColor="hyperlink"/>
      <w:u w:val="single"/>
    </w:rPr>
  </w:style>
  <w:style w:type="paragraph" w:styleId="FootnoteText">
    <w:name w:val="footnote text"/>
    <w:basedOn w:val="Normal"/>
    <w:link w:val="FootnoteTextChar"/>
    <w:uiPriority w:val="99"/>
    <w:semiHidden/>
    <w:unhideWhenUsed/>
    <w:rsid w:val="00C21F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F72"/>
    <w:rPr>
      <w:sz w:val="20"/>
      <w:szCs w:val="20"/>
    </w:rPr>
  </w:style>
  <w:style w:type="character" w:styleId="FootnoteReference">
    <w:name w:val="footnote reference"/>
    <w:basedOn w:val="DefaultParagraphFont"/>
    <w:uiPriority w:val="99"/>
    <w:semiHidden/>
    <w:unhideWhenUsed/>
    <w:rsid w:val="00C21F72"/>
    <w:rPr>
      <w:vertAlign w:val="superscript"/>
    </w:rPr>
  </w:style>
  <w:style w:type="paragraph" w:styleId="Header">
    <w:name w:val="header"/>
    <w:basedOn w:val="Normal"/>
    <w:link w:val="HeaderChar"/>
    <w:uiPriority w:val="99"/>
    <w:unhideWhenUsed/>
    <w:rsid w:val="003E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1D"/>
  </w:style>
  <w:style w:type="paragraph" w:styleId="Footer">
    <w:name w:val="footer"/>
    <w:basedOn w:val="Normal"/>
    <w:link w:val="FooterChar"/>
    <w:uiPriority w:val="99"/>
    <w:unhideWhenUsed/>
    <w:rsid w:val="003E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1D"/>
  </w:style>
  <w:style w:type="paragraph" w:customStyle="1" w:styleId="Default">
    <w:name w:val="Default"/>
    <w:rsid w:val="009E39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9E39F7"/>
  </w:style>
  <w:style w:type="character" w:customStyle="1" w:styleId="PlainTextChar">
    <w:name w:val="Plain Text Char"/>
    <w:link w:val="PlainText"/>
    <w:uiPriority w:val="99"/>
    <w:locked/>
    <w:rsid w:val="009E39F7"/>
    <w:rPr>
      <w:rFonts w:ascii="Courier New" w:hAnsi="Courier New"/>
    </w:rPr>
  </w:style>
  <w:style w:type="paragraph" w:styleId="PlainText">
    <w:name w:val="Plain Text"/>
    <w:basedOn w:val="Normal"/>
    <w:link w:val="PlainTextChar"/>
    <w:uiPriority w:val="99"/>
    <w:rsid w:val="009E39F7"/>
    <w:pPr>
      <w:spacing w:after="0" w:line="240" w:lineRule="auto"/>
    </w:pPr>
    <w:rPr>
      <w:rFonts w:ascii="Courier New" w:hAnsi="Courier New"/>
    </w:rPr>
  </w:style>
  <w:style w:type="character" w:customStyle="1" w:styleId="PlainTextChar1">
    <w:name w:val="Plain Text Char1"/>
    <w:basedOn w:val="DefaultParagraphFont"/>
    <w:uiPriority w:val="99"/>
    <w:semiHidden/>
    <w:rsid w:val="009E39F7"/>
    <w:rPr>
      <w:rFonts w:ascii="Consolas" w:hAnsi="Consolas" w:cs="Consolas"/>
      <w:sz w:val="21"/>
      <w:szCs w:val="21"/>
    </w:rPr>
  </w:style>
  <w:style w:type="paragraph" w:styleId="EndnoteText">
    <w:name w:val="endnote text"/>
    <w:basedOn w:val="Normal"/>
    <w:link w:val="EndnoteTextChar"/>
    <w:uiPriority w:val="99"/>
    <w:semiHidden/>
    <w:unhideWhenUsed/>
    <w:rsid w:val="007A02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020D"/>
    <w:rPr>
      <w:sz w:val="20"/>
      <w:szCs w:val="20"/>
    </w:rPr>
  </w:style>
  <w:style w:type="character" w:styleId="EndnoteReference">
    <w:name w:val="endnote reference"/>
    <w:basedOn w:val="DefaultParagraphFont"/>
    <w:uiPriority w:val="99"/>
    <w:semiHidden/>
    <w:unhideWhenUsed/>
    <w:rsid w:val="007A020D"/>
    <w:rPr>
      <w:vertAlign w:val="superscript"/>
    </w:rPr>
  </w:style>
  <w:style w:type="paragraph" w:styleId="ListParagraph">
    <w:name w:val="List Paragraph"/>
    <w:basedOn w:val="Normal"/>
    <w:uiPriority w:val="34"/>
    <w:qFormat/>
    <w:rsid w:val="00691774"/>
    <w:pPr>
      <w:ind w:left="720"/>
      <w:contextualSpacing/>
    </w:pPr>
  </w:style>
  <w:style w:type="character" w:styleId="PlaceholderText">
    <w:name w:val="Placeholder Text"/>
    <w:basedOn w:val="DefaultParagraphFont"/>
    <w:uiPriority w:val="99"/>
    <w:semiHidden/>
    <w:rsid w:val="0091697F"/>
    <w:rPr>
      <w:color w:val="808080"/>
    </w:rPr>
  </w:style>
  <w:style w:type="paragraph" w:styleId="BalloonText">
    <w:name w:val="Balloon Text"/>
    <w:basedOn w:val="Normal"/>
    <w:link w:val="BalloonTextChar"/>
    <w:uiPriority w:val="99"/>
    <w:semiHidden/>
    <w:unhideWhenUsed/>
    <w:rsid w:val="00BA6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40"/>
    <w:rPr>
      <w:rFonts w:ascii="Segoe UI" w:hAnsi="Segoe UI" w:cs="Segoe UI"/>
      <w:sz w:val="18"/>
      <w:szCs w:val="18"/>
    </w:rPr>
  </w:style>
  <w:style w:type="table" w:styleId="PlainTable1">
    <w:name w:val="Plain Table 1"/>
    <w:basedOn w:val="TableNormal"/>
    <w:uiPriority w:val="41"/>
    <w:rsid w:val="00CB19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AD20F6"/>
    <w:pPr>
      <w:spacing w:after="200" w:line="240" w:lineRule="auto"/>
    </w:pPr>
    <w:rPr>
      <w:i/>
      <w:iCs/>
      <w:color w:val="44546A" w:themeColor="text2"/>
      <w:sz w:val="18"/>
      <w:szCs w:val="18"/>
    </w:rPr>
  </w:style>
  <w:style w:type="table" w:styleId="TableGrid">
    <w:name w:val="Table Grid"/>
    <w:basedOn w:val="TableNormal"/>
    <w:uiPriority w:val="39"/>
    <w:rsid w:val="0066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1670"/>
    <w:rPr>
      <w:sz w:val="16"/>
      <w:szCs w:val="16"/>
    </w:rPr>
  </w:style>
  <w:style w:type="paragraph" w:styleId="CommentText">
    <w:name w:val="annotation text"/>
    <w:basedOn w:val="Normal"/>
    <w:link w:val="CommentTextChar"/>
    <w:uiPriority w:val="99"/>
    <w:semiHidden/>
    <w:unhideWhenUsed/>
    <w:rsid w:val="00121670"/>
    <w:pPr>
      <w:spacing w:line="240" w:lineRule="auto"/>
    </w:pPr>
    <w:rPr>
      <w:sz w:val="20"/>
      <w:szCs w:val="20"/>
    </w:rPr>
  </w:style>
  <w:style w:type="character" w:customStyle="1" w:styleId="CommentTextChar">
    <w:name w:val="Comment Text Char"/>
    <w:basedOn w:val="DefaultParagraphFont"/>
    <w:link w:val="CommentText"/>
    <w:uiPriority w:val="99"/>
    <w:semiHidden/>
    <w:rsid w:val="00121670"/>
    <w:rPr>
      <w:sz w:val="20"/>
      <w:szCs w:val="20"/>
    </w:rPr>
  </w:style>
  <w:style w:type="paragraph" w:styleId="CommentSubject">
    <w:name w:val="annotation subject"/>
    <w:basedOn w:val="CommentText"/>
    <w:next w:val="CommentText"/>
    <w:link w:val="CommentSubjectChar"/>
    <w:uiPriority w:val="99"/>
    <w:semiHidden/>
    <w:unhideWhenUsed/>
    <w:rsid w:val="00121670"/>
    <w:rPr>
      <w:b/>
      <w:bCs/>
    </w:rPr>
  </w:style>
  <w:style w:type="character" w:customStyle="1" w:styleId="CommentSubjectChar">
    <w:name w:val="Comment Subject Char"/>
    <w:basedOn w:val="CommentTextChar"/>
    <w:link w:val="CommentSubject"/>
    <w:uiPriority w:val="99"/>
    <w:semiHidden/>
    <w:rsid w:val="00121670"/>
    <w:rPr>
      <w:b/>
      <w:bCs/>
      <w:sz w:val="20"/>
      <w:szCs w:val="20"/>
    </w:rPr>
  </w:style>
  <w:style w:type="character" w:customStyle="1" w:styleId="reference-accessdate">
    <w:name w:val="reference-accessdate"/>
    <w:basedOn w:val="DefaultParagraphFont"/>
    <w:rsid w:val="000D2F43"/>
  </w:style>
  <w:style w:type="character" w:customStyle="1" w:styleId="nowrap">
    <w:name w:val="nowrap"/>
    <w:basedOn w:val="DefaultParagraphFont"/>
    <w:rsid w:val="000D2F43"/>
  </w:style>
  <w:style w:type="character" w:styleId="HTMLCite">
    <w:name w:val="HTML Cite"/>
    <w:basedOn w:val="DefaultParagraphFont"/>
    <w:uiPriority w:val="99"/>
    <w:semiHidden/>
    <w:unhideWhenUsed/>
    <w:rsid w:val="000D2F43"/>
    <w:rPr>
      <w:i/>
      <w:iCs/>
    </w:rPr>
  </w:style>
  <w:style w:type="character" w:styleId="UnresolvedMention">
    <w:name w:val="Unresolved Mention"/>
    <w:basedOn w:val="DefaultParagraphFont"/>
    <w:uiPriority w:val="99"/>
    <w:semiHidden/>
    <w:unhideWhenUsed/>
    <w:rsid w:val="0049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1504">
      <w:bodyDiv w:val="1"/>
      <w:marLeft w:val="0"/>
      <w:marRight w:val="0"/>
      <w:marTop w:val="0"/>
      <w:marBottom w:val="0"/>
      <w:divBdr>
        <w:top w:val="none" w:sz="0" w:space="0" w:color="auto"/>
        <w:left w:val="none" w:sz="0" w:space="0" w:color="auto"/>
        <w:bottom w:val="none" w:sz="0" w:space="0" w:color="auto"/>
        <w:right w:val="none" w:sz="0" w:space="0" w:color="auto"/>
      </w:divBdr>
    </w:div>
    <w:div w:id="120930111">
      <w:bodyDiv w:val="1"/>
      <w:marLeft w:val="0"/>
      <w:marRight w:val="0"/>
      <w:marTop w:val="0"/>
      <w:marBottom w:val="0"/>
      <w:divBdr>
        <w:top w:val="none" w:sz="0" w:space="0" w:color="auto"/>
        <w:left w:val="none" w:sz="0" w:space="0" w:color="auto"/>
        <w:bottom w:val="none" w:sz="0" w:space="0" w:color="auto"/>
        <w:right w:val="none" w:sz="0" w:space="0" w:color="auto"/>
      </w:divBdr>
    </w:div>
    <w:div w:id="125468362">
      <w:bodyDiv w:val="1"/>
      <w:marLeft w:val="0"/>
      <w:marRight w:val="0"/>
      <w:marTop w:val="0"/>
      <w:marBottom w:val="0"/>
      <w:divBdr>
        <w:top w:val="none" w:sz="0" w:space="0" w:color="auto"/>
        <w:left w:val="none" w:sz="0" w:space="0" w:color="auto"/>
        <w:bottom w:val="none" w:sz="0" w:space="0" w:color="auto"/>
        <w:right w:val="none" w:sz="0" w:space="0" w:color="auto"/>
      </w:divBdr>
    </w:div>
    <w:div w:id="212815852">
      <w:bodyDiv w:val="1"/>
      <w:marLeft w:val="0"/>
      <w:marRight w:val="0"/>
      <w:marTop w:val="0"/>
      <w:marBottom w:val="0"/>
      <w:divBdr>
        <w:top w:val="none" w:sz="0" w:space="0" w:color="auto"/>
        <w:left w:val="none" w:sz="0" w:space="0" w:color="auto"/>
        <w:bottom w:val="none" w:sz="0" w:space="0" w:color="auto"/>
        <w:right w:val="none" w:sz="0" w:space="0" w:color="auto"/>
      </w:divBdr>
    </w:div>
    <w:div w:id="282885737">
      <w:bodyDiv w:val="1"/>
      <w:marLeft w:val="0"/>
      <w:marRight w:val="0"/>
      <w:marTop w:val="0"/>
      <w:marBottom w:val="0"/>
      <w:divBdr>
        <w:top w:val="none" w:sz="0" w:space="0" w:color="auto"/>
        <w:left w:val="none" w:sz="0" w:space="0" w:color="auto"/>
        <w:bottom w:val="none" w:sz="0" w:space="0" w:color="auto"/>
        <w:right w:val="none" w:sz="0" w:space="0" w:color="auto"/>
      </w:divBdr>
    </w:div>
    <w:div w:id="287005032">
      <w:bodyDiv w:val="1"/>
      <w:marLeft w:val="0"/>
      <w:marRight w:val="0"/>
      <w:marTop w:val="0"/>
      <w:marBottom w:val="0"/>
      <w:divBdr>
        <w:top w:val="none" w:sz="0" w:space="0" w:color="auto"/>
        <w:left w:val="none" w:sz="0" w:space="0" w:color="auto"/>
        <w:bottom w:val="none" w:sz="0" w:space="0" w:color="auto"/>
        <w:right w:val="none" w:sz="0" w:space="0" w:color="auto"/>
      </w:divBdr>
    </w:div>
    <w:div w:id="314065373">
      <w:bodyDiv w:val="1"/>
      <w:marLeft w:val="0"/>
      <w:marRight w:val="0"/>
      <w:marTop w:val="0"/>
      <w:marBottom w:val="0"/>
      <w:divBdr>
        <w:top w:val="none" w:sz="0" w:space="0" w:color="auto"/>
        <w:left w:val="none" w:sz="0" w:space="0" w:color="auto"/>
        <w:bottom w:val="none" w:sz="0" w:space="0" w:color="auto"/>
        <w:right w:val="none" w:sz="0" w:space="0" w:color="auto"/>
      </w:divBdr>
    </w:div>
    <w:div w:id="316763925">
      <w:bodyDiv w:val="1"/>
      <w:marLeft w:val="0"/>
      <w:marRight w:val="0"/>
      <w:marTop w:val="0"/>
      <w:marBottom w:val="0"/>
      <w:divBdr>
        <w:top w:val="none" w:sz="0" w:space="0" w:color="auto"/>
        <w:left w:val="none" w:sz="0" w:space="0" w:color="auto"/>
        <w:bottom w:val="none" w:sz="0" w:space="0" w:color="auto"/>
        <w:right w:val="none" w:sz="0" w:space="0" w:color="auto"/>
      </w:divBdr>
    </w:div>
    <w:div w:id="700128423">
      <w:bodyDiv w:val="1"/>
      <w:marLeft w:val="0"/>
      <w:marRight w:val="0"/>
      <w:marTop w:val="0"/>
      <w:marBottom w:val="0"/>
      <w:divBdr>
        <w:top w:val="none" w:sz="0" w:space="0" w:color="auto"/>
        <w:left w:val="none" w:sz="0" w:space="0" w:color="auto"/>
        <w:bottom w:val="none" w:sz="0" w:space="0" w:color="auto"/>
        <w:right w:val="none" w:sz="0" w:space="0" w:color="auto"/>
      </w:divBdr>
    </w:div>
    <w:div w:id="725645256">
      <w:bodyDiv w:val="1"/>
      <w:marLeft w:val="0"/>
      <w:marRight w:val="0"/>
      <w:marTop w:val="0"/>
      <w:marBottom w:val="0"/>
      <w:divBdr>
        <w:top w:val="none" w:sz="0" w:space="0" w:color="auto"/>
        <w:left w:val="none" w:sz="0" w:space="0" w:color="auto"/>
        <w:bottom w:val="none" w:sz="0" w:space="0" w:color="auto"/>
        <w:right w:val="none" w:sz="0" w:space="0" w:color="auto"/>
      </w:divBdr>
    </w:div>
    <w:div w:id="858547607">
      <w:bodyDiv w:val="1"/>
      <w:marLeft w:val="0"/>
      <w:marRight w:val="0"/>
      <w:marTop w:val="0"/>
      <w:marBottom w:val="0"/>
      <w:divBdr>
        <w:top w:val="none" w:sz="0" w:space="0" w:color="auto"/>
        <w:left w:val="none" w:sz="0" w:space="0" w:color="auto"/>
        <w:bottom w:val="none" w:sz="0" w:space="0" w:color="auto"/>
        <w:right w:val="none" w:sz="0" w:space="0" w:color="auto"/>
      </w:divBdr>
    </w:div>
    <w:div w:id="876819630">
      <w:bodyDiv w:val="1"/>
      <w:marLeft w:val="0"/>
      <w:marRight w:val="0"/>
      <w:marTop w:val="0"/>
      <w:marBottom w:val="0"/>
      <w:divBdr>
        <w:top w:val="none" w:sz="0" w:space="0" w:color="auto"/>
        <w:left w:val="none" w:sz="0" w:space="0" w:color="auto"/>
        <w:bottom w:val="none" w:sz="0" w:space="0" w:color="auto"/>
        <w:right w:val="none" w:sz="0" w:space="0" w:color="auto"/>
      </w:divBdr>
    </w:div>
    <w:div w:id="879130188">
      <w:bodyDiv w:val="1"/>
      <w:marLeft w:val="0"/>
      <w:marRight w:val="0"/>
      <w:marTop w:val="0"/>
      <w:marBottom w:val="0"/>
      <w:divBdr>
        <w:top w:val="none" w:sz="0" w:space="0" w:color="auto"/>
        <w:left w:val="none" w:sz="0" w:space="0" w:color="auto"/>
        <w:bottom w:val="none" w:sz="0" w:space="0" w:color="auto"/>
        <w:right w:val="none" w:sz="0" w:space="0" w:color="auto"/>
      </w:divBdr>
    </w:div>
    <w:div w:id="949632237">
      <w:bodyDiv w:val="1"/>
      <w:marLeft w:val="0"/>
      <w:marRight w:val="0"/>
      <w:marTop w:val="0"/>
      <w:marBottom w:val="0"/>
      <w:divBdr>
        <w:top w:val="none" w:sz="0" w:space="0" w:color="auto"/>
        <w:left w:val="none" w:sz="0" w:space="0" w:color="auto"/>
        <w:bottom w:val="none" w:sz="0" w:space="0" w:color="auto"/>
        <w:right w:val="none" w:sz="0" w:space="0" w:color="auto"/>
      </w:divBdr>
    </w:div>
    <w:div w:id="971905746">
      <w:bodyDiv w:val="1"/>
      <w:marLeft w:val="0"/>
      <w:marRight w:val="0"/>
      <w:marTop w:val="0"/>
      <w:marBottom w:val="0"/>
      <w:divBdr>
        <w:top w:val="none" w:sz="0" w:space="0" w:color="auto"/>
        <w:left w:val="none" w:sz="0" w:space="0" w:color="auto"/>
        <w:bottom w:val="none" w:sz="0" w:space="0" w:color="auto"/>
        <w:right w:val="none" w:sz="0" w:space="0" w:color="auto"/>
      </w:divBdr>
    </w:div>
    <w:div w:id="1069763137">
      <w:bodyDiv w:val="1"/>
      <w:marLeft w:val="0"/>
      <w:marRight w:val="0"/>
      <w:marTop w:val="0"/>
      <w:marBottom w:val="0"/>
      <w:divBdr>
        <w:top w:val="none" w:sz="0" w:space="0" w:color="auto"/>
        <w:left w:val="none" w:sz="0" w:space="0" w:color="auto"/>
        <w:bottom w:val="none" w:sz="0" w:space="0" w:color="auto"/>
        <w:right w:val="none" w:sz="0" w:space="0" w:color="auto"/>
      </w:divBdr>
    </w:div>
    <w:div w:id="1163550890">
      <w:bodyDiv w:val="1"/>
      <w:marLeft w:val="0"/>
      <w:marRight w:val="0"/>
      <w:marTop w:val="0"/>
      <w:marBottom w:val="0"/>
      <w:divBdr>
        <w:top w:val="none" w:sz="0" w:space="0" w:color="auto"/>
        <w:left w:val="none" w:sz="0" w:space="0" w:color="auto"/>
        <w:bottom w:val="none" w:sz="0" w:space="0" w:color="auto"/>
        <w:right w:val="none" w:sz="0" w:space="0" w:color="auto"/>
      </w:divBdr>
    </w:div>
    <w:div w:id="1273633509">
      <w:bodyDiv w:val="1"/>
      <w:marLeft w:val="0"/>
      <w:marRight w:val="0"/>
      <w:marTop w:val="0"/>
      <w:marBottom w:val="0"/>
      <w:divBdr>
        <w:top w:val="none" w:sz="0" w:space="0" w:color="auto"/>
        <w:left w:val="none" w:sz="0" w:space="0" w:color="auto"/>
        <w:bottom w:val="none" w:sz="0" w:space="0" w:color="auto"/>
        <w:right w:val="none" w:sz="0" w:space="0" w:color="auto"/>
      </w:divBdr>
    </w:div>
    <w:div w:id="1280919323">
      <w:bodyDiv w:val="1"/>
      <w:marLeft w:val="0"/>
      <w:marRight w:val="0"/>
      <w:marTop w:val="0"/>
      <w:marBottom w:val="0"/>
      <w:divBdr>
        <w:top w:val="none" w:sz="0" w:space="0" w:color="auto"/>
        <w:left w:val="none" w:sz="0" w:space="0" w:color="auto"/>
        <w:bottom w:val="none" w:sz="0" w:space="0" w:color="auto"/>
        <w:right w:val="none" w:sz="0" w:space="0" w:color="auto"/>
      </w:divBdr>
    </w:div>
    <w:div w:id="1516111904">
      <w:bodyDiv w:val="1"/>
      <w:marLeft w:val="0"/>
      <w:marRight w:val="0"/>
      <w:marTop w:val="0"/>
      <w:marBottom w:val="0"/>
      <w:divBdr>
        <w:top w:val="none" w:sz="0" w:space="0" w:color="auto"/>
        <w:left w:val="none" w:sz="0" w:space="0" w:color="auto"/>
        <w:bottom w:val="none" w:sz="0" w:space="0" w:color="auto"/>
        <w:right w:val="none" w:sz="0" w:space="0" w:color="auto"/>
      </w:divBdr>
    </w:div>
    <w:div w:id="1600604908">
      <w:bodyDiv w:val="1"/>
      <w:marLeft w:val="0"/>
      <w:marRight w:val="0"/>
      <w:marTop w:val="0"/>
      <w:marBottom w:val="0"/>
      <w:divBdr>
        <w:top w:val="none" w:sz="0" w:space="0" w:color="auto"/>
        <w:left w:val="none" w:sz="0" w:space="0" w:color="auto"/>
        <w:bottom w:val="none" w:sz="0" w:space="0" w:color="auto"/>
        <w:right w:val="none" w:sz="0" w:space="0" w:color="auto"/>
      </w:divBdr>
    </w:div>
    <w:div w:id="1678534863">
      <w:bodyDiv w:val="1"/>
      <w:marLeft w:val="0"/>
      <w:marRight w:val="0"/>
      <w:marTop w:val="0"/>
      <w:marBottom w:val="0"/>
      <w:divBdr>
        <w:top w:val="none" w:sz="0" w:space="0" w:color="auto"/>
        <w:left w:val="none" w:sz="0" w:space="0" w:color="auto"/>
        <w:bottom w:val="none" w:sz="0" w:space="0" w:color="auto"/>
        <w:right w:val="none" w:sz="0" w:space="0" w:color="auto"/>
      </w:divBdr>
    </w:div>
    <w:div w:id="1785878029">
      <w:bodyDiv w:val="1"/>
      <w:marLeft w:val="0"/>
      <w:marRight w:val="0"/>
      <w:marTop w:val="0"/>
      <w:marBottom w:val="0"/>
      <w:divBdr>
        <w:top w:val="none" w:sz="0" w:space="0" w:color="auto"/>
        <w:left w:val="none" w:sz="0" w:space="0" w:color="auto"/>
        <w:bottom w:val="none" w:sz="0" w:space="0" w:color="auto"/>
        <w:right w:val="none" w:sz="0" w:space="0" w:color="auto"/>
      </w:divBdr>
    </w:div>
    <w:div w:id="1932395913">
      <w:bodyDiv w:val="1"/>
      <w:marLeft w:val="0"/>
      <w:marRight w:val="0"/>
      <w:marTop w:val="0"/>
      <w:marBottom w:val="0"/>
      <w:divBdr>
        <w:top w:val="none" w:sz="0" w:space="0" w:color="auto"/>
        <w:left w:val="none" w:sz="0" w:space="0" w:color="auto"/>
        <w:bottom w:val="none" w:sz="0" w:space="0" w:color="auto"/>
        <w:right w:val="none" w:sz="0" w:space="0" w:color="auto"/>
      </w:divBdr>
    </w:div>
    <w:div w:id="1989481344">
      <w:bodyDiv w:val="1"/>
      <w:marLeft w:val="0"/>
      <w:marRight w:val="0"/>
      <w:marTop w:val="0"/>
      <w:marBottom w:val="0"/>
      <w:divBdr>
        <w:top w:val="none" w:sz="0" w:space="0" w:color="auto"/>
        <w:left w:val="none" w:sz="0" w:space="0" w:color="auto"/>
        <w:bottom w:val="none" w:sz="0" w:space="0" w:color="auto"/>
        <w:right w:val="none" w:sz="0" w:space="0" w:color="auto"/>
      </w:divBdr>
    </w:div>
    <w:div w:id="2106337221">
      <w:bodyDiv w:val="1"/>
      <w:marLeft w:val="0"/>
      <w:marRight w:val="0"/>
      <w:marTop w:val="0"/>
      <w:marBottom w:val="0"/>
      <w:divBdr>
        <w:top w:val="none" w:sz="0" w:space="0" w:color="auto"/>
        <w:left w:val="none" w:sz="0" w:space="0" w:color="auto"/>
        <w:bottom w:val="none" w:sz="0" w:space="0" w:color="auto"/>
        <w:right w:val="none" w:sz="0" w:space="0" w:color="auto"/>
      </w:divBdr>
    </w:div>
    <w:div w:id="21130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barr@rutgers.edu" TargetMode="External"/><Relationship Id="rId13" Type="http://schemas.openxmlformats.org/officeDocument/2006/relationships/hyperlink" Target="https://www.fema.gov/media-library-data/1468504201672-3c52280b1b1d936e8d23e26f12816017/Flood_Hazard_Mapping_Updates_Overview_Fact_Sheet.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sa.doc.gov/sites/default/files/sandyfinal101713.pdf" TargetMode="External"/><Relationship Id="rId17" Type="http://schemas.openxmlformats.org/officeDocument/2006/relationships/hyperlink" Target="https://www1.nyc.gov/site/floodmaps/about/about-flood-maps.page" TargetMode="External"/><Relationship Id="rId2" Type="http://schemas.openxmlformats.org/officeDocument/2006/relationships/numbering" Target="numbering.xml"/><Relationship Id="rId16" Type="http://schemas.openxmlformats.org/officeDocument/2006/relationships/hyperlink" Target="https://www.nhc.noaa.gov/news/UpdatedCostliest.pdf" TargetMode="External"/><Relationship Id="rId20" Type="http://schemas.openxmlformats.org/officeDocument/2006/relationships/hyperlink" Target="https://www.nrdc.org/sites/default/files/hurricane-sandy-coastal-flooding-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n.com/2013/07/13/world/americas/hurricane-sandy-fast-facts/" TargetMode="External"/><Relationship Id="rId5" Type="http://schemas.openxmlformats.org/officeDocument/2006/relationships/webSettings" Target="webSettings.xml"/><Relationship Id="rId15" Type="http://schemas.openxmlformats.org/officeDocument/2006/relationships/hyperlink" Target="https://www.nytimes.com/interactive/2017/09/01/us/houston-damaged-buildings-in-fema-flood-zones.html?mcubz=1&amp;_r=1" TargetMode="External"/><Relationship Id="rId23" Type="http://schemas.openxmlformats.org/officeDocument/2006/relationships/theme" Target="theme/theme1.xml"/><Relationship Id="rId10" Type="http://schemas.openxmlformats.org/officeDocument/2006/relationships/hyperlink" Target="mailto:eongyung.kim.15@ucl.ac.uk"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jeffrey.cohen@uconn.edu" TargetMode="External"/><Relationship Id="rId14" Type="http://schemas.openxmlformats.org/officeDocument/2006/relationships/hyperlink" Target="https://www.floodsmart.gov/floodsmart/pages/about/nfip_overview.j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yc.gov/html/sirr/downloads/pdf/final_report/Ch_1_SandyImpacts_FINAL_singles.pdf" TargetMode="External"/><Relationship Id="rId1" Type="http://schemas.openxmlformats.org/officeDocument/2006/relationships/hyperlink" Target="https://www.nytimes.com/interactive/2017/09/01/us/houston-damaged-buildings-in-fema-flood-zones.html?mcubz=1&amp;_r=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Research\NYC\Climate_Change\Sandy\Drafts\RSUE%20August%202020\Reg%20Tables%2024Aug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Coeffs.</c:v>
          </c:tx>
          <c:spPr>
            <a:ln w="28575" cap="rnd">
              <a:solidFill>
                <a:schemeClr val="tx1"/>
              </a:solidFill>
              <a:round/>
            </a:ln>
            <a:effectLst/>
          </c:spPr>
          <c:marker>
            <c:symbol val="circle"/>
            <c:size val="5"/>
            <c:spPr>
              <a:solidFill>
                <a:schemeClr val="accent1"/>
              </a:solidFill>
              <a:ln w="9525">
                <a:solidFill>
                  <a:schemeClr val="tx1"/>
                </a:solidFill>
              </a:ln>
              <a:effectLst/>
            </c:spPr>
          </c:marker>
          <c:cat>
            <c:numRef>
              <c:f>'Quarter by Quarter'!$B$2:$B$7</c:f>
              <c:numCache>
                <c:formatCode>General</c:formatCode>
                <c:ptCount val="6"/>
                <c:pt idx="0">
                  <c:v>2012.2</c:v>
                </c:pt>
                <c:pt idx="1">
                  <c:v>2012.3</c:v>
                </c:pt>
                <c:pt idx="2">
                  <c:v>2012.4</c:v>
                </c:pt>
                <c:pt idx="3">
                  <c:v>2013.1</c:v>
                </c:pt>
                <c:pt idx="4">
                  <c:v>2013.2</c:v>
                </c:pt>
                <c:pt idx="5">
                  <c:v>2013.3</c:v>
                </c:pt>
              </c:numCache>
            </c:numRef>
          </c:cat>
          <c:val>
            <c:numRef>
              <c:f>'Quarter by Quarter'!$C$2:$C$7</c:f>
              <c:numCache>
                <c:formatCode>0.000</c:formatCode>
                <c:ptCount val="6"/>
                <c:pt idx="0">
                  <c:v>-0.34266530000000001</c:v>
                </c:pt>
                <c:pt idx="1">
                  <c:v>-1.69032E-2</c:v>
                </c:pt>
                <c:pt idx="2">
                  <c:v>7.0925600000000005E-2</c:v>
                </c:pt>
                <c:pt idx="3">
                  <c:v>0.15200920000000001</c:v>
                </c:pt>
                <c:pt idx="4">
                  <c:v>2.35316E-2</c:v>
                </c:pt>
                <c:pt idx="5">
                  <c:v>8.4864899999999993E-2</c:v>
                </c:pt>
              </c:numCache>
            </c:numRef>
          </c:val>
          <c:smooth val="0"/>
          <c:extLst>
            <c:ext xmlns:c16="http://schemas.microsoft.com/office/drawing/2014/chart" uri="{C3380CC4-5D6E-409C-BE32-E72D297353CC}">
              <c16:uniqueId val="{00000000-CA30-41A5-880D-06969231F0A5}"/>
            </c:ext>
          </c:extLst>
        </c:ser>
        <c:ser>
          <c:idx val="1"/>
          <c:order val="1"/>
          <c:tx>
            <c:strRef>
              <c:f>'Quarter by Quarter'!$G$1</c:f>
              <c:strCache>
                <c:ptCount val="1"/>
                <c:pt idx="0">
                  <c:v>Lower 95CI</c:v>
                </c:pt>
              </c:strCache>
            </c:strRef>
          </c:tx>
          <c:spPr>
            <a:ln w="22225" cap="rnd">
              <a:solidFill>
                <a:schemeClr val="accent2"/>
              </a:solidFill>
              <a:prstDash val="sysDot"/>
              <a:round/>
            </a:ln>
            <a:effectLst/>
          </c:spPr>
          <c:marker>
            <c:symbol val="circle"/>
            <c:size val="5"/>
            <c:spPr>
              <a:solidFill>
                <a:schemeClr val="accent2"/>
              </a:solidFill>
              <a:ln w="9525">
                <a:solidFill>
                  <a:schemeClr val="accent2"/>
                </a:solidFill>
              </a:ln>
              <a:effectLst/>
            </c:spPr>
          </c:marker>
          <c:val>
            <c:numRef>
              <c:f>'Quarter by Quarter'!$G$2:$G$7</c:f>
              <c:numCache>
                <c:formatCode>0.00</c:formatCode>
                <c:ptCount val="6"/>
                <c:pt idx="0">
                  <c:v>-0.75156520000000004</c:v>
                </c:pt>
                <c:pt idx="1">
                  <c:v>-0.6149076</c:v>
                </c:pt>
                <c:pt idx="2">
                  <c:v>-0.20380529999999999</c:v>
                </c:pt>
                <c:pt idx="3">
                  <c:v>-0.48170170000000001</c:v>
                </c:pt>
                <c:pt idx="4">
                  <c:v>-0.18564159999999999</c:v>
                </c:pt>
                <c:pt idx="5">
                  <c:v>-0.10674400000000001</c:v>
                </c:pt>
              </c:numCache>
            </c:numRef>
          </c:val>
          <c:smooth val="0"/>
          <c:extLst>
            <c:ext xmlns:c16="http://schemas.microsoft.com/office/drawing/2014/chart" uri="{C3380CC4-5D6E-409C-BE32-E72D297353CC}">
              <c16:uniqueId val="{00000001-CA30-41A5-880D-06969231F0A5}"/>
            </c:ext>
          </c:extLst>
        </c:ser>
        <c:ser>
          <c:idx val="2"/>
          <c:order val="2"/>
          <c:tx>
            <c:strRef>
              <c:f>'Quarter by Quarter'!$H$1</c:f>
              <c:strCache>
                <c:ptCount val="1"/>
                <c:pt idx="0">
                  <c:v>Upper95CI</c:v>
                </c:pt>
              </c:strCache>
            </c:strRef>
          </c:tx>
          <c:spPr>
            <a:ln w="22225" cap="rnd">
              <a:solidFill>
                <a:schemeClr val="accent3"/>
              </a:solidFill>
              <a:prstDash val="sysDot"/>
              <a:round/>
            </a:ln>
            <a:effectLst/>
          </c:spPr>
          <c:marker>
            <c:symbol val="circle"/>
            <c:size val="5"/>
            <c:spPr>
              <a:solidFill>
                <a:schemeClr val="accent3"/>
              </a:solidFill>
              <a:ln w="9525">
                <a:solidFill>
                  <a:schemeClr val="accent3"/>
                </a:solidFill>
              </a:ln>
              <a:effectLst/>
            </c:spPr>
          </c:marker>
          <c:val>
            <c:numRef>
              <c:f>'Quarter by Quarter'!$H$2:$H$7</c:f>
              <c:numCache>
                <c:formatCode>0.00</c:formatCode>
                <c:ptCount val="6"/>
                <c:pt idx="0">
                  <c:v>6.6234600000000005E-2</c:v>
                </c:pt>
                <c:pt idx="1">
                  <c:v>0.58110119999999998</c:v>
                </c:pt>
                <c:pt idx="2">
                  <c:v>0.34565649999999998</c:v>
                </c:pt>
                <c:pt idx="3">
                  <c:v>0.78571999999999997</c:v>
                </c:pt>
                <c:pt idx="4">
                  <c:v>0.23270489999999999</c:v>
                </c:pt>
                <c:pt idx="5">
                  <c:v>0.27647389999999999</c:v>
                </c:pt>
              </c:numCache>
            </c:numRef>
          </c:val>
          <c:smooth val="0"/>
          <c:extLst>
            <c:ext xmlns:c16="http://schemas.microsoft.com/office/drawing/2014/chart" uri="{C3380CC4-5D6E-409C-BE32-E72D297353CC}">
              <c16:uniqueId val="{00000002-CA30-41A5-880D-06969231F0A5}"/>
            </c:ext>
          </c:extLst>
        </c:ser>
        <c:dLbls>
          <c:showLegendKey val="0"/>
          <c:showVal val="0"/>
          <c:showCatName val="0"/>
          <c:showSerName val="0"/>
          <c:showPercent val="0"/>
          <c:showBubbleSize val="0"/>
        </c:dLbls>
        <c:marker val="1"/>
        <c:smooth val="0"/>
        <c:axId val="1163379007"/>
        <c:axId val="881736127"/>
      </c:lineChart>
      <c:catAx>
        <c:axId val="1163379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736127"/>
        <c:crosses val="autoZero"/>
        <c:auto val="1"/>
        <c:lblAlgn val="ctr"/>
        <c:lblOffset val="100"/>
        <c:noMultiLvlLbl val="0"/>
      </c:catAx>
      <c:valAx>
        <c:axId val="881736127"/>
        <c:scaling>
          <c:orientation val="minMax"/>
          <c:max val="0.8"/>
          <c:min val="-0.8"/>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337900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0.41156</cdr:x>
      <cdr:y>0.15896</cdr:y>
    </cdr:from>
    <cdr:to>
      <cdr:x>0.41156</cdr:x>
      <cdr:y>0.94701</cdr:y>
    </cdr:to>
    <cdr:cxnSp macro="">
      <cdr:nvCxnSpPr>
        <cdr:cNvPr id="3" name="Straight Connector 2"/>
        <cdr:cNvCxnSpPr/>
      </cdr:nvCxnSpPr>
      <cdr:spPr>
        <a:xfrm xmlns:a="http://schemas.openxmlformats.org/drawingml/2006/main" flipV="1">
          <a:off x="1881656" y="436057"/>
          <a:ext cx="0" cy="2161790"/>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AD350-B9BD-4A8E-8B4D-FC8B9DEA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7332</Words>
  <Characters>41795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jasonbarr@outlook.com</dc:creator>
  <cp:keywords/>
  <dc:description/>
  <cp:lastModifiedBy>jeffrey cohen</cp:lastModifiedBy>
  <cp:revision>2</cp:revision>
  <cp:lastPrinted>2020-11-14T22:36:00Z</cp:lastPrinted>
  <dcterms:created xsi:type="dcterms:W3CDTF">2020-11-16T05:13:00Z</dcterms:created>
  <dcterms:modified xsi:type="dcterms:W3CDTF">2020-11-16T05:13:00Z</dcterms:modified>
</cp:coreProperties>
</file>