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61DD36"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Interregional Migration and Housing Vacancy: Theory and Empirics</w:t>
      </w:r>
    </w:p>
    <w:p w14:paraId="57703DAD" w14:textId="77777777" w:rsidR="00B50F1D" w:rsidRPr="00D232BF" w:rsidRDefault="00B50F1D" w:rsidP="00B50F1D">
      <w:pPr>
        <w:spacing w:after="0" w:line="240" w:lineRule="auto"/>
        <w:contextualSpacing/>
        <w:jc w:val="center"/>
        <w:rPr>
          <w:rFonts w:eastAsia="Calibri"/>
          <w:szCs w:val="24"/>
        </w:rPr>
      </w:pPr>
      <w:r w:rsidRPr="00D232BF">
        <w:rPr>
          <w:rFonts w:eastAsia="Calibri"/>
          <w:szCs w:val="24"/>
        </w:rPr>
        <w:t>Jeffrey P. Cohen</w:t>
      </w:r>
    </w:p>
    <w:p w14:paraId="07FB069E" w14:textId="77777777" w:rsidR="00B50F1D" w:rsidRPr="00D232BF" w:rsidRDefault="00B50F1D" w:rsidP="00B50F1D">
      <w:pPr>
        <w:spacing w:after="0" w:line="240" w:lineRule="auto"/>
        <w:contextualSpacing/>
        <w:jc w:val="center"/>
        <w:rPr>
          <w:rFonts w:eastAsia="Calibri"/>
          <w:szCs w:val="24"/>
        </w:rPr>
      </w:pPr>
      <w:r w:rsidRPr="00D232BF">
        <w:rPr>
          <w:rFonts w:eastAsia="Calibri"/>
          <w:szCs w:val="24"/>
        </w:rPr>
        <w:t>Professor of Real Estate and Finance</w:t>
      </w:r>
    </w:p>
    <w:p w14:paraId="44399D09" w14:textId="77777777" w:rsidR="00B50F1D" w:rsidRPr="00D232BF" w:rsidRDefault="00B50F1D" w:rsidP="00B50F1D">
      <w:pPr>
        <w:spacing w:after="0" w:line="240" w:lineRule="auto"/>
        <w:contextualSpacing/>
        <w:jc w:val="center"/>
        <w:rPr>
          <w:rFonts w:eastAsia="Calibri"/>
          <w:szCs w:val="24"/>
        </w:rPr>
      </w:pPr>
      <w:r w:rsidRPr="00D232BF">
        <w:rPr>
          <w:rFonts w:eastAsia="Calibri"/>
          <w:szCs w:val="24"/>
        </w:rPr>
        <w:t>University of Connecticut</w:t>
      </w:r>
    </w:p>
    <w:p w14:paraId="714A409A" w14:textId="77777777" w:rsidR="00B50F1D" w:rsidRPr="00D232BF" w:rsidRDefault="00E96C7A" w:rsidP="00B50F1D">
      <w:pPr>
        <w:spacing w:after="0" w:line="240" w:lineRule="auto"/>
        <w:contextualSpacing/>
        <w:jc w:val="center"/>
        <w:rPr>
          <w:rFonts w:eastAsia="Calibri"/>
          <w:color w:val="0000FF"/>
          <w:szCs w:val="24"/>
          <w:u w:val="single"/>
        </w:rPr>
      </w:pPr>
      <w:hyperlink r:id="rId8" w:history="1">
        <w:r w:rsidR="00B50F1D" w:rsidRPr="00D232BF">
          <w:rPr>
            <w:rFonts w:eastAsia="Calibri"/>
            <w:color w:val="0000FF"/>
            <w:szCs w:val="24"/>
            <w:u w:val="single"/>
          </w:rPr>
          <w:t>Jeffrey.Cohen@business.uconn.edu</w:t>
        </w:r>
      </w:hyperlink>
    </w:p>
    <w:p w14:paraId="489D4815" w14:textId="77777777" w:rsidR="00B50F1D" w:rsidRPr="00D232BF" w:rsidRDefault="00B50F1D" w:rsidP="00B50F1D">
      <w:pPr>
        <w:spacing w:after="0" w:line="240" w:lineRule="auto"/>
        <w:contextualSpacing/>
        <w:jc w:val="center"/>
        <w:rPr>
          <w:rFonts w:eastAsia="Calibri"/>
          <w:szCs w:val="24"/>
        </w:rPr>
      </w:pPr>
    </w:p>
    <w:p w14:paraId="54E33C72" w14:textId="77777777" w:rsidR="00B50F1D" w:rsidRPr="00D232BF" w:rsidRDefault="00B50F1D" w:rsidP="00B50F1D">
      <w:pPr>
        <w:spacing w:after="0" w:line="240" w:lineRule="auto"/>
        <w:contextualSpacing/>
        <w:jc w:val="center"/>
        <w:rPr>
          <w:rFonts w:eastAsia="Calibri"/>
          <w:szCs w:val="24"/>
        </w:rPr>
      </w:pPr>
      <w:r w:rsidRPr="00D232BF">
        <w:rPr>
          <w:rFonts w:eastAsia="Calibri"/>
          <w:szCs w:val="24"/>
        </w:rPr>
        <w:t>Cletus C. Coughlin</w:t>
      </w:r>
    </w:p>
    <w:p w14:paraId="2C92D40E" w14:textId="77777777" w:rsidR="00B50F1D" w:rsidRPr="00D232BF" w:rsidRDefault="00B50F1D" w:rsidP="00B50F1D">
      <w:pPr>
        <w:spacing w:after="0" w:line="240" w:lineRule="auto"/>
        <w:contextualSpacing/>
        <w:jc w:val="center"/>
        <w:rPr>
          <w:rFonts w:eastAsia="Calibri"/>
          <w:szCs w:val="24"/>
        </w:rPr>
      </w:pPr>
      <w:r w:rsidRPr="00D232BF">
        <w:rPr>
          <w:rFonts w:eastAsia="Calibri"/>
          <w:szCs w:val="24"/>
        </w:rPr>
        <w:t>Emeritus Economist – Research Division</w:t>
      </w:r>
    </w:p>
    <w:p w14:paraId="17DDF37B" w14:textId="77777777" w:rsidR="00B50F1D" w:rsidRPr="00D232BF" w:rsidRDefault="00B50F1D" w:rsidP="00B50F1D">
      <w:pPr>
        <w:spacing w:after="0" w:line="240" w:lineRule="auto"/>
        <w:contextualSpacing/>
        <w:jc w:val="center"/>
        <w:rPr>
          <w:rFonts w:eastAsia="Calibri"/>
          <w:szCs w:val="24"/>
        </w:rPr>
      </w:pPr>
      <w:r w:rsidRPr="00D232BF">
        <w:rPr>
          <w:rFonts w:eastAsia="Calibri"/>
          <w:szCs w:val="24"/>
        </w:rPr>
        <w:t>Federal Reserve Bank of St. Louis</w:t>
      </w:r>
    </w:p>
    <w:p w14:paraId="38D279B8" w14:textId="77777777" w:rsidR="00B50F1D" w:rsidRPr="00D232BF" w:rsidRDefault="00E96C7A" w:rsidP="00B50F1D">
      <w:pPr>
        <w:spacing w:after="0" w:line="240" w:lineRule="auto"/>
        <w:contextualSpacing/>
        <w:jc w:val="center"/>
        <w:rPr>
          <w:rFonts w:eastAsia="Calibri"/>
          <w:color w:val="0000FF"/>
          <w:szCs w:val="24"/>
          <w:u w:val="single"/>
        </w:rPr>
      </w:pPr>
      <w:hyperlink r:id="rId9" w:history="1"/>
      <w:r w:rsidR="00B50F1D" w:rsidRPr="00D232BF">
        <w:rPr>
          <w:rFonts w:eastAsia="Calibri"/>
          <w:color w:val="0000FF"/>
          <w:szCs w:val="24"/>
          <w:u w:val="single"/>
        </w:rPr>
        <w:t>coughlincc@charter.net</w:t>
      </w:r>
    </w:p>
    <w:p w14:paraId="7D945EFB" w14:textId="77777777" w:rsidR="00B50F1D" w:rsidRPr="00D232BF" w:rsidRDefault="00B50F1D" w:rsidP="00B50F1D">
      <w:pPr>
        <w:spacing w:after="0" w:line="240" w:lineRule="auto"/>
        <w:contextualSpacing/>
        <w:jc w:val="center"/>
        <w:rPr>
          <w:rFonts w:eastAsia="Calibri"/>
          <w:szCs w:val="24"/>
        </w:rPr>
      </w:pPr>
    </w:p>
    <w:p w14:paraId="400CCCE7" w14:textId="77777777" w:rsidR="00B50F1D" w:rsidRPr="00D232BF" w:rsidRDefault="00B50F1D" w:rsidP="00B50F1D">
      <w:pPr>
        <w:spacing w:after="0" w:line="240" w:lineRule="auto"/>
        <w:contextualSpacing/>
        <w:jc w:val="center"/>
        <w:rPr>
          <w:rFonts w:eastAsia="Calibri"/>
          <w:szCs w:val="24"/>
        </w:rPr>
      </w:pPr>
      <w:r w:rsidRPr="00D232BF">
        <w:rPr>
          <w:rFonts w:eastAsia="Calibri"/>
          <w:szCs w:val="24"/>
        </w:rPr>
        <w:t>Jonas Crews</w:t>
      </w:r>
    </w:p>
    <w:p w14:paraId="461D8E5D" w14:textId="77777777" w:rsidR="00B50F1D" w:rsidRPr="00D232BF" w:rsidRDefault="00B50F1D" w:rsidP="00B50F1D">
      <w:pPr>
        <w:spacing w:after="0" w:line="240" w:lineRule="auto"/>
        <w:contextualSpacing/>
        <w:jc w:val="center"/>
        <w:rPr>
          <w:rFonts w:eastAsia="Calibri"/>
          <w:szCs w:val="24"/>
        </w:rPr>
      </w:pPr>
      <w:r w:rsidRPr="00D232BF">
        <w:rPr>
          <w:rFonts w:eastAsia="Calibri"/>
          <w:szCs w:val="24"/>
        </w:rPr>
        <w:t>Senior Research Associate</w:t>
      </w:r>
    </w:p>
    <w:p w14:paraId="76EB5475" w14:textId="77777777" w:rsidR="00B50F1D" w:rsidRPr="00D232BF" w:rsidRDefault="00B50F1D" w:rsidP="00B50F1D">
      <w:pPr>
        <w:spacing w:after="0" w:line="240" w:lineRule="auto"/>
        <w:contextualSpacing/>
        <w:jc w:val="center"/>
        <w:rPr>
          <w:rFonts w:eastAsia="Calibri"/>
          <w:szCs w:val="24"/>
        </w:rPr>
      </w:pPr>
      <w:r w:rsidRPr="00D232BF">
        <w:rPr>
          <w:rFonts w:eastAsia="Calibri"/>
          <w:szCs w:val="24"/>
        </w:rPr>
        <w:t>Heartland Forward</w:t>
      </w:r>
    </w:p>
    <w:p w14:paraId="3D140211" w14:textId="77777777" w:rsidR="00B50F1D" w:rsidRPr="00D232BF" w:rsidRDefault="00B50F1D" w:rsidP="00B50F1D">
      <w:pPr>
        <w:spacing w:after="0" w:line="240" w:lineRule="auto"/>
        <w:contextualSpacing/>
        <w:jc w:val="center"/>
        <w:rPr>
          <w:rFonts w:eastAsia="Calibri"/>
          <w:szCs w:val="24"/>
        </w:rPr>
      </w:pPr>
      <w:r w:rsidRPr="00D232BF">
        <w:rPr>
          <w:rFonts w:eastAsia="Calibri"/>
          <w:color w:val="0000FF"/>
          <w:szCs w:val="24"/>
          <w:u w:val="single"/>
        </w:rPr>
        <w:t>crews@heartlandforward.org</w:t>
      </w:r>
    </w:p>
    <w:p w14:paraId="43A01FDD" w14:textId="77777777" w:rsidR="00B50F1D" w:rsidRPr="00D232BF" w:rsidRDefault="00B50F1D" w:rsidP="00B50F1D">
      <w:pPr>
        <w:spacing w:after="200" w:line="240" w:lineRule="auto"/>
        <w:contextualSpacing/>
        <w:jc w:val="center"/>
        <w:rPr>
          <w:rFonts w:eastAsia="Calibri"/>
          <w:szCs w:val="24"/>
        </w:rPr>
      </w:pPr>
    </w:p>
    <w:p w14:paraId="70F34B62" w14:textId="77777777" w:rsidR="00B50F1D" w:rsidRPr="00D232BF" w:rsidRDefault="00B50F1D" w:rsidP="00B50F1D">
      <w:pPr>
        <w:spacing w:after="200" w:line="240" w:lineRule="auto"/>
        <w:contextualSpacing/>
        <w:jc w:val="center"/>
        <w:rPr>
          <w:rFonts w:eastAsia="Calibri"/>
          <w:szCs w:val="24"/>
        </w:rPr>
      </w:pPr>
      <w:r w:rsidRPr="00D232BF">
        <w:rPr>
          <w:rFonts w:eastAsia="Calibri"/>
          <w:szCs w:val="24"/>
        </w:rPr>
        <w:t xml:space="preserve">Daniel </w:t>
      </w:r>
      <w:proofErr w:type="spellStart"/>
      <w:r w:rsidRPr="00D232BF">
        <w:rPr>
          <w:rFonts w:eastAsia="Calibri"/>
          <w:szCs w:val="24"/>
        </w:rPr>
        <w:t>Soques</w:t>
      </w:r>
      <w:proofErr w:type="spellEnd"/>
    </w:p>
    <w:p w14:paraId="409FD03C" w14:textId="77777777" w:rsidR="00B50F1D" w:rsidRPr="00D232BF" w:rsidRDefault="00B50F1D" w:rsidP="00B50F1D">
      <w:pPr>
        <w:spacing w:after="200" w:line="240" w:lineRule="auto"/>
        <w:contextualSpacing/>
        <w:jc w:val="center"/>
        <w:rPr>
          <w:rFonts w:eastAsia="Calibri"/>
          <w:szCs w:val="24"/>
        </w:rPr>
      </w:pPr>
      <w:r w:rsidRPr="00D232BF">
        <w:rPr>
          <w:rFonts w:eastAsia="Calibri"/>
          <w:szCs w:val="24"/>
        </w:rPr>
        <w:t>Assistant Professor of Economics</w:t>
      </w:r>
    </w:p>
    <w:p w14:paraId="4E045B59" w14:textId="77777777" w:rsidR="00B50F1D" w:rsidRPr="00D232BF" w:rsidRDefault="00B50F1D" w:rsidP="00B50F1D">
      <w:pPr>
        <w:spacing w:after="200" w:line="240" w:lineRule="auto"/>
        <w:contextualSpacing/>
        <w:jc w:val="center"/>
        <w:rPr>
          <w:rFonts w:eastAsia="Calibri"/>
          <w:szCs w:val="24"/>
        </w:rPr>
      </w:pPr>
      <w:r w:rsidRPr="00D232BF">
        <w:rPr>
          <w:rFonts w:eastAsia="Calibri"/>
          <w:szCs w:val="24"/>
        </w:rPr>
        <w:t>University of North Carolina Wilmington</w:t>
      </w:r>
    </w:p>
    <w:p w14:paraId="18313F19" w14:textId="77777777" w:rsidR="00B50F1D" w:rsidRPr="00D232BF" w:rsidRDefault="00E96C7A" w:rsidP="00B50F1D">
      <w:pPr>
        <w:spacing w:after="200" w:line="240" w:lineRule="auto"/>
        <w:contextualSpacing/>
        <w:jc w:val="center"/>
        <w:rPr>
          <w:rFonts w:eastAsia="Calibri"/>
          <w:szCs w:val="24"/>
        </w:rPr>
      </w:pPr>
      <w:hyperlink r:id="rId10" w:history="1">
        <w:r w:rsidR="00B50F1D" w:rsidRPr="00D232BF">
          <w:rPr>
            <w:rFonts w:eastAsia="Calibri"/>
            <w:color w:val="0563C1"/>
            <w:szCs w:val="24"/>
            <w:u w:val="single"/>
          </w:rPr>
          <w:t>soquesd@uncw.edu</w:t>
        </w:r>
      </w:hyperlink>
    </w:p>
    <w:p w14:paraId="344E6CC9" w14:textId="77777777" w:rsidR="00B50F1D" w:rsidRPr="00B50F1D" w:rsidRDefault="00B50F1D" w:rsidP="00B50F1D">
      <w:pPr>
        <w:spacing w:after="200" w:line="240" w:lineRule="auto"/>
        <w:jc w:val="center"/>
        <w:rPr>
          <w:rFonts w:eastAsia="Calibri"/>
          <w:sz w:val="24"/>
          <w:szCs w:val="24"/>
        </w:rPr>
      </w:pPr>
    </w:p>
    <w:p w14:paraId="3FB03888" w14:textId="21927FCF" w:rsidR="00B50F1D" w:rsidRPr="00B50F1D" w:rsidRDefault="00B50F1D" w:rsidP="00B50F1D">
      <w:pPr>
        <w:spacing w:after="200" w:line="480" w:lineRule="auto"/>
        <w:jc w:val="center"/>
        <w:rPr>
          <w:rFonts w:eastAsia="Calibri"/>
          <w:b/>
          <w:sz w:val="24"/>
          <w:szCs w:val="24"/>
        </w:rPr>
      </w:pPr>
      <w:r w:rsidRPr="00B50F1D">
        <w:rPr>
          <w:rFonts w:eastAsia="Calibri"/>
          <w:b/>
          <w:sz w:val="24"/>
          <w:szCs w:val="24"/>
        </w:rPr>
        <w:fldChar w:fldCharType="begin"/>
      </w:r>
      <w:r w:rsidRPr="00B50F1D">
        <w:rPr>
          <w:rFonts w:eastAsia="Calibri"/>
          <w:b/>
          <w:sz w:val="24"/>
          <w:szCs w:val="24"/>
        </w:rPr>
        <w:instrText xml:space="preserve"> DATE \@ "M/d/yyyy" </w:instrText>
      </w:r>
      <w:r w:rsidRPr="00B50F1D">
        <w:rPr>
          <w:rFonts w:eastAsia="Calibri"/>
          <w:b/>
          <w:sz w:val="24"/>
          <w:szCs w:val="24"/>
        </w:rPr>
        <w:fldChar w:fldCharType="separate"/>
      </w:r>
      <w:r w:rsidR="00E42411">
        <w:rPr>
          <w:rFonts w:eastAsia="Calibri"/>
          <w:b/>
          <w:noProof/>
          <w:sz w:val="24"/>
          <w:szCs w:val="24"/>
        </w:rPr>
        <w:t>10/15/2020</w:t>
      </w:r>
      <w:r w:rsidRPr="00B50F1D">
        <w:rPr>
          <w:rFonts w:eastAsia="Calibri"/>
          <w:b/>
          <w:sz w:val="24"/>
          <w:szCs w:val="24"/>
        </w:rPr>
        <w:fldChar w:fldCharType="end"/>
      </w:r>
    </w:p>
    <w:p w14:paraId="2DAB483B" w14:textId="14B2A1E8" w:rsidR="00C92557" w:rsidRDefault="00B50F1D" w:rsidP="00B50F1D">
      <w:pPr>
        <w:rPr>
          <w:rFonts w:eastAsia="Calibri"/>
          <w:sz w:val="24"/>
          <w:szCs w:val="24"/>
        </w:rPr>
      </w:pPr>
      <w:r w:rsidRPr="00B50F1D">
        <w:rPr>
          <w:rFonts w:eastAsia="Calibri"/>
          <w:b/>
          <w:sz w:val="24"/>
          <w:szCs w:val="24"/>
        </w:rPr>
        <w:t xml:space="preserve">Abstract. </w:t>
      </w:r>
      <w:r w:rsidRPr="00B50F1D">
        <w:rPr>
          <w:rFonts w:eastAsia="Calibri"/>
          <w:sz w:val="24"/>
          <w:szCs w:val="24"/>
        </w:rPr>
        <w:t>We examine homeowner vacancy rate interdependencies over time and space through the channel of migration. Our theoretical analysis extends the Wheaton (1990) search and matching model for housing by incorporating interregional spillovers due to some households’ desires to migrate between regions and by allowing for regime-switching behavio</w:t>
      </w:r>
      <w:r w:rsidR="00C92557">
        <w:rPr>
          <w:rFonts w:eastAsia="Calibri"/>
          <w:sz w:val="24"/>
          <w:szCs w:val="24"/>
        </w:rPr>
        <w:t>r.</w:t>
      </w:r>
      <w:r w:rsidR="005D3E3E">
        <w:rPr>
          <w:rFonts w:eastAsia="Calibri"/>
          <w:sz w:val="24"/>
          <w:szCs w:val="24"/>
        </w:rPr>
        <w:t xml:space="preserve"> We explicitly test </w:t>
      </w:r>
      <w:r w:rsidR="00B919DB">
        <w:rPr>
          <w:rFonts w:eastAsia="Calibri"/>
          <w:sz w:val="24"/>
          <w:szCs w:val="24"/>
        </w:rPr>
        <w:t>the hypothesis that migration drives vacancy rates</w:t>
      </w:r>
      <w:r w:rsidR="005D3E3E">
        <w:rPr>
          <w:rFonts w:eastAsia="Calibri"/>
          <w:sz w:val="24"/>
          <w:szCs w:val="24"/>
        </w:rPr>
        <w:t xml:space="preserve"> by estimating a Markov-Switching Vector Autoregression (MS-VAR), which captures both the regime-dependent nature and persistence of the vacancy rate. Our empirical results suggest that fluctuations in the vacancy rate across Census regions are driven </w:t>
      </w:r>
      <w:r w:rsidR="00D232BF">
        <w:rPr>
          <w:rFonts w:eastAsia="Calibri"/>
          <w:sz w:val="24"/>
          <w:szCs w:val="24"/>
        </w:rPr>
        <w:t xml:space="preserve">more </w:t>
      </w:r>
      <w:r w:rsidR="005D3E3E">
        <w:rPr>
          <w:rFonts w:eastAsia="Calibri"/>
          <w:sz w:val="24"/>
          <w:szCs w:val="24"/>
        </w:rPr>
        <w:t>by migration into a given region rather than migration</w:t>
      </w:r>
      <w:r w:rsidR="00175AAE">
        <w:rPr>
          <w:rFonts w:eastAsia="Calibri"/>
          <w:sz w:val="24"/>
          <w:szCs w:val="24"/>
        </w:rPr>
        <w:t xml:space="preserve"> </w:t>
      </w:r>
      <w:r w:rsidR="005D3E3E">
        <w:rPr>
          <w:rFonts w:eastAsia="Calibri"/>
          <w:sz w:val="24"/>
          <w:szCs w:val="24"/>
        </w:rPr>
        <w:t>outflows.</w:t>
      </w:r>
      <w:r w:rsidR="005D3E3E" w:rsidRPr="00B50F1D" w:rsidDel="00C92557">
        <w:rPr>
          <w:rFonts w:eastAsia="Calibri"/>
          <w:sz w:val="24"/>
          <w:szCs w:val="24"/>
        </w:rPr>
        <w:t xml:space="preserve"> </w:t>
      </w:r>
      <w:r w:rsidR="00B832A1">
        <w:rPr>
          <w:rFonts w:eastAsia="Calibri"/>
          <w:sz w:val="24"/>
          <w:szCs w:val="24"/>
        </w:rPr>
        <w:t xml:space="preserve">Additionally, the MS-VAR setup allows us to capture asymmetric effects of these migration flows on regional vacancy rates. Asymmetric effects are evident for the South and </w:t>
      </w:r>
      <w:r w:rsidR="00655585">
        <w:rPr>
          <w:rFonts w:eastAsia="Calibri"/>
          <w:sz w:val="24"/>
          <w:szCs w:val="24"/>
        </w:rPr>
        <w:t>Midw</w:t>
      </w:r>
      <w:r w:rsidR="00B832A1">
        <w:rPr>
          <w:rFonts w:eastAsia="Calibri"/>
          <w:sz w:val="24"/>
          <w:szCs w:val="24"/>
        </w:rPr>
        <w:t xml:space="preserve">est regions, wherein migration flows have larger effects </w:t>
      </w:r>
      <w:r w:rsidR="00A57369">
        <w:rPr>
          <w:rFonts w:eastAsia="Calibri"/>
          <w:sz w:val="24"/>
          <w:szCs w:val="24"/>
        </w:rPr>
        <w:t xml:space="preserve">on vacancy rates </w:t>
      </w:r>
      <w:r w:rsidR="00B832A1">
        <w:rPr>
          <w:rFonts w:eastAsia="Calibri"/>
          <w:sz w:val="24"/>
          <w:szCs w:val="24"/>
        </w:rPr>
        <w:t xml:space="preserve">during relatively high vacancy rate and high volatility regimes. Conversely, the regional vacancy rates for the Northeast and West </w:t>
      </w:r>
      <w:r w:rsidR="00175AAE">
        <w:rPr>
          <w:rFonts w:eastAsia="Calibri"/>
          <w:sz w:val="24"/>
          <w:szCs w:val="24"/>
        </w:rPr>
        <w:t>respond</w:t>
      </w:r>
      <w:r w:rsidR="00B832A1">
        <w:rPr>
          <w:rFonts w:eastAsia="Calibri"/>
          <w:sz w:val="24"/>
          <w:szCs w:val="24"/>
        </w:rPr>
        <w:t xml:space="preserve"> </w:t>
      </w:r>
      <w:r w:rsidR="00175AAE">
        <w:rPr>
          <w:rFonts w:eastAsia="Calibri"/>
          <w:sz w:val="24"/>
          <w:szCs w:val="24"/>
        </w:rPr>
        <w:t>similarly</w:t>
      </w:r>
      <w:r w:rsidR="00B832A1">
        <w:rPr>
          <w:rFonts w:eastAsia="Calibri"/>
          <w:sz w:val="24"/>
          <w:szCs w:val="24"/>
        </w:rPr>
        <w:t xml:space="preserve"> </w:t>
      </w:r>
      <w:r w:rsidR="00173A25">
        <w:rPr>
          <w:rFonts w:eastAsia="Calibri"/>
          <w:sz w:val="24"/>
          <w:szCs w:val="24"/>
        </w:rPr>
        <w:t>to migration</w:t>
      </w:r>
      <w:r w:rsidR="00175AAE">
        <w:rPr>
          <w:rFonts w:eastAsia="Calibri"/>
          <w:sz w:val="24"/>
          <w:szCs w:val="24"/>
        </w:rPr>
        <w:t xml:space="preserve">, regardless of the </w:t>
      </w:r>
      <w:r w:rsidR="00916B6F">
        <w:rPr>
          <w:rFonts w:eastAsia="Calibri"/>
          <w:sz w:val="24"/>
          <w:szCs w:val="24"/>
        </w:rPr>
        <w:t xml:space="preserve">vacancy </w:t>
      </w:r>
      <w:r w:rsidR="00175AAE">
        <w:rPr>
          <w:rFonts w:eastAsia="Calibri"/>
          <w:sz w:val="24"/>
          <w:szCs w:val="24"/>
        </w:rPr>
        <w:t>regime</w:t>
      </w:r>
      <w:r w:rsidR="00B832A1">
        <w:rPr>
          <w:rFonts w:eastAsia="Calibri"/>
          <w:sz w:val="24"/>
          <w:szCs w:val="24"/>
        </w:rPr>
        <w:t>.</w:t>
      </w:r>
    </w:p>
    <w:p w14:paraId="45D2BE40" w14:textId="77777777" w:rsidR="00B50F1D" w:rsidRPr="00B50F1D" w:rsidRDefault="00B50F1D" w:rsidP="00B50F1D">
      <w:pPr>
        <w:spacing w:after="200" w:line="240" w:lineRule="auto"/>
        <w:rPr>
          <w:rFonts w:eastAsia="Calibri"/>
          <w:sz w:val="24"/>
          <w:szCs w:val="24"/>
        </w:rPr>
      </w:pPr>
      <w:r w:rsidRPr="00B50F1D">
        <w:rPr>
          <w:rFonts w:eastAsia="Calibri"/>
          <w:sz w:val="24"/>
          <w:szCs w:val="24"/>
        </w:rPr>
        <w:t>JEL Codes: R31, C24, R11</w:t>
      </w:r>
    </w:p>
    <w:p w14:paraId="40D97DD5" w14:textId="77777777" w:rsidR="00B50F1D" w:rsidRPr="00B50F1D" w:rsidRDefault="00B50F1D" w:rsidP="00B50F1D">
      <w:pPr>
        <w:spacing w:after="200" w:line="240" w:lineRule="auto"/>
        <w:rPr>
          <w:rFonts w:eastAsia="Calibri"/>
          <w:sz w:val="24"/>
          <w:szCs w:val="24"/>
        </w:rPr>
      </w:pPr>
      <w:r w:rsidRPr="00B50F1D">
        <w:rPr>
          <w:rFonts w:eastAsia="Calibri"/>
          <w:sz w:val="24"/>
          <w:szCs w:val="24"/>
        </w:rPr>
        <w:t>Keywords: migration, vacancies, Markov-switching, search/matching, spillovers, VARs</w:t>
      </w:r>
    </w:p>
    <w:p w14:paraId="72BD3363" w14:textId="652F3261" w:rsidR="00B50F1D" w:rsidRPr="00B50F1D" w:rsidRDefault="00B50F1D" w:rsidP="00B50F1D">
      <w:pPr>
        <w:spacing w:after="200" w:line="240" w:lineRule="auto"/>
        <w:rPr>
          <w:rFonts w:eastAsia="Calibri"/>
          <w:sz w:val="20"/>
          <w:szCs w:val="20"/>
        </w:rPr>
      </w:pPr>
      <w:r w:rsidRPr="00B50F1D">
        <w:rPr>
          <w:rFonts w:eastAsia="Calibri"/>
          <w:sz w:val="20"/>
          <w:szCs w:val="20"/>
        </w:rPr>
        <w:t xml:space="preserve">We thank Andrew E. </w:t>
      </w:r>
      <w:proofErr w:type="spellStart"/>
      <w:r w:rsidRPr="00B50F1D">
        <w:rPr>
          <w:rFonts w:eastAsia="Calibri"/>
          <w:sz w:val="20"/>
          <w:szCs w:val="20"/>
        </w:rPr>
        <w:t>Spewak</w:t>
      </w:r>
      <w:proofErr w:type="spellEnd"/>
      <w:r w:rsidRPr="00B50F1D">
        <w:rPr>
          <w:rFonts w:eastAsia="Calibri"/>
          <w:sz w:val="20"/>
          <w:szCs w:val="20"/>
        </w:rPr>
        <w:t xml:space="preserve"> and Jacob Haas for </w:t>
      </w:r>
      <w:r w:rsidR="00D3749F">
        <w:rPr>
          <w:rFonts w:eastAsia="Calibri"/>
          <w:sz w:val="20"/>
          <w:szCs w:val="20"/>
        </w:rPr>
        <w:t xml:space="preserve">excellent </w:t>
      </w:r>
      <w:r w:rsidRPr="00B50F1D">
        <w:rPr>
          <w:rFonts w:eastAsia="Calibri"/>
          <w:sz w:val="20"/>
          <w:szCs w:val="20"/>
        </w:rPr>
        <w:t>research assistance</w:t>
      </w:r>
      <w:r w:rsidR="00D3749F">
        <w:rPr>
          <w:rFonts w:eastAsia="Calibri"/>
          <w:sz w:val="20"/>
          <w:szCs w:val="20"/>
        </w:rPr>
        <w:t>,</w:t>
      </w:r>
      <w:r w:rsidRPr="00B50F1D">
        <w:rPr>
          <w:rFonts w:eastAsia="Calibri"/>
          <w:sz w:val="20"/>
          <w:szCs w:val="20"/>
        </w:rPr>
        <w:t xml:space="preserve"> and participants at the 2017 Urban Economics Association meetings, the 2017 2</w:t>
      </w:r>
      <w:r w:rsidRPr="00B50F1D">
        <w:rPr>
          <w:rFonts w:eastAsia="Calibri"/>
          <w:sz w:val="20"/>
          <w:szCs w:val="20"/>
          <w:vertAlign w:val="superscript"/>
        </w:rPr>
        <w:t>nd</w:t>
      </w:r>
      <w:r w:rsidRPr="00B50F1D">
        <w:rPr>
          <w:rFonts w:eastAsia="Calibri"/>
          <w:sz w:val="20"/>
          <w:szCs w:val="20"/>
        </w:rPr>
        <w:t xml:space="preserve"> Homes up International Conference at the Leibniz-Institute of Ecological Urban and Regional Development, and the 2018 46</w:t>
      </w:r>
      <w:r w:rsidRPr="00B50F1D">
        <w:rPr>
          <w:rFonts w:eastAsia="Calibri"/>
          <w:sz w:val="20"/>
          <w:szCs w:val="20"/>
          <w:vertAlign w:val="superscript"/>
        </w:rPr>
        <w:t>th</w:t>
      </w:r>
      <w:r w:rsidRPr="00B50F1D">
        <w:rPr>
          <w:rFonts w:eastAsia="Calibri"/>
          <w:sz w:val="20"/>
          <w:szCs w:val="20"/>
        </w:rPr>
        <w:t xml:space="preserve"> AREUEA National Conference. </w:t>
      </w:r>
      <w:proofErr w:type="spellStart"/>
      <w:r w:rsidRPr="00B50F1D">
        <w:rPr>
          <w:rFonts w:eastAsia="Calibri"/>
          <w:sz w:val="20"/>
          <w:szCs w:val="20"/>
        </w:rPr>
        <w:t>Shulin</w:t>
      </w:r>
      <w:proofErr w:type="spellEnd"/>
      <w:r w:rsidRPr="00B50F1D">
        <w:rPr>
          <w:rFonts w:eastAsia="Calibri"/>
          <w:sz w:val="20"/>
          <w:szCs w:val="20"/>
        </w:rPr>
        <w:t xml:space="preserve"> Shen and Lara Loewenstein were especially helpful. The views expressed are those of the authors and do not necessarily reflect official positions of the Federal Reserve Bank of St. Louis, the Federal Reserve System, or the Board of Governors. </w:t>
      </w:r>
    </w:p>
    <w:p w14:paraId="5F694317" w14:textId="77777777" w:rsidR="00B50F1D" w:rsidRPr="00B50F1D" w:rsidRDefault="00B50F1D" w:rsidP="00B50F1D">
      <w:pPr>
        <w:spacing w:after="200" w:line="276" w:lineRule="auto"/>
        <w:rPr>
          <w:rFonts w:eastAsia="Calibri"/>
          <w:sz w:val="24"/>
          <w:szCs w:val="24"/>
        </w:rPr>
      </w:pPr>
      <w:r w:rsidRPr="00B50F1D">
        <w:rPr>
          <w:rFonts w:eastAsia="Calibri"/>
          <w:b/>
          <w:sz w:val="24"/>
          <w:szCs w:val="24"/>
        </w:rPr>
        <w:lastRenderedPageBreak/>
        <w:t>Introduction</w:t>
      </w:r>
    </w:p>
    <w:p w14:paraId="76BD2440" w14:textId="20A06CD7" w:rsidR="00CF7A01" w:rsidRDefault="00B50F1D" w:rsidP="00B50F1D">
      <w:pPr>
        <w:spacing w:after="200" w:line="276" w:lineRule="auto"/>
        <w:ind w:firstLine="720"/>
        <w:rPr>
          <w:rFonts w:eastAsia="Calibri"/>
          <w:sz w:val="24"/>
          <w:szCs w:val="24"/>
        </w:rPr>
      </w:pPr>
      <w:r w:rsidRPr="00B50F1D">
        <w:rPr>
          <w:rFonts w:eastAsia="Calibri"/>
          <w:sz w:val="24"/>
          <w:szCs w:val="24"/>
        </w:rPr>
        <w:t xml:space="preserve"> Housing and labor markets are </w:t>
      </w:r>
      <w:proofErr w:type="gramStart"/>
      <w:r w:rsidRPr="00B50F1D">
        <w:rPr>
          <w:rFonts w:eastAsia="Calibri"/>
          <w:sz w:val="24"/>
          <w:szCs w:val="24"/>
        </w:rPr>
        <w:t>closely linked</w:t>
      </w:r>
      <w:proofErr w:type="gramEnd"/>
      <w:r w:rsidRPr="00B50F1D">
        <w:rPr>
          <w:rFonts w:eastAsia="Calibri"/>
          <w:sz w:val="24"/>
          <w:szCs w:val="24"/>
        </w:rPr>
        <w:t xml:space="preserve">, with migration often playing a key role. For example, sometimes moves to a new house are coupled with migration across regions within a country to take advantage of a job opportunity. Housing market shocks in some regions of the country, frequently in conjunction with </w:t>
      </w:r>
      <w:r w:rsidR="00CF7A01">
        <w:rPr>
          <w:rFonts w:eastAsia="Calibri"/>
          <w:sz w:val="24"/>
          <w:szCs w:val="24"/>
        </w:rPr>
        <w:t>employment</w:t>
      </w:r>
      <w:r w:rsidRPr="00B50F1D">
        <w:rPr>
          <w:rFonts w:eastAsia="Calibri"/>
          <w:sz w:val="24"/>
          <w:szCs w:val="24"/>
        </w:rPr>
        <w:t xml:space="preserve"> shocks, can cause homeowners to choose to migrate to other regions. These shocks can also lead to vacant homes if not all homes are sold at the time of the out-migration. </w:t>
      </w:r>
      <w:r w:rsidR="003B12F3">
        <w:rPr>
          <w:rFonts w:eastAsia="Calibri"/>
          <w:sz w:val="24"/>
          <w:szCs w:val="24"/>
        </w:rPr>
        <w:t xml:space="preserve">In times of high vacancies, lack of adequate in-migration may impact the vacancy rates in a region. </w:t>
      </w:r>
      <w:r w:rsidRPr="00B50F1D">
        <w:rPr>
          <w:rFonts w:eastAsia="Calibri"/>
          <w:sz w:val="24"/>
          <w:szCs w:val="24"/>
        </w:rPr>
        <w:t>Vacancies in a region can be correlated with vacancies in other regions when national housing cycles hit multiple regions simultaneously.</w:t>
      </w:r>
    </w:p>
    <w:p w14:paraId="7BB7608D" w14:textId="132638DD"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At a given point in time, a region might be experiencing one of multiple possible vacancy rate “regimes” (such as low</w:t>
      </w:r>
      <w:r w:rsidR="00CF7A01">
        <w:rPr>
          <w:rFonts w:eastAsia="Calibri"/>
          <w:sz w:val="24"/>
          <w:szCs w:val="24"/>
        </w:rPr>
        <w:t>, intermediate,</w:t>
      </w:r>
      <w:r w:rsidRPr="00B50F1D">
        <w:rPr>
          <w:rFonts w:eastAsia="Calibri"/>
          <w:sz w:val="24"/>
          <w:szCs w:val="24"/>
        </w:rPr>
        <w:t xml:space="preserve"> or high vacancies). </w:t>
      </w:r>
      <w:r w:rsidR="00CF7A01">
        <w:rPr>
          <w:rFonts w:eastAsia="Calibri"/>
          <w:sz w:val="24"/>
          <w:szCs w:val="24"/>
        </w:rPr>
        <w:t>Vacancy rates are likely to vary across regions not only</w:t>
      </w:r>
      <w:r w:rsidRPr="00B50F1D">
        <w:rPr>
          <w:rFonts w:eastAsia="Calibri"/>
          <w:sz w:val="24"/>
          <w:szCs w:val="24"/>
        </w:rPr>
        <w:t xml:space="preserve"> </w:t>
      </w:r>
      <w:r w:rsidR="00CF7A01">
        <w:rPr>
          <w:rFonts w:eastAsia="Calibri"/>
          <w:sz w:val="24"/>
          <w:szCs w:val="24"/>
        </w:rPr>
        <w:t xml:space="preserve">due to shocks, but also due to many other factors, such as housing construction regulations. These other factors affect a region’s response to shocks leading </w:t>
      </w:r>
      <w:r w:rsidRPr="00B50F1D">
        <w:rPr>
          <w:rFonts w:eastAsia="Calibri"/>
          <w:sz w:val="24"/>
          <w:szCs w:val="24"/>
        </w:rPr>
        <w:t xml:space="preserve">to different probabilities of home sales across “regimes”, varied probabilities of finding a new house, and varied “transition rates” (i.e., probabilities of the desire to move in different regimes). Underlying all of this are homeowner preferences to migrate, and the likelihood of finding a new home when and where they migrate (i.e., probability of selling an old house and finding a new one). </w:t>
      </w:r>
      <w:r w:rsidR="00CF7A01">
        <w:rPr>
          <w:rFonts w:eastAsia="Calibri"/>
          <w:sz w:val="24"/>
          <w:szCs w:val="24"/>
        </w:rPr>
        <w:t>Thus,</w:t>
      </w:r>
      <w:r w:rsidRPr="00B50F1D">
        <w:rPr>
          <w:rFonts w:eastAsia="Calibri"/>
          <w:sz w:val="24"/>
          <w:szCs w:val="24"/>
        </w:rPr>
        <w:t xml:space="preserve"> homeowner actions are intimately tied to the vacancy rates of the region from which the homeowner is migrating.</w:t>
      </w:r>
    </w:p>
    <w:p w14:paraId="450008C5" w14:textId="23FA1055"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We explore connections between regions by examining migration across regions, along with migration’s relationship </w:t>
      </w:r>
      <w:r w:rsidR="0029112B">
        <w:rPr>
          <w:rFonts w:eastAsia="Calibri"/>
          <w:sz w:val="24"/>
          <w:szCs w:val="24"/>
        </w:rPr>
        <w:t>with</w:t>
      </w:r>
      <w:r w:rsidR="0029112B" w:rsidRPr="00B50F1D">
        <w:rPr>
          <w:rFonts w:eastAsia="Calibri"/>
          <w:sz w:val="24"/>
          <w:szCs w:val="24"/>
        </w:rPr>
        <w:t xml:space="preserve"> </w:t>
      </w:r>
      <w:r w:rsidRPr="00B50F1D">
        <w:rPr>
          <w:rFonts w:eastAsia="Calibri"/>
          <w:sz w:val="24"/>
          <w:szCs w:val="24"/>
        </w:rPr>
        <w:t xml:space="preserve">a region’s vacancy rate in its housing market. We also explore how vacancy rates across regions vary.  Our primary goals are to highlight specific theoretical connections and to </w:t>
      </w:r>
      <w:r w:rsidR="00A220E9">
        <w:rPr>
          <w:rFonts w:eastAsia="Calibri"/>
          <w:sz w:val="24"/>
          <w:szCs w:val="24"/>
        </w:rPr>
        <w:t xml:space="preserve">test hypotheses on the relationships between </w:t>
      </w:r>
      <w:r w:rsidR="00F773A3">
        <w:rPr>
          <w:rFonts w:eastAsia="Calibri"/>
          <w:sz w:val="24"/>
          <w:szCs w:val="24"/>
        </w:rPr>
        <w:t>migration and housing vacancies, based on</w:t>
      </w:r>
      <w:r w:rsidRPr="00B50F1D">
        <w:rPr>
          <w:rFonts w:eastAsia="Calibri"/>
          <w:sz w:val="24"/>
          <w:szCs w:val="24"/>
        </w:rPr>
        <w:t xml:space="preserve"> empirical differences across regions and regimes (i.e., vacancy </w:t>
      </w:r>
      <w:r w:rsidR="006C21D3">
        <w:rPr>
          <w:rFonts w:eastAsia="Calibri"/>
          <w:sz w:val="24"/>
          <w:szCs w:val="24"/>
        </w:rPr>
        <w:t>“</w:t>
      </w:r>
      <w:r w:rsidRPr="00B50F1D">
        <w:rPr>
          <w:rFonts w:eastAsia="Calibri"/>
          <w:sz w:val="24"/>
          <w:szCs w:val="24"/>
        </w:rPr>
        <w:t>states</w:t>
      </w:r>
      <w:r w:rsidR="006C21D3">
        <w:rPr>
          <w:rFonts w:eastAsia="Calibri"/>
          <w:sz w:val="24"/>
          <w:szCs w:val="24"/>
        </w:rPr>
        <w:t>”</w:t>
      </w:r>
      <w:r w:rsidRPr="00B50F1D">
        <w:rPr>
          <w:rFonts w:eastAsia="Calibri"/>
          <w:sz w:val="24"/>
          <w:szCs w:val="24"/>
        </w:rPr>
        <w:t>) of the economy.  This latter point highlights the importance of the Markov-switching models that we estimate.  Our empirical results provide insights into the interconnectedness of regions and the workings of an important feature of the nexus between housing and migration.</w:t>
      </w:r>
    </w:p>
    <w:p w14:paraId="2D5D37AC" w14:textId="4B51588E"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 Vacancies in the housing market (i.e., unoccupied housing units) are </w:t>
      </w:r>
      <w:proofErr w:type="gramStart"/>
      <w:r w:rsidRPr="00B50F1D">
        <w:rPr>
          <w:rFonts w:eastAsia="Calibri"/>
          <w:sz w:val="24"/>
          <w:szCs w:val="24"/>
        </w:rPr>
        <w:t>similar to</w:t>
      </w:r>
      <w:proofErr w:type="gramEnd"/>
      <w:r w:rsidRPr="00B50F1D">
        <w:rPr>
          <w:rFonts w:eastAsia="Calibri"/>
          <w:sz w:val="24"/>
          <w:szCs w:val="24"/>
        </w:rPr>
        <w:t xml:space="preserve"> unemployment in the labor market in that some level is desirable and expected in a well-functioning market. For example, homeowners may experience changes in their family or employment situations such that their existing house no longer meets their needs in terms of location and/or house characteristics, and, after a search, more appropriate housing is purchased.  Thus, until the first house is sold, a given homeowner may own two houses, one of which is vacant.  Vacancies also arise for other reasons.  For example, newly</w:t>
      </w:r>
      <w:r w:rsidR="00AA7B8A">
        <w:rPr>
          <w:rFonts w:eastAsia="Calibri"/>
          <w:sz w:val="24"/>
          <w:szCs w:val="24"/>
        </w:rPr>
        <w:t xml:space="preserve"> </w:t>
      </w:r>
      <w:r w:rsidRPr="00B50F1D">
        <w:rPr>
          <w:rFonts w:eastAsia="Calibri"/>
          <w:sz w:val="24"/>
          <w:szCs w:val="24"/>
        </w:rPr>
        <w:t>constructed houses may be vacant for a period before occupancy.</w:t>
      </w:r>
      <w:r w:rsidRPr="00B50F1D">
        <w:rPr>
          <w:rFonts w:eastAsia="Calibri"/>
          <w:sz w:val="24"/>
          <w:szCs w:val="24"/>
          <w:vertAlign w:val="superscript"/>
        </w:rPr>
        <w:footnoteReference w:id="1"/>
      </w:r>
      <w:r w:rsidR="004511EE">
        <w:rPr>
          <w:rFonts w:eastAsia="Calibri"/>
          <w:sz w:val="24"/>
          <w:szCs w:val="24"/>
        </w:rPr>
        <w:t xml:space="preserve"> Vacancy rates are important considerations to understand</w:t>
      </w:r>
      <w:r w:rsidR="00382C4C">
        <w:rPr>
          <w:rFonts w:eastAsia="Calibri"/>
          <w:sz w:val="24"/>
          <w:szCs w:val="24"/>
        </w:rPr>
        <w:t xml:space="preserve"> </w:t>
      </w:r>
      <w:proofErr w:type="gramStart"/>
      <w:r w:rsidR="00382C4C">
        <w:rPr>
          <w:rFonts w:eastAsia="Calibri"/>
          <w:sz w:val="24"/>
          <w:szCs w:val="24"/>
        </w:rPr>
        <w:lastRenderedPageBreak/>
        <w:t>in particular</w:t>
      </w:r>
      <w:r w:rsidR="004511EE">
        <w:rPr>
          <w:rFonts w:eastAsia="Calibri"/>
          <w:sz w:val="24"/>
          <w:szCs w:val="24"/>
        </w:rPr>
        <w:t xml:space="preserve"> during</w:t>
      </w:r>
      <w:proofErr w:type="gramEnd"/>
      <w:r w:rsidR="004511EE">
        <w:rPr>
          <w:rFonts w:eastAsia="Calibri"/>
          <w:sz w:val="24"/>
          <w:szCs w:val="24"/>
        </w:rPr>
        <w:t xml:space="preserve"> housing bubbles</w:t>
      </w:r>
      <w:r w:rsidR="00382C4C">
        <w:rPr>
          <w:rFonts w:eastAsia="Calibri"/>
          <w:sz w:val="24"/>
          <w:szCs w:val="24"/>
        </w:rPr>
        <w:t>.</w:t>
      </w:r>
      <w:r w:rsidRPr="00B50F1D">
        <w:rPr>
          <w:rFonts w:eastAsia="Calibri"/>
          <w:sz w:val="24"/>
          <w:szCs w:val="24"/>
        </w:rPr>
        <w:t xml:space="preserve"> Migration between regions is another important reason for vacancies, where it may take time for households to find a buyer for their previous home.</w:t>
      </w:r>
    </w:p>
    <w:p w14:paraId="6C2D8D9C" w14:textId="5B980797"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In our analysis,</w:t>
      </w:r>
      <w:r w:rsidR="00F773A3">
        <w:rPr>
          <w:rFonts w:eastAsia="Calibri"/>
          <w:sz w:val="24"/>
          <w:szCs w:val="24"/>
        </w:rPr>
        <w:t xml:space="preserve"> we first propose a</w:t>
      </w:r>
      <w:r w:rsidR="00F5580D">
        <w:rPr>
          <w:rFonts w:eastAsia="Calibri"/>
          <w:sz w:val="24"/>
          <w:szCs w:val="24"/>
        </w:rPr>
        <w:t xml:space="preserve"> generalization of a</w:t>
      </w:r>
      <w:r w:rsidR="00F773A3">
        <w:rPr>
          <w:rFonts w:eastAsia="Calibri"/>
          <w:sz w:val="24"/>
          <w:szCs w:val="24"/>
        </w:rPr>
        <w:t xml:space="preserve"> theoretical model that implies a possible relationship between </w:t>
      </w:r>
      <w:r w:rsidR="00C92C65">
        <w:rPr>
          <w:rFonts w:eastAsia="Calibri"/>
          <w:sz w:val="24"/>
          <w:szCs w:val="24"/>
        </w:rPr>
        <w:t>vacancy rates in a region and migration from another region into that region. We also</w:t>
      </w:r>
      <w:r w:rsidRPr="00B50F1D">
        <w:rPr>
          <w:rFonts w:eastAsia="Calibri"/>
          <w:sz w:val="24"/>
          <w:szCs w:val="24"/>
        </w:rPr>
        <w:t xml:space="preserve"> </w:t>
      </w:r>
      <w:r w:rsidR="00F773A3">
        <w:rPr>
          <w:rFonts w:eastAsia="Calibri"/>
          <w:sz w:val="24"/>
          <w:szCs w:val="24"/>
        </w:rPr>
        <w:t>test the hypothesis</w:t>
      </w:r>
      <w:r w:rsidRPr="00B50F1D">
        <w:rPr>
          <w:rFonts w:eastAsia="Calibri"/>
          <w:sz w:val="24"/>
          <w:szCs w:val="24"/>
        </w:rPr>
        <w:t xml:space="preserve"> that vacancy rates depend on the state of the housing market and migration.  For example, we estimate separate vacancy rate models for what we term a low-vacancy regime and for a high-vacancy regime, with the high-vacancy regime being relatively higher than the low-vacancy regime.  There is neither an absolute minimum difference between these regimes, nor is there an absolute maximum for a low-vacancy regime or an absolute minimum for a high-vacancy regime. In some cases</w:t>
      </w:r>
      <w:r w:rsidR="001A2D31">
        <w:rPr>
          <w:rFonts w:eastAsia="Calibri"/>
          <w:sz w:val="24"/>
          <w:szCs w:val="24"/>
        </w:rPr>
        <w:t>,</w:t>
      </w:r>
      <w:r w:rsidRPr="00B50F1D">
        <w:rPr>
          <w:rFonts w:eastAsia="Calibri"/>
          <w:sz w:val="24"/>
          <w:szCs w:val="24"/>
        </w:rPr>
        <w:t xml:space="preserve"> three regimes are identified: low, intermediate, and high.  Upon entering a specific regime, the regime is highly persistent.  Numerous circumstances can cause vacancies to rise and lead to a high-vacancy regime. National and local recessions as well as geographic shifts in demand due to migration can generate rising vacancies and lead to what we characterize as a high-vacancy regime.</w:t>
      </w:r>
    </w:p>
    <w:p w14:paraId="2A9E887E" w14:textId="0ABF2AF6"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Recent history provides a stark example of a recession that propelled a sharp upward movement in vacancy rates.  As shown in Figure 1, during the housing crisis associated with the Great Recession, homeowner vacancy rates in the United States reached levels far greater than at any time since measurement began in the mid-1950s. Rates reached 2.9% during the housing crisis.  As far back as records have been kept, rates had always been below 2.0%.  As of Q3/2019, the national vacancy rate was 1.4%.</w:t>
      </w:r>
    </w:p>
    <w:p w14:paraId="1EE71621" w14:textId="62DFDE01"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From our regional perspective, homeowner vacancy rates differ across space and, </w:t>
      </w:r>
      <w:proofErr w:type="gramStart"/>
      <w:r w:rsidRPr="00B50F1D">
        <w:rPr>
          <w:rFonts w:eastAsia="Calibri"/>
          <w:sz w:val="24"/>
          <w:szCs w:val="24"/>
        </w:rPr>
        <w:t>similar to</w:t>
      </w:r>
      <w:proofErr w:type="gramEnd"/>
      <w:r w:rsidRPr="00B50F1D">
        <w:rPr>
          <w:rFonts w:eastAsia="Calibri"/>
          <w:sz w:val="24"/>
          <w:szCs w:val="24"/>
        </w:rPr>
        <w:t xml:space="preserve"> the United States as a whole, change over time.</w:t>
      </w:r>
      <w:r w:rsidRPr="00B50F1D">
        <w:rPr>
          <w:rFonts w:eastAsia="Calibri"/>
          <w:sz w:val="24"/>
          <w:szCs w:val="24"/>
          <w:vertAlign w:val="superscript"/>
        </w:rPr>
        <w:footnoteReference w:id="2"/>
      </w:r>
      <w:r w:rsidRPr="00B50F1D">
        <w:rPr>
          <w:rFonts w:eastAsia="Calibri"/>
          <w:sz w:val="24"/>
          <w:szCs w:val="24"/>
        </w:rPr>
        <w:t xml:space="preserve">  Numerous factors are likely to drive such results. These factors include the cost of holding vacant units, search costs and the matching process, expectations about future housing prices, demand for specific housing characteristics, the quantity and quality of intermediaries, the specific characteristics of the existing housing stock, transaction costs, land use regulations, and credit market imperfections.</w:t>
      </w:r>
      <w:r w:rsidRPr="00B50F1D">
        <w:rPr>
          <w:rFonts w:eastAsia="Calibri"/>
          <w:sz w:val="24"/>
          <w:szCs w:val="24"/>
          <w:vertAlign w:val="superscript"/>
        </w:rPr>
        <w:footnoteReference w:id="3"/>
      </w:r>
      <w:r w:rsidRPr="00B50F1D">
        <w:rPr>
          <w:rFonts w:eastAsia="Calibri"/>
          <w:sz w:val="24"/>
          <w:szCs w:val="24"/>
        </w:rPr>
        <w:t xml:space="preserve">  In addition, migration-induced regional vacancy rate changes can be affected differentially by national economic shocks and by regional shocks.  These differences across space and changes over time </w:t>
      </w:r>
      <w:r w:rsidRPr="00B50F1D">
        <w:rPr>
          <w:rFonts w:eastAsia="Calibri"/>
          <w:sz w:val="24"/>
          <w:szCs w:val="24"/>
        </w:rPr>
        <w:lastRenderedPageBreak/>
        <w:t>create the possibility of different regional vacancy rates.  For example, as of Q3/2019, the vacancy rate was 1.4% in the Northeast Census region, 1.3% in the Midwest, 1.7% in the South, and 1.2% in the West.</w:t>
      </w:r>
    </w:p>
    <w:p w14:paraId="2248A6FD" w14:textId="1933CAE2"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We address the spatial variation theoretically by adapting and extending the Wheaton (1990) search and matching model for housing to include a direct connection between interregional housing market differences via migration primarily motivated by job opportunities.  Changing jobs is a key factor in migration within the United States.  For example, </w:t>
      </w:r>
      <w:proofErr w:type="spellStart"/>
      <w:r w:rsidRPr="00B50F1D">
        <w:rPr>
          <w:rFonts w:eastAsia="Calibri"/>
          <w:sz w:val="24"/>
          <w:szCs w:val="24"/>
        </w:rPr>
        <w:t>Ihrke</w:t>
      </w:r>
      <w:proofErr w:type="spellEnd"/>
      <w:r w:rsidRPr="00B50F1D">
        <w:rPr>
          <w:rFonts w:eastAsia="Calibri"/>
          <w:sz w:val="24"/>
          <w:szCs w:val="24"/>
        </w:rPr>
        <w:t xml:space="preserve"> (2014) found that with-in county moves are associated with housing-related issues, while between county moves are associated with job-related issues.  Molloy, Smith, and Wozniak (2011) report that approximately 1.5% of the population moves between two of the four Census regions annually.</w:t>
      </w:r>
    </w:p>
    <w:p w14:paraId="6C6AD937" w14:textId="62AA46D8" w:rsidR="00BA5751" w:rsidRDefault="00B50F1D" w:rsidP="00B50F1D">
      <w:pPr>
        <w:spacing w:after="200" w:line="276" w:lineRule="auto"/>
        <w:rPr>
          <w:rFonts w:eastAsia="Calibri"/>
          <w:sz w:val="24"/>
          <w:szCs w:val="24"/>
        </w:rPr>
      </w:pPr>
      <w:r w:rsidRPr="00B50F1D">
        <w:rPr>
          <w:rFonts w:eastAsia="Calibri"/>
          <w:sz w:val="24"/>
          <w:szCs w:val="24"/>
        </w:rPr>
        <w:tab/>
        <w:t xml:space="preserve">Empirically, we </w:t>
      </w:r>
      <w:r w:rsidR="00BA5751">
        <w:rPr>
          <w:rFonts w:eastAsia="Calibri"/>
          <w:sz w:val="24"/>
          <w:szCs w:val="24"/>
        </w:rPr>
        <w:t xml:space="preserve">first document key features of the </w:t>
      </w:r>
      <w:r w:rsidRPr="00B50F1D">
        <w:rPr>
          <w:rFonts w:eastAsia="Calibri"/>
          <w:sz w:val="24"/>
          <w:szCs w:val="24"/>
        </w:rPr>
        <w:t xml:space="preserve">vacancy rates for the United States and the four Census regions via </w:t>
      </w:r>
      <w:r w:rsidR="00BA5751">
        <w:rPr>
          <w:rFonts w:eastAsia="Calibri"/>
          <w:sz w:val="24"/>
          <w:szCs w:val="24"/>
        </w:rPr>
        <w:t xml:space="preserve">simple univariate </w:t>
      </w:r>
      <w:r w:rsidRPr="00B50F1D">
        <w:rPr>
          <w:rFonts w:eastAsia="Calibri"/>
          <w:sz w:val="24"/>
          <w:szCs w:val="24"/>
        </w:rPr>
        <w:t>Markov-switching models</w:t>
      </w:r>
      <w:r w:rsidR="00BA5751">
        <w:rPr>
          <w:rFonts w:eastAsia="Calibri"/>
          <w:sz w:val="24"/>
          <w:szCs w:val="24"/>
        </w:rPr>
        <w:t>.</w:t>
      </w:r>
      <w:r w:rsidR="009A393F" w:rsidRPr="00B50F1D">
        <w:rPr>
          <w:rFonts w:eastAsia="Calibri"/>
          <w:sz w:val="24"/>
          <w:szCs w:val="24"/>
          <w:vertAlign w:val="superscript"/>
        </w:rPr>
        <w:footnoteReference w:id="4"/>
      </w:r>
      <w:r w:rsidR="009A393F" w:rsidRPr="00B50F1D">
        <w:rPr>
          <w:rFonts w:eastAsia="Calibri"/>
          <w:sz w:val="24"/>
          <w:szCs w:val="24"/>
        </w:rPr>
        <w:t xml:space="preserve"> </w:t>
      </w:r>
      <w:r w:rsidR="009A393F">
        <w:t xml:space="preserve"> </w:t>
      </w:r>
      <w:r w:rsidR="00BA5751" w:rsidRPr="00BA5751">
        <w:rPr>
          <w:rFonts w:eastAsia="Calibri"/>
          <w:sz w:val="24"/>
          <w:szCs w:val="24"/>
        </w:rPr>
        <w:t>In the context of housing vacancy, this is the first known research that uses Markov-switching models.  These models are important because they allow us to deal with the large changes (or regime shifts) in vacancy rates during major economic shocks and recoveries.</w:t>
      </w:r>
      <w:r w:rsidR="00BA5751">
        <w:rPr>
          <w:rFonts w:eastAsia="Calibri"/>
          <w:sz w:val="24"/>
          <w:szCs w:val="24"/>
        </w:rPr>
        <w:t xml:space="preserve"> At both the national and aggregate level, we find the vacancy rate is well-described by models with regime-switching and autoregressive behavior (i.e., persistence).</w:t>
      </w:r>
    </w:p>
    <w:p w14:paraId="11F8A895" w14:textId="74B7C807" w:rsidR="009A393F" w:rsidRPr="009A393F" w:rsidRDefault="00BA5751" w:rsidP="00B50F1D">
      <w:pPr>
        <w:spacing w:after="200" w:line="276" w:lineRule="auto"/>
        <w:rPr>
          <w:rFonts w:eastAsia="Calibri"/>
          <w:sz w:val="24"/>
          <w:szCs w:val="24"/>
        </w:rPr>
      </w:pPr>
      <w:r>
        <w:rPr>
          <w:rFonts w:eastAsia="Calibri"/>
          <w:sz w:val="24"/>
          <w:szCs w:val="24"/>
        </w:rPr>
        <w:tab/>
        <w:t>These common features of the vacancy rate time series motivate our choice to analyze migration spillovers in a Markov-switching Vector Autoregression (MS-VAR)</w:t>
      </w:r>
      <w:r w:rsidR="009A393F">
        <w:rPr>
          <w:rFonts w:eastAsia="Calibri"/>
          <w:sz w:val="24"/>
          <w:szCs w:val="24"/>
        </w:rPr>
        <w:t xml:space="preserve"> model</w:t>
      </w:r>
      <w:r>
        <w:rPr>
          <w:rFonts w:eastAsia="Calibri"/>
          <w:sz w:val="24"/>
          <w:szCs w:val="24"/>
        </w:rPr>
        <w:t>. The MS-VAR</w:t>
      </w:r>
      <w:r w:rsidR="009A393F">
        <w:rPr>
          <w:rFonts w:eastAsia="Calibri"/>
          <w:sz w:val="24"/>
          <w:szCs w:val="24"/>
        </w:rPr>
        <w:t xml:space="preserve"> models allow</w:t>
      </w:r>
      <w:r>
        <w:rPr>
          <w:rFonts w:eastAsia="Calibri"/>
          <w:sz w:val="24"/>
          <w:szCs w:val="24"/>
        </w:rPr>
        <w:t xml:space="preserve"> us to capture both regime-switching and </w:t>
      </w:r>
      <w:proofErr w:type="gramStart"/>
      <w:r>
        <w:rPr>
          <w:rFonts w:eastAsia="Calibri"/>
          <w:sz w:val="24"/>
          <w:szCs w:val="24"/>
        </w:rPr>
        <w:t>persistence</w:t>
      </w:r>
      <w:r w:rsidR="00F35E95">
        <w:rPr>
          <w:rFonts w:eastAsia="Calibri"/>
          <w:sz w:val="24"/>
          <w:szCs w:val="24"/>
        </w:rPr>
        <w:t>,</w:t>
      </w:r>
      <w:r>
        <w:rPr>
          <w:rFonts w:eastAsia="Calibri"/>
          <w:sz w:val="24"/>
          <w:szCs w:val="24"/>
        </w:rPr>
        <w:t xml:space="preserve"> and</w:t>
      </w:r>
      <w:proofErr w:type="gramEnd"/>
      <w:r>
        <w:rPr>
          <w:rFonts w:eastAsia="Calibri"/>
          <w:sz w:val="24"/>
          <w:szCs w:val="24"/>
        </w:rPr>
        <w:t xml:space="preserve"> </w:t>
      </w:r>
      <w:r w:rsidR="009A393F">
        <w:rPr>
          <w:rFonts w:eastAsia="Calibri"/>
          <w:sz w:val="24"/>
          <w:szCs w:val="24"/>
        </w:rPr>
        <w:t>coincide</w:t>
      </w:r>
      <w:r w:rsidR="0029112B">
        <w:rPr>
          <w:rFonts w:eastAsia="Calibri"/>
          <w:sz w:val="24"/>
          <w:szCs w:val="24"/>
        </w:rPr>
        <w:t>s</w:t>
      </w:r>
      <w:r>
        <w:rPr>
          <w:rFonts w:eastAsia="Calibri"/>
          <w:sz w:val="24"/>
          <w:szCs w:val="24"/>
        </w:rPr>
        <w:t xml:space="preserve"> with our regional theoretical model. </w:t>
      </w:r>
      <w:r w:rsidR="009A393F">
        <w:rPr>
          <w:rFonts w:eastAsia="Calibri"/>
          <w:sz w:val="24"/>
          <w:szCs w:val="24"/>
        </w:rPr>
        <w:t>These multivariate models</w:t>
      </w:r>
      <w:r w:rsidR="009A393F" w:rsidRPr="00B50F1D">
        <w:rPr>
          <w:rFonts w:eastAsia="Calibri"/>
          <w:sz w:val="24"/>
          <w:szCs w:val="24"/>
        </w:rPr>
        <w:t xml:space="preserve"> also allow us to test the level of interdependence of the Census regions and how that interdependence varies across regimes, by incorporating other regions’ vacancy rates into the empirical models</w:t>
      </w:r>
      <w:r w:rsidR="009A393F">
        <w:rPr>
          <w:rFonts w:eastAsia="Calibri"/>
          <w:sz w:val="24"/>
          <w:szCs w:val="24"/>
        </w:rPr>
        <w:t xml:space="preserve">.  </w:t>
      </w:r>
      <w:r w:rsidR="00B50F1D" w:rsidRPr="00B50F1D">
        <w:rPr>
          <w:rFonts w:eastAsia="Calibri"/>
          <w:sz w:val="24"/>
          <w:szCs w:val="24"/>
        </w:rPr>
        <w:t xml:space="preserve">Our research appears to be the first attempt to empirically identify and explain interregional vacancy relationships. </w:t>
      </w:r>
      <w:r w:rsidR="009A393F">
        <w:rPr>
          <w:rFonts w:eastAsia="Calibri"/>
          <w:sz w:val="24"/>
          <w:szCs w:val="24"/>
        </w:rPr>
        <w:t xml:space="preserve">Broadly, we find that fluctuations </w:t>
      </w:r>
      <w:proofErr w:type="gramStart"/>
      <w:r w:rsidR="009A393F">
        <w:rPr>
          <w:rFonts w:eastAsia="Calibri"/>
          <w:sz w:val="24"/>
          <w:szCs w:val="24"/>
        </w:rPr>
        <w:t>in a given</w:t>
      </w:r>
      <w:proofErr w:type="gramEnd"/>
      <w:r w:rsidR="009A393F">
        <w:rPr>
          <w:rFonts w:eastAsia="Calibri"/>
          <w:sz w:val="24"/>
          <w:szCs w:val="24"/>
        </w:rPr>
        <w:t xml:space="preserve"> region’s vacancy rate are driven by households’ desire to m</w:t>
      </w:r>
      <w:r w:rsidR="00B20C96">
        <w:rPr>
          <w:rFonts w:eastAsia="Calibri"/>
          <w:sz w:val="24"/>
          <w:szCs w:val="24"/>
        </w:rPr>
        <w:t>igrate</w:t>
      </w:r>
      <w:r w:rsidR="009A393F">
        <w:rPr>
          <w:rFonts w:eastAsia="Calibri"/>
          <w:sz w:val="24"/>
          <w:szCs w:val="24"/>
        </w:rPr>
        <w:t xml:space="preserve"> </w:t>
      </w:r>
      <w:r w:rsidR="009A393F">
        <w:rPr>
          <w:rFonts w:eastAsia="Calibri"/>
          <w:i/>
          <w:sz w:val="24"/>
          <w:szCs w:val="24"/>
        </w:rPr>
        <w:t>into</w:t>
      </w:r>
      <w:r w:rsidR="009A393F">
        <w:rPr>
          <w:rFonts w:eastAsia="Calibri"/>
          <w:sz w:val="24"/>
          <w:szCs w:val="24"/>
        </w:rPr>
        <w:t xml:space="preserve"> that region. Our empirical results suggest there is no consistent effect across regions on the vacancy rate </w:t>
      </w:r>
      <w:r w:rsidR="00AD3814">
        <w:rPr>
          <w:rFonts w:eastAsia="Calibri"/>
          <w:sz w:val="24"/>
          <w:szCs w:val="24"/>
        </w:rPr>
        <w:t>due to</w:t>
      </w:r>
      <w:r w:rsidR="009A393F">
        <w:rPr>
          <w:rFonts w:eastAsia="Calibri"/>
          <w:sz w:val="24"/>
          <w:szCs w:val="24"/>
        </w:rPr>
        <w:t xml:space="preserve"> migration </w:t>
      </w:r>
      <w:r w:rsidR="009A393F">
        <w:rPr>
          <w:rFonts w:eastAsia="Calibri"/>
          <w:i/>
          <w:sz w:val="24"/>
          <w:szCs w:val="24"/>
        </w:rPr>
        <w:t>out</w:t>
      </w:r>
      <w:r w:rsidR="009A393F">
        <w:rPr>
          <w:rFonts w:eastAsia="Calibri"/>
          <w:sz w:val="24"/>
          <w:szCs w:val="24"/>
        </w:rPr>
        <w:t xml:space="preserve"> </w:t>
      </w:r>
      <w:r w:rsidR="00AD3814">
        <w:rPr>
          <w:rFonts w:eastAsia="Calibri"/>
          <w:sz w:val="24"/>
          <w:szCs w:val="24"/>
        </w:rPr>
        <w:t>of that region</w:t>
      </w:r>
      <w:r w:rsidR="009A393F">
        <w:rPr>
          <w:rFonts w:eastAsia="Calibri"/>
          <w:sz w:val="24"/>
          <w:szCs w:val="24"/>
        </w:rPr>
        <w:t xml:space="preserve">. In addition, the MS-VAR allows us to capture if these migration spillovers depend upon the state (i.e., regime) of the regional housing market. By using state-dependent generalized impulse response functions, we document that two regions, the South and </w:t>
      </w:r>
      <w:r w:rsidR="00655585">
        <w:rPr>
          <w:rFonts w:eastAsia="Calibri"/>
          <w:sz w:val="24"/>
          <w:szCs w:val="24"/>
        </w:rPr>
        <w:t>Midw</w:t>
      </w:r>
      <w:r w:rsidR="009A393F">
        <w:rPr>
          <w:rFonts w:eastAsia="Calibri"/>
          <w:sz w:val="24"/>
          <w:szCs w:val="24"/>
        </w:rPr>
        <w:t>est, tend to have larger spillover effects of migration flows during time periods characterized by a high average vacancy rate and high vacancy volatility.</w:t>
      </w:r>
      <w:r w:rsidR="00E77369">
        <w:rPr>
          <w:rFonts w:eastAsia="Calibri"/>
          <w:sz w:val="24"/>
          <w:szCs w:val="24"/>
        </w:rPr>
        <w:t xml:space="preserve"> However, asymmetric effects are not common across all regions. </w:t>
      </w:r>
      <w:proofErr w:type="gramStart"/>
      <w:r w:rsidR="00E77369">
        <w:rPr>
          <w:rFonts w:eastAsia="Calibri"/>
          <w:sz w:val="24"/>
          <w:szCs w:val="24"/>
        </w:rPr>
        <w:t>In particular, migration</w:t>
      </w:r>
      <w:proofErr w:type="gramEnd"/>
      <w:r w:rsidR="00E77369">
        <w:rPr>
          <w:rFonts w:eastAsia="Calibri"/>
          <w:sz w:val="24"/>
          <w:szCs w:val="24"/>
        </w:rPr>
        <w:t xml:space="preserve"> effects are relatively </w:t>
      </w:r>
      <w:r w:rsidR="00AD3814">
        <w:rPr>
          <w:rFonts w:eastAsia="Calibri"/>
          <w:sz w:val="24"/>
          <w:szCs w:val="24"/>
        </w:rPr>
        <w:t>similar</w:t>
      </w:r>
      <w:r w:rsidR="00E77369">
        <w:rPr>
          <w:rFonts w:eastAsia="Calibri"/>
          <w:sz w:val="24"/>
          <w:szCs w:val="24"/>
        </w:rPr>
        <w:t xml:space="preserve"> across the business cycle for both the Northeast and West regions.</w:t>
      </w:r>
    </w:p>
    <w:p w14:paraId="6942312B" w14:textId="0AC05424" w:rsidR="00B50F1D" w:rsidRPr="00B50F1D" w:rsidRDefault="00B50F1D" w:rsidP="00B50F1D">
      <w:pPr>
        <w:spacing w:after="200" w:line="276" w:lineRule="auto"/>
        <w:rPr>
          <w:rFonts w:eastAsia="Calibri"/>
          <w:sz w:val="24"/>
          <w:szCs w:val="24"/>
        </w:rPr>
      </w:pPr>
      <w:r w:rsidRPr="00B50F1D">
        <w:rPr>
          <w:rFonts w:eastAsia="Calibri"/>
          <w:sz w:val="24"/>
          <w:szCs w:val="24"/>
        </w:rPr>
        <w:tab/>
        <w:t>The rest of the paper proceeds as follows. We begin with a review of the literature focused on vacancies</w:t>
      </w:r>
      <w:r w:rsidR="00CE7244">
        <w:rPr>
          <w:rFonts w:eastAsia="Calibri"/>
          <w:sz w:val="24"/>
          <w:szCs w:val="24"/>
        </w:rPr>
        <w:t xml:space="preserve"> and migration</w:t>
      </w:r>
      <w:r w:rsidRPr="00B50F1D">
        <w:rPr>
          <w:rFonts w:eastAsia="Calibri"/>
          <w:sz w:val="24"/>
          <w:szCs w:val="24"/>
        </w:rPr>
        <w:t xml:space="preserve">.  Next, we develop an extension of the Wheaton (1990) </w:t>
      </w:r>
      <w:r w:rsidRPr="00B50F1D">
        <w:rPr>
          <w:rFonts w:eastAsia="Calibri"/>
          <w:sz w:val="24"/>
          <w:szCs w:val="24"/>
        </w:rPr>
        <w:lastRenderedPageBreak/>
        <w:t xml:space="preserve">model. This extension provides the theoretical foundation for </w:t>
      </w:r>
      <w:r w:rsidR="00E77369">
        <w:rPr>
          <w:rFonts w:eastAsia="Calibri"/>
          <w:sz w:val="24"/>
          <w:szCs w:val="24"/>
        </w:rPr>
        <w:t>our use of</w:t>
      </w:r>
      <w:r w:rsidRPr="00B50F1D">
        <w:rPr>
          <w:rFonts w:eastAsia="Calibri"/>
          <w:sz w:val="24"/>
          <w:szCs w:val="24"/>
        </w:rPr>
        <w:t xml:space="preserve"> MS-VAR models. </w:t>
      </w:r>
      <w:r w:rsidR="00E77369">
        <w:rPr>
          <w:rFonts w:eastAsia="Calibri"/>
          <w:sz w:val="24"/>
          <w:szCs w:val="24"/>
        </w:rPr>
        <w:t>We then outline the data and estimation procedure</w:t>
      </w:r>
      <w:r w:rsidR="000B6162">
        <w:rPr>
          <w:rFonts w:eastAsia="Calibri"/>
          <w:sz w:val="24"/>
          <w:szCs w:val="24"/>
        </w:rPr>
        <w:t>. Next, we</w:t>
      </w:r>
      <w:r w:rsidR="00E77369">
        <w:rPr>
          <w:rFonts w:eastAsia="Calibri"/>
          <w:sz w:val="24"/>
          <w:szCs w:val="24"/>
        </w:rPr>
        <w:t xml:space="preserve"> describe the key empirical features of the vacancy rate. These key features motivate the next section, which outlines the estimated migration spillover effects from the MS-VAR models</w:t>
      </w:r>
      <w:r w:rsidRPr="00B50F1D">
        <w:rPr>
          <w:rFonts w:eastAsia="Calibri"/>
          <w:sz w:val="24"/>
          <w:szCs w:val="24"/>
        </w:rPr>
        <w:t xml:space="preserve">. The last section concludes. </w:t>
      </w:r>
    </w:p>
    <w:p w14:paraId="2B651E75" w14:textId="77777777" w:rsidR="00B50F1D" w:rsidRPr="00B50F1D" w:rsidRDefault="00B50F1D" w:rsidP="00B50F1D">
      <w:pPr>
        <w:spacing w:after="200" w:line="276" w:lineRule="auto"/>
        <w:rPr>
          <w:rFonts w:eastAsia="Calibri"/>
          <w:sz w:val="24"/>
          <w:szCs w:val="24"/>
        </w:rPr>
      </w:pPr>
      <w:r w:rsidRPr="00B50F1D">
        <w:rPr>
          <w:rFonts w:eastAsia="Calibri"/>
          <w:b/>
          <w:sz w:val="24"/>
          <w:szCs w:val="24"/>
        </w:rPr>
        <w:t>Migration and Housing Vacancy: Background Literatures</w:t>
      </w:r>
    </w:p>
    <w:p w14:paraId="614E2E31" w14:textId="77777777"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Changes in internal migration have garnered much research attention in recent years.  Molloy, Smith, and Wozniak (2011) highlight that migration rates between Census regions, states, and MSAs have trended downward since the early 1980s.  As discussed by Frey (2019), this trend has continued during recent years.  While migration rates have declined, the population changing residences is still large.  Molloy, Smith, and Wozniak (2017) argue that a decline in job changing has caused migration to decline; however, they are unable to find specific reasons for the decline in job changing.  </w:t>
      </w:r>
      <w:proofErr w:type="spellStart"/>
      <w:r w:rsidRPr="00B50F1D">
        <w:rPr>
          <w:rFonts w:eastAsia="Times New Roman"/>
          <w:sz w:val="24"/>
          <w:szCs w:val="24"/>
        </w:rPr>
        <w:t>Bayoumi</w:t>
      </w:r>
      <w:proofErr w:type="spellEnd"/>
      <w:r w:rsidRPr="00B50F1D">
        <w:rPr>
          <w:rFonts w:eastAsia="Times New Roman"/>
          <w:sz w:val="24"/>
          <w:szCs w:val="24"/>
        </w:rPr>
        <w:t xml:space="preserve"> and </w:t>
      </w:r>
      <w:proofErr w:type="spellStart"/>
      <w:r w:rsidRPr="00B50F1D">
        <w:rPr>
          <w:rFonts w:eastAsia="Times New Roman"/>
          <w:sz w:val="24"/>
          <w:szCs w:val="24"/>
        </w:rPr>
        <w:t>Barkema</w:t>
      </w:r>
      <w:proofErr w:type="spellEnd"/>
      <w:r w:rsidRPr="00B50F1D">
        <w:rPr>
          <w:rFonts w:eastAsia="Times New Roman"/>
          <w:sz w:val="24"/>
          <w:szCs w:val="24"/>
        </w:rPr>
        <w:t xml:space="preserve"> (2019) argue that increasing inequality has contributed to declining long-distance migration.  Migration from less to more prosperous MSAs has been slowed by increasing housing costs dominating increasing earnings, while migration from more to less prosperous MSAs has been slowed by decreasing earnings dominating decreasing housing costs.</w:t>
      </w:r>
    </w:p>
    <w:p w14:paraId="0F4EF6C7" w14:textId="5E3878B4"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 While the demand for housing can decline when there is out-migration from a region,</w:t>
      </w:r>
      <w:r w:rsidR="00466BF9">
        <w:rPr>
          <w:rFonts w:eastAsia="Calibri"/>
          <w:sz w:val="24"/>
          <w:szCs w:val="24"/>
        </w:rPr>
        <w:t xml:space="preserve"> and demand can increase when there is in-migration,</w:t>
      </w:r>
      <w:r w:rsidRPr="00B50F1D">
        <w:rPr>
          <w:rFonts w:eastAsia="Calibri"/>
          <w:sz w:val="24"/>
          <w:szCs w:val="24"/>
        </w:rPr>
        <w:t xml:space="preserve"> there are undoubtedly frictions that prevent a complete and instantaneous adjustment.</w:t>
      </w:r>
      <w:r w:rsidR="00F63E82" w:rsidRPr="00B50F1D">
        <w:rPr>
          <w:rFonts w:eastAsia="Calibri"/>
          <w:sz w:val="24"/>
          <w:szCs w:val="24"/>
          <w:vertAlign w:val="superscript"/>
        </w:rPr>
        <w:footnoteReference w:id="5"/>
      </w:r>
      <w:r w:rsidR="00F63E82" w:rsidRPr="00B50F1D">
        <w:rPr>
          <w:rFonts w:eastAsia="Calibri"/>
          <w:sz w:val="24"/>
          <w:szCs w:val="24"/>
        </w:rPr>
        <w:t xml:space="preserve"> </w:t>
      </w:r>
      <w:r w:rsidRPr="00B50F1D">
        <w:rPr>
          <w:rFonts w:eastAsia="Calibri"/>
          <w:sz w:val="24"/>
          <w:szCs w:val="24"/>
        </w:rPr>
        <w:t xml:space="preserve">Molloy (2016) provides a number of arguments and references that would lead one to expect that price would not fall immediately.  Goodman and </w:t>
      </w:r>
      <w:proofErr w:type="spellStart"/>
      <w:r w:rsidRPr="00B50F1D">
        <w:rPr>
          <w:rFonts w:eastAsia="Calibri"/>
          <w:sz w:val="24"/>
          <w:szCs w:val="24"/>
        </w:rPr>
        <w:t>Ittner</w:t>
      </w:r>
      <w:proofErr w:type="spellEnd"/>
      <w:r w:rsidRPr="00B50F1D">
        <w:rPr>
          <w:rFonts w:eastAsia="Calibri"/>
          <w:sz w:val="24"/>
          <w:szCs w:val="24"/>
        </w:rPr>
        <w:t xml:space="preserve"> (1992) argue that owners tend to overestimate the value of their property and </w:t>
      </w:r>
      <w:proofErr w:type="spellStart"/>
      <w:r w:rsidRPr="00B50F1D">
        <w:rPr>
          <w:rFonts w:eastAsia="Calibri"/>
          <w:sz w:val="24"/>
          <w:szCs w:val="24"/>
        </w:rPr>
        <w:t>Genesove</w:t>
      </w:r>
      <w:proofErr w:type="spellEnd"/>
      <w:r w:rsidRPr="00B50F1D">
        <w:rPr>
          <w:rFonts w:eastAsia="Calibri"/>
          <w:sz w:val="24"/>
          <w:szCs w:val="24"/>
        </w:rPr>
        <w:t xml:space="preserve"> and Mayer (2001) find a reluctance to sell property for less than property owners judge as its worth.</w:t>
      </w:r>
      <w:r w:rsidRPr="00B50F1D">
        <w:rPr>
          <w:rFonts w:eastAsia="Calibri"/>
          <w:sz w:val="24"/>
          <w:szCs w:val="24"/>
          <w:vertAlign w:val="superscript"/>
        </w:rPr>
        <w:footnoteReference w:id="6"/>
      </w:r>
      <w:r w:rsidRPr="00B50F1D">
        <w:rPr>
          <w:rFonts w:eastAsia="Calibri"/>
          <w:sz w:val="24"/>
          <w:szCs w:val="24"/>
        </w:rPr>
        <w:t xml:space="preserve">  Especially when demand declines, property owners might not recognize the decline in the value of their property.  </w:t>
      </w:r>
      <w:proofErr w:type="spellStart"/>
      <w:r w:rsidRPr="00B50F1D">
        <w:rPr>
          <w:rFonts w:eastAsia="Calibri"/>
          <w:sz w:val="24"/>
          <w:szCs w:val="24"/>
        </w:rPr>
        <w:t>Anenberg</w:t>
      </w:r>
      <w:proofErr w:type="spellEnd"/>
      <w:r w:rsidRPr="00B50F1D">
        <w:rPr>
          <w:rFonts w:eastAsia="Calibri"/>
          <w:sz w:val="24"/>
          <w:szCs w:val="24"/>
        </w:rPr>
        <w:t xml:space="preserve"> (2016) and </w:t>
      </w:r>
      <w:proofErr w:type="spellStart"/>
      <w:r w:rsidRPr="00B50F1D">
        <w:rPr>
          <w:rFonts w:eastAsia="Calibri"/>
          <w:sz w:val="24"/>
          <w:szCs w:val="24"/>
        </w:rPr>
        <w:t>Guren</w:t>
      </w:r>
      <w:proofErr w:type="spellEnd"/>
      <w:r w:rsidRPr="00B50F1D">
        <w:rPr>
          <w:rFonts w:eastAsia="Calibri"/>
          <w:sz w:val="24"/>
          <w:szCs w:val="24"/>
        </w:rPr>
        <w:t xml:space="preserve"> (2018) argue that owners set their asking prices based on the transactions prices of comparable properties sold recently.  Thus, given a decrease in demand, some owners might have unrealistic expectations concerning the values of their property.  Finally, if an owner is offered less than the mortgage amount, a common occurrence during the recent housing crisis, then sales become quite complicated.  To complete the sale, either the lender must forgive the difference between the mortgage amount and the transaction price or the seller must make up the difference.</w:t>
      </w:r>
    </w:p>
    <w:p w14:paraId="635DF620" w14:textId="3251D5DC" w:rsidR="00B50F1D" w:rsidRPr="00B50F1D" w:rsidRDefault="00B50F1D" w:rsidP="00B50F1D">
      <w:pPr>
        <w:spacing w:after="200" w:line="276" w:lineRule="auto"/>
        <w:ind w:firstLine="720"/>
        <w:rPr>
          <w:rFonts w:eastAsia="Calibri"/>
          <w:sz w:val="24"/>
          <w:szCs w:val="24"/>
        </w:rPr>
      </w:pPr>
      <w:proofErr w:type="gramStart"/>
      <w:r w:rsidRPr="00B50F1D">
        <w:rPr>
          <w:rFonts w:eastAsia="Calibri"/>
          <w:sz w:val="24"/>
          <w:szCs w:val="24"/>
        </w:rPr>
        <w:lastRenderedPageBreak/>
        <w:t>In light of</w:t>
      </w:r>
      <w:proofErr w:type="gramEnd"/>
      <w:r w:rsidRPr="00B50F1D">
        <w:rPr>
          <w:rFonts w:eastAsia="Calibri"/>
          <w:sz w:val="24"/>
          <w:szCs w:val="24"/>
        </w:rPr>
        <w:t xml:space="preserve"> the preceding frictions, assume</w:t>
      </w:r>
      <w:r w:rsidR="006353C2">
        <w:rPr>
          <w:rFonts w:eastAsia="Calibri"/>
          <w:sz w:val="24"/>
          <w:szCs w:val="24"/>
        </w:rPr>
        <w:t xml:space="preserve"> </w:t>
      </w:r>
      <w:r w:rsidR="000D4D3C">
        <w:rPr>
          <w:rFonts w:eastAsia="Calibri"/>
          <w:sz w:val="24"/>
          <w:szCs w:val="24"/>
        </w:rPr>
        <w:t xml:space="preserve">that price does not adjust fully and instantaneously to </w:t>
      </w:r>
      <w:r w:rsidR="006353C2">
        <w:rPr>
          <w:rFonts w:eastAsia="Calibri"/>
          <w:sz w:val="24"/>
          <w:szCs w:val="24"/>
        </w:rPr>
        <w:t>a</w:t>
      </w:r>
      <w:r w:rsidRPr="00B50F1D">
        <w:rPr>
          <w:rFonts w:eastAsia="Calibri"/>
          <w:sz w:val="24"/>
          <w:szCs w:val="24"/>
        </w:rPr>
        <w:t xml:space="preserve"> declin</w:t>
      </w:r>
      <w:r w:rsidR="007B3580">
        <w:rPr>
          <w:rFonts w:eastAsia="Calibri"/>
          <w:sz w:val="24"/>
          <w:szCs w:val="24"/>
        </w:rPr>
        <w:t>e</w:t>
      </w:r>
      <w:r w:rsidR="000D4D3C">
        <w:rPr>
          <w:rFonts w:eastAsia="Calibri"/>
          <w:sz w:val="24"/>
          <w:szCs w:val="24"/>
        </w:rPr>
        <w:t xml:space="preserve"> in demand</w:t>
      </w:r>
      <w:r w:rsidR="006353C2">
        <w:rPr>
          <w:rFonts w:eastAsia="Calibri"/>
          <w:sz w:val="24"/>
          <w:szCs w:val="24"/>
        </w:rPr>
        <w:t>.</w:t>
      </w:r>
      <w:r w:rsidRPr="00B50F1D">
        <w:rPr>
          <w:rFonts w:eastAsia="Calibri"/>
          <w:sz w:val="24"/>
          <w:szCs w:val="24"/>
        </w:rPr>
        <w:t xml:space="preserve">  Given this partial adjustment, the vacancy rate </w:t>
      </w:r>
      <w:r w:rsidR="009216E2">
        <w:rPr>
          <w:rFonts w:eastAsia="Calibri"/>
          <w:sz w:val="24"/>
          <w:szCs w:val="24"/>
        </w:rPr>
        <w:t xml:space="preserve">may be </w:t>
      </w:r>
      <w:r w:rsidRPr="00B50F1D">
        <w:rPr>
          <w:rFonts w:eastAsia="Calibri"/>
          <w:sz w:val="24"/>
          <w:szCs w:val="24"/>
        </w:rPr>
        <w:t>higher than its previous rate.</w:t>
      </w:r>
      <w:r w:rsidRPr="00B50F1D">
        <w:rPr>
          <w:rFonts w:eastAsia="Calibri"/>
          <w:sz w:val="24"/>
          <w:szCs w:val="24"/>
          <w:vertAlign w:val="superscript"/>
        </w:rPr>
        <w:t xml:space="preserve"> </w:t>
      </w:r>
      <w:r w:rsidRPr="00B50F1D">
        <w:rPr>
          <w:rFonts w:eastAsia="Calibri"/>
          <w:sz w:val="24"/>
          <w:szCs w:val="24"/>
        </w:rPr>
        <w:t>Turning to the case of an increase in demand, one can also argue that price will not adjust completely and instantaneously.  If so, then the vacancy rate will decline below its previous rate.</w:t>
      </w:r>
      <w:r w:rsidR="00261BB5">
        <w:rPr>
          <w:rStyle w:val="FootnoteReference"/>
          <w:rFonts w:eastAsia="Calibri"/>
          <w:sz w:val="24"/>
          <w:szCs w:val="24"/>
        </w:rPr>
        <w:footnoteReference w:id="7"/>
      </w:r>
      <w:r w:rsidRPr="00B50F1D">
        <w:rPr>
          <w:rFonts w:eastAsia="Calibri"/>
          <w:sz w:val="24"/>
          <w:szCs w:val="24"/>
        </w:rPr>
        <w:t xml:space="preserve"> The effect of vacancies on housing prices has been a topic of increased attention due to the housing bubble</w:t>
      </w:r>
      <w:r w:rsidR="00940173">
        <w:rPr>
          <w:rFonts w:eastAsia="Calibri"/>
          <w:sz w:val="24"/>
          <w:szCs w:val="24"/>
        </w:rPr>
        <w:t>; for instance, s</w:t>
      </w:r>
      <w:r w:rsidRPr="00B50F1D">
        <w:rPr>
          <w:rFonts w:eastAsia="Calibri"/>
          <w:sz w:val="24"/>
          <w:szCs w:val="24"/>
        </w:rPr>
        <w:t>ee Whitaker and Fitzpatrick (2013).</w:t>
      </w:r>
    </w:p>
    <w:p w14:paraId="26B80E8E" w14:textId="33660072" w:rsidR="00B50F1D" w:rsidRPr="00B50F1D" w:rsidRDefault="00B50F1D" w:rsidP="00B50F1D">
      <w:pPr>
        <w:spacing w:after="200" w:line="276" w:lineRule="auto"/>
        <w:rPr>
          <w:rFonts w:eastAsia="Calibri"/>
          <w:sz w:val="24"/>
          <w:szCs w:val="24"/>
        </w:rPr>
      </w:pPr>
      <w:r w:rsidRPr="00B50F1D">
        <w:rPr>
          <w:rFonts w:eastAsia="Calibri"/>
          <w:sz w:val="24"/>
          <w:szCs w:val="24"/>
        </w:rPr>
        <w:tab/>
        <w:t>The next question is what happens when more time is allowed for adjustments in the housing market due to a homeowner’s desire to migrate.  Because a supply curve for housing for periods longer than the short run likely has a positive slope and can shift, the quantity of housing units can adjust upward via new construction and downward by depreciation/teardowns.  On the demand side, whether the shock is temporary or permanent is of utmost importance.  If the shock is temporary, because of a one-time change in migration, for instance, then one should expect price and vacancy to return to their original values.  On the other hand, if the shock is permanent, then price and quantity will adjust further and their effects on the vacancy rate are uncertain without more detailed information on various quantitative relationships as well as the cause of the shock</w:t>
      </w:r>
      <w:r w:rsidR="008F0695">
        <w:rPr>
          <w:rFonts w:eastAsia="Calibri"/>
          <w:sz w:val="24"/>
          <w:szCs w:val="24"/>
        </w:rPr>
        <w:t>.</w:t>
      </w:r>
    </w:p>
    <w:p w14:paraId="7E132AC2" w14:textId="4981B319"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To </w:t>
      </w:r>
      <w:r w:rsidR="00FD65EE">
        <w:rPr>
          <w:rFonts w:eastAsia="Calibri"/>
          <w:sz w:val="24"/>
          <w:szCs w:val="24"/>
        </w:rPr>
        <w:t>elaborate on</w:t>
      </w:r>
      <w:r w:rsidRPr="00B50F1D">
        <w:rPr>
          <w:rFonts w:eastAsia="Calibri"/>
          <w:sz w:val="24"/>
          <w:szCs w:val="24"/>
        </w:rPr>
        <w:t xml:space="preserve"> the preceding point, assume </w:t>
      </w:r>
      <w:r w:rsidR="008F0695">
        <w:rPr>
          <w:rFonts w:eastAsia="Calibri"/>
          <w:sz w:val="24"/>
          <w:szCs w:val="24"/>
        </w:rPr>
        <w:t xml:space="preserve">there is </w:t>
      </w:r>
      <w:r w:rsidRPr="00B50F1D">
        <w:rPr>
          <w:rFonts w:eastAsia="Calibri"/>
          <w:sz w:val="24"/>
          <w:szCs w:val="24"/>
        </w:rPr>
        <w:t>a permanent decline in demand due to outmigration from a region. As a result, demand for all housing units falls</w:t>
      </w:r>
      <w:r w:rsidR="003902F7">
        <w:rPr>
          <w:rFonts w:eastAsia="Calibri"/>
          <w:sz w:val="24"/>
          <w:szCs w:val="24"/>
        </w:rPr>
        <w:t xml:space="preserve">, as does demand for all occupied units. </w:t>
      </w:r>
      <w:proofErr w:type="gramStart"/>
      <w:r w:rsidRPr="00B50F1D">
        <w:rPr>
          <w:rFonts w:eastAsia="Calibri"/>
          <w:sz w:val="24"/>
          <w:szCs w:val="24"/>
        </w:rPr>
        <w:t>Similar to</w:t>
      </w:r>
      <w:proofErr w:type="gramEnd"/>
      <w:r w:rsidRPr="00B50F1D">
        <w:rPr>
          <w:rFonts w:eastAsia="Calibri"/>
          <w:sz w:val="24"/>
          <w:szCs w:val="24"/>
        </w:rPr>
        <w:t xml:space="preserve"> the case with a fixed housing supply, such a decline puts downward pressure on housing prices.  If price adjusts completely and instantaneously, the new equilibrium quantities of total and occupied housing would decline</w:t>
      </w:r>
      <w:r w:rsidR="00470353">
        <w:rPr>
          <w:rFonts w:eastAsia="Calibri"/>
          <w:sz w:val="24"/>
          <w:szCs w:val="24"/>
        </w:rPr>
        <w:t>.</w:t>
      </w:r>
      <w:r w:rsidRPr="00B50F1D">
        <w:rPr>
          <w:rFonts w:eastAsia="Calibri"/>
          <w:sz w:val="24"/>
          <w:szCs w:val="24"/>
        </w:rPr>
        <w:t xml:space="preserve">  The number of vacancies would be </w:t>
      </w:r>
      <w:proofErr w:type="gramStart"/>
      <w:r w:rsidRPr="00B50F1D">
        <w:rPr>
          <w:rFonts w:eastAsia="Calibri"/>
          <w:sz w:val="24"/>
          <w:szCs w:val="24"/>
        </w:rPr>
        <w:t>unchanged</w:t>
      </w:r>
      <w:proofErr w:type="gramEnd"/>
      <w:r w:rsidRPr="00B50F1D">
        <w:rPr>
          <w:rFonts w:eastAsia="Calibri"/>
          <w:sz w:val="24"/>
          <w:szCs w:val="24"/>
        </w:rPr>
        <w:t xml:space="preserve"> and the vacancy rate would increase.  However, as discussed previously, the actual shifts of occupied housing and total housing need not be parallel and equidistant.  It is possible that in this new case the decline in occupied housing is relatively less (more) than the decline in total housing demand.  This creates the possibility that the new vacancy rate is lower (higher) than the original vacancy rate.  What remains certain is that the quantity of housing supplied is now less, the quantity of occupied housing is less, and the price of housing is less.</w:t>
      </w:r>
    </w:p>
    <w:p w14:paraId="405C5820" w14:textId="5D757C07" w:rsidR="00B50F1D" w:rsidRPr="00B50F1D" w:rsidRDefault="00B50F1D" w:rsidP="00B50F1D">
      <w:pPr>
        <w:autoSpaceDE w:val="0"/>
        <w:autoSpaceDN w:val="0"/>
        <w:adjustRightInd w:val="0"/>
        <w:spacing w:after="200" w:line="276" w:lineRule="auto"/>
        <w:rPr>
          <w:rFonts w:eastAsia="Calibri"/>
          <w:sz w:val="24"/>
          <w:szCs w:val="24"/>
        </w:rPr>
      </w:pPr>
      <w:r w:rsidRPr="00B50F1D">
        <w:rPr>
          <w:rFonts w:eastAsia="Calibri"/>
          <w:sz w:val="24"/>
          <w:szCs w:val="24"/>
        </w:rPr>
        <w:t xml:space="preserve">  </w:t>
      </w:r>
      <w:r w:rsidRPr="00B50F1D">
        <w:rPr>
          <w:rFonts w:eastAsia="Calibri"/>
          <w:sz w:val="24"/>
          <w:szCs w:val="24"/>
        </w:rPr>
        <w:tab/>
        <w:t xml:space="preserve">The foundations for the preceding supply and demand discussion are a housing search and matching model.  Wheaton (1990) provided a one-region search and matching model that yields a vacancy rate.  The literature on this topic has advanced in various other directions. For a recent literature review see Han and Strange (2015).  See Williams (1995) for a continuous time version of Wheaton’s model.  The role and impact of bargaining in the housing search process is examined by </w:t>
      </w:r>
      <w:proofErr w:type="spellStart"/>
      <w:r w:rsidRPr="00B50F1D">
        <w:rPr>
          <w:rFonts w:eastAsia="Calibri"/>
          <w:sz w:val="24"/>
          <w:szCs w:val="24"/>
        </w:rPr>
        <w:t>Ihlanfeldt</w:t>
      </w:r>
      <w:proofErr w:type="spellEnd"/>
      <w:r w:rsidRPr="00B50F1D">
        <w:rPr>
          <w:rFonts w:eastAsia="Calibri"/>
          <w:sz w:val="24"/>
          <w:szCs w:val="24"/>
        </w:rPr>
        <w:t xml:space="preserve"> and </w:t>
      </w:r>
      <w:proofErr w:type="spellStart"/>
      <w:r w:rsidRPr="00B50F1D">
        <w:rPr>
          <w:rFonts w:eastAsia="Calibri"/>
          <w:sz w:val="24"/>
          <w:szCs w:val="24"/>
        </w:rPr>
        <w:t>Mayock</w:t>
      </w:r>
      <w:proofErr w:type="spellEnd"/>
      <w:r w:rsidRPr="00B50F1D">
        <w:rPr>
          <w:rFonts w:eastAsia="Calibri"/>
          <w:sz w:val="24"/>
          <w:szCs w:val="24"/>
        </w:rPr>
        <w:t xml:space="preserve"> (2012) and by Merlo and </w:t>
      </w:r>
      <w:proofErr w:type="spellStart"/>
      <w:r w:rsidRPr="00B50F1D">
        <w:rPr>
          <w:rFonts w:eastAsia="Calibri"/>
          <w:sz w:val="24"/>
          <w:szCs w:val="24"/>
        </w:rPr>
        <w:t>Ortalo-Magné</w:t>
      </w:r>
      <w:proofErr w:type="spellEnd"/>
      <w:r w:rsidRPr="00B50F1D">
        <w:rPr>
          <w:rFonts w:eastAsia="Calibri"/>
          <w:sz w:val="24"/>
          <w:szCs w:val="24"/>
        </w:rPr>
        <w:t xml:space="preserve"> (2004).  </w:t>
      </w:r>
      <w:proofErr w:type="spellStart"/>
      <w:r w:rsidRPr="00B50F1D">
        <w:rPr>
          <w:rFonts w:eastAsia="Calibri"/>
          <w:sz w:val="24"/>
          <w:szCs w:val="24"/>
        </w:rPr>
        <w:t>Piazzesi</w:t>
      </w:r>
      <w:proofErr w:type="spellEnd"/>
      <w:r w:rsidRPr="00B50F1D">
        <w:rPr>
          <w:rFonts w:eastAsia="Calibri"/>
          <w:sz w:val="24"/>
          <w:szCs w:val="24"/>
        </w:rPr>
        <w:t xml:space="preserve">, Schneider and </w:t>
      </w:r>
      <w:proofErr w:type="spellStart"/>
      <w:r w:rsidRPr="00B50F1D">
        <w:rPr>
          <w:rFonts w:eastAsia="Calibri"/>
          <w:sz w:val="24"/>
          <w:szCs w:val="24"/>
        </w:rPr>
        <w:t>Stroebel</w:t>
      </w:r>
      <w:proofErr w:type="spellEnd"/>
      <w:r w:rsidRPr="00B50F1D">
        <w:rPr>
          <w:rFonts w:eastAsia="Calibri"/>
          <w:sz w:val="24"/>
          <w:szCs w:val="24"/>
        </w:rPr>
        <w:t xml:space="preserve"> (2015) extend the housing market matching literature by allowing for multiple market segments and heterogeneous searchers.</w:t>
      </w:r>
    </w:p>
    <w:p w14:paraId="31ADA303" w14:textId="34EF9667"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lastRenderedPageBreak/>
        <w:t>Prior to our extending</w:t>
      </w:r>
      <w:r w:rsidR="00161461">
        <w:rPr>
          <w:rFonts w:eastAsia="Calibri"/>
          <w:sz w:val="24"/>
          <w:szCs w:val="24"/>
        </w:rPr>
        <w:t xml:space="preserve"> (or generalizing)</w:t>
      </w:r>
      <w:r w:rsidRPr="00B50F1D">
        <w:rPr>
          <w:rFonts w:eastAsia="Calibri"/>
          <w:sz w:val="24"/>
          <w:szCs w:val="24"/>
        </w:rPr>
        <w:t xml:space="preserve"> the Wheaton (1990) model, we </w:t>
      </w:r>
      <w:r w:rsidR="00FD65EE">
        <w:rPr>
          <w:rFonts w:eastAsia="Calibri"/>
          <w:sz w:val="24"/>
          <w:szCs w:val="24"/>
        </w:rPr>
        <w:t>highlight</w:t>
      </w:r>
      <w:r w:rsidRPr="00B50F1D">
        <w:rPr>
          <w:rFonts w:eastAsia="Calibri"/>
          <w:sz w:val="24"/>
          <w:szCs w:val="24"/>
        </w:rPr>
        <w:t xml:space="preserve"> the basics of the search and matching process</w:t>
      </w:r>
      <w:r w:rsidR="00E86AC4">
        <w:rPr>
          <w:rFonts w:eastAsia="Calibri"/>
          <w:sz w:val="24"/>
          <w:szCs w:val="24"/>
        </w:rPr>
        <w:t xml:space="preserve"> with his model</w:t>
      </w:r>
      <w:r w:rsidRPr="00B50F1D">
        <w:rPr>
          <w:rFonts w:eastAsia="Calibri"/>
          <w:sz w:val="24"/>
          <w:szCs w:val="24"/>
        </w:rPr>
        <w:t xml:space="preserve">. Wheaton (1990) assumed that there are two types of households (e.g., families and singles) and two types of housing units (e.g., </w:t>
      </w:r>
      <w:proofErr w:type="gramStart"/>
      <w:r w:rsidRPr="00B50F1D">
        <w:rPr>
          <w:rFonts w:eastAsia="Calibri"/>
          <w:sz w:val="24"/>
          <w:szCs w:val="24"/>
        </w:rPr>
        <w:t>large</w:t>
      </w:r>
      <w:proofErr w:type="gramEnd"/>
      <w:r w:rsidRPr="00B50F1D">
        <w:rPr>
          <w:rFonts w:eastAsia="Calibri"/>
          <w:sz w:val="24"/>
          <w:szCs w:val="24"/>
        </w:rPr>
        <w:t xml:space="preserve"> and small).  A given household is viewed as “matched” when a family is in a large unit and a single is in a small unit and “mismatched” when a family is in a small unit or a single is in a large unit.  A matched household becomes mismatched when a single becomes a family</w:t>
      </w:r>
      <w:r w:rsidR="00E22FB0">
        <w:rPr>
          <w:rFonts w:eastAsia="Calibri"/>
          <w:sz w:val="24"/>
          <w:szCs w:val="24"/>
        </w:rPr>
        <w:t>,</w:t>
      </w:r>
      <w:r w:rsidRPr="00B50F1D">
        <w:rPr>
          <w:rFonts w:eastAsia="Calibri"/>
          <w:sz w:val="24"/>
          <w:szCs w:val="24"/>
        </w:rPr>
        <w:t xml:space="preserve"> or a family becomes a single</w:t>
      </w:r>
      <w:r w:rsidR="00E07FA9">
        <w:rPr>
          <w:rFonts w:eastAsia="Calibri"/>
          <w:sz w:val="24"/>
          <w:szCs w:val="24"/>
        </w:rPr>
        <w:t xml:space="preserve"> person</w:t>
      </w:r>
      <w:r w:rsidRPr="00B50F1D">
        <w:rPr>
          <w:rFonts w:eastAsia="Calibri"/>
          <w:sz w:val="24"/>
          <w:szCs w:val="24"/>
        </w:rPr>
        <w:t>.</w:t>
      </w:r>
      <w:r w:rsidRPr="00B50F1D">
        <w:rPr>
          <w:rFonts w:eastAsia="Calibri"/>
          <w:sz w:val="24"/>
          <w:szCs w:val="24"/>
          <w:vertAlign w:val="superscript"/>
        </w:rPr>
        <w:footnoteReference w:id="8"/>
      </w:r>
      <w:r w:rsidRPr="00B50F1D">
        <w:rPr>
          <w:rFonts w:eastAsia="Calibri"/>
          <w:sz w:val="24"/>
          <w:szCs w:val="24"/>
        </w:rPr>
        <w:t xml:space="preserve"> A household moves from mismatched to matched by finding and purchasing the other appropriate unit.  Then the previously occupied house is put up for sale.  An additional simplification in Wheaton’s model is that while households can change between types, the aggregate distribution of households by type is stable.  </w:t>
      </w:r>
    </w:p>
    <w:p w14:paraId="6D536654" w14:textId="77777777" w:rsidR="00B50F1D" w:rsidRPr="00B50F1D" w:rsidRDefault="00B50F1D" w:rsidP="00B50F1D">
      <w:pPr>
        <w:spacing w:after="200" w:line="276" w:lineRule="auto"/>
        <w:ind w:firstLine="360"/>
        <w:rPr>
          <w:rFonts w:eastAsia="Calibri"/>
          <w:sz w:val="24"/>
          <w:szCs w:val="24"/>
        </w:rPr>
      </w:pPr>
      <w:r w:rsidRPr="00B50F1D">
        <w:rPr>
          <w:rFonts w:eastAsia="Calibri"/>
          <w:sz w:val="24"/>
          <w:szCs w:val="24"/>
        </w:rPr>
        <w:t xml:space="preserve">At any time, a given household is in one of three occupancy categories: 1)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vertAlign w:val="subscript"/>
              </w:rPr>
              <m:t>i</m:t>
            </m:r>
          </m:sub>
        </m:sSub>
      </m:oMath>
      <w:r w:rsidRPr="00B50F1D">
        <w:rPr>
          <w:rFonts w:eastAsia="Calibri"/>
          <w:sz w:val="24"/>
          <w:szCs w:val="24"/>
        </w:rPr>
        <w:t xml:space="preserve"> indicates a matched household (i.e., the household occupies an appropriate housing unit); 2) </w:t>
      </w:r>
      <m:oMath>
        <m:r>
          <w:rPr>
            <w:rFonts w:ascii="Cambria Math" w:eastAsia="Calibri" w:hAnsi="Cambria Math"/>
            <w:sz w:val="24"/>
            <w:szCs w:val="24"/>
          </w:rPr>
          <m:t>H</m:t>
        </m:r>
        <m:sSub>
          <m:sSubPr>
            <m:ctrlPr>
              <w:rPr>
                <w:rFonts w:ascii="Cambria Math" w:eastAsia="Calibri" w:hAnsi="Cambria Math"/>
                <w:i/>
                <w:sz w:val="24"/>
                <w:szCs w:val="24"/>
                <w:vertAlign w:val="subscript"/>
              </w:rPr>
            </m:ctrlPr>
          </m:sSubPr>
          <m:e>
            <m:r>
              <w:rPr>
                <w:rFonts w:ascii="Cambria Math" w:eastAsia="Calibri" w:hAnsi="Cambria Math"/>
                <w:sz w:val="24"/>
                <w:szCs w:val="24"/>
              </w:rPr>
              <m:t>D</m:t>
            </m:r>
            <m:ctrlPr>
              <w:rPr>
                <w:rFonts w:ascii="Cambria Math" w:eastAsia="Calibri" w:hAnsi="Cambria Math"/>
                <w:i/>
                <w:sz w:val="24"/>
                <w:szCs w:val="24"/>
              </w:rPr>
            </m:ctrlPr>
          </m:e>
          <m:sub>
            <m:r>
              <w:rPr>
                <w:rFonts w:ascii="Cambria Math" w:eastAsia="Calibri" w:hAnsi="Cambria Math"/>
                <w:sz w:val="24"/>
                <w:szCs w:val="24"/>
                <w:vertAlign w:val="subscript"/>
              </w:rPr>
              <m:t>i</m:t>
            </m:r>
          </m:sub>
        </m:sSub>
      </m:oMath>
      <w:r w:rsidRPr="00B50F1D">
        <w:rPr>
          <w:rFonts w:eastAsia="Calibri"/>
          <w:sz w:val="24"/>
          <w:szCs w:val="24"/>
        </w:rPr>
        <w:t xml:space="preserve"> indicates a matched household with a house to sell (i.e., the household owns two units - one being appropriate and not for sale and the other inappropriate for them and for sale); and 3)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i</m:t>
            </m:r>
          </m:sub>
        </m:sSub>
      </m:oMath>
      <w:r w:rsidRPr="00B50F1D">
        <w:rPr>
          <w:rFonts w:eastAsia="Calibri"/>
          <w:sz w:val="24"/>
          <w:szCs w:val="24"/>
        </w:rPr>
        <w:t xml:space="preserve"> indicates a mismatched household looking for an appropriate unit.  With a fixed number of households and units of each type, households change categories in the model according to the following differential equations:</w:t>
      </w:r>
    </w:p>
    <w:p w14:paraId="3389A638" w14:textId="77777777" w:rsidR="00B50F1D" w:rsidRPr="00B50F1D" w:rsidRDefault="00B50F1D" w:rsidP="00B50F1D">
      <w:pPr>
        <w:numPr>
          <w:ilvl w:val="0"/>
          <w:numId w:val="1"/>
        </w:numPr>
        <w:spacing w:after="200" w:line="276" w:lineRule="auto"/>
        <w:contextualSpacing/>
        <w:rPr>
          <w:rFonts w:eastAsia="Calibri"/>
          <w:sz w:val="24"/>
          <w:szCs w:val="24"/>
        </w:rPr>
      </w:pPr>
      <w:proofErr w:type="spellStart"/>
      <w:r w:rsidRPr="00B50F1D">
        <w:rPr>
          <w:rFonts w:eastAsia="Calibri"/>
          <w:sz w:val="24"/>
          <w:szCs w:val="24"/>
        </w:rPr>
        <w:t>ḢS</w:t>
      </w:r>
      <w:r w:rsidRPr="00B50F1D">
        <w:rPr>
          <w:rFonts w:eastAsia="Calibri"/>
          <w:sz w:val="24"/>
          <w:szCs w:val="24"/>
          <w:vertAlign w:val="subscript"/>
        </w:rPr>
        <w:t>i</w:t>
      </w:r>
      <w:proofErr w:type="spellEnd"/>
      <w:r w:rsidRPr="00B50F1D">
        <w:rPr>
          <w:rFonts w:eastAsia="Calibri"/>
          <w:sz w:val="24"/>
          <w:szCs w:val="24"/>
        </w:rPr>
        <w:t xml:space="preserve"> = -</w:t>
      </w:r>
      <w:proofErr w:type="spellStart"/>
      <w:r w:rsidRPr="00B50F1D">
        <w:rPr>
          <w:rFonts w:eastAsia="Calibri"/>
          <w:sz w:val="24"/>
          <w:szCs w:val="24"/>
        </w:rPr>
        <w:t>m</w:t>
      </w:r>
      <w:r w:rsidRPr="00B50F1D">
        <w:rPr>
          <w:rFonts w:eastAsia="Calibri"/>
          <w:sz w:val="24"/>
          <w:szCs w:val="24"/>
          <w:vertAlign w:val="subscript"/>
        </w:rPr>
        <w:t>i</w:t>
      </w:r>
      <w:r w:rsidRPr="00B50F1D">
        <w:rPr>
          <w:rFonts w:eastAsia="Calibri"/>
          <w:sz w:val="24"/>
          <w:szCs w:val="24"/>
        </w:rPr>
        <w:t>HS</w:t>
      </w:r>
      <w:r w:rsidRPr="00B50F1D">
        <w:rPr>
          <w:rFonts w:eastAsia="Calibri"/>
          <w:sz w:val="24"/>
          <w:szCs w:val="24"/>
          <w:vertAlign w:val="subscript"/>
        </w:rPr>
        <w:t>i</w:t>
      </w:r>
      <w:proofErr w:type="spellEnd"/>
      <w:r w:rsidRPr="00B50F1D">
        <w:rPr>
          <w:rFonts w:eastAsia="Calibri"/>
          <w:sz w:val="24"/>
          <w:szCs w:val="24"/>
        </w:rPr>
        <w:t xml:space="preserve"> – β</w:t>
      </w:r>
      <w:proofErr w:type="spellStart"/>
      <w:r w:rsidRPr="00B50F1D">
        <w:rPr>
          <w:rFonts w:eastAsia="Calibri"/>
          <w:sz w:val="24"/>
          <w:szCs w:val="24"/>
          <w:vertAlign w:val="subscript"/>
        </w:rPr>
        <w:t>i</w:t>
      </w:r>
      <w:r w:rsidRPr="00B50F1D">
        <w:rPr>
          <w:rFonts w:eastAsia="Calibri"/>
          <w:sz w:val="24"/>
          <w:szCs w:val="24"/>
        </w:rPr>
        <w:t>HS</w:t>
      </w:r>
      <w:r w:rsidRPr="00B50F1D">
        <w:rPr>
          <w:rFonts w:eastAsia="Calibri"/>
          <w:sz w:val="24"/>
          <w:szCs w:val="24"/>
          <w:vertAlign w:val="subscript"/>
        </w:rPr>
        <w:t>i</w:t>
      </w:r>
      <w:proofErr w:type="spellEnd"/>
      <w:r w:rsidRPr="00B50F1D">
        <w:rPr>
          <w:rFonts w:eastAsia="Calibri"/>
          <w:sz w:val="24"/>
          <w:szCs w:val="24"/>
        </w:rPr>
        <w:t xml:space="preserve"> + β</w:t>
      </w:r>
      <w:proofErr w:type="spellStart"/>
      <w:r w:rsidRPr="00B50F1D">
        <w:rPr>
          <w:rFonts w:eastAsia="Calibri"/>
          <w:sz w:val="24"/>
          <w:szCs w:val="24"/>
          <w:vertAlign w:val="subscript"/>
        </w:rPr>
        <w:t>j</w:t>
      </w:r>
      <w:r w:rsidRPr="00B50F1D">
        <w:rPr>
          <w:rFonts w:eastAsia="Calibri"/>
          <w:sz w:val="24"/>
          <w:szCs w:val="24"/>
        </w:rPr>
        <w:t>HM</w:t>
      </w:r>
      <w:r w:rsidRPr="00B50F1D">
        <w:rPr>
          <w:rFonts w:eastAsia="Calibri"/>
          <w:sz w:val="24"/>
          <w:szCs w:val="24"/>
          <w:vertAlign w:val="subscript"/>
        </w:rPr>
        <w:t>j</w:t>
      </w:r>
      <w:proofErr w:type="spellEnd"/>
    </w:p>
    <w:p w14:paraId="42BA7601" w14:textId="77777777" w:rsidR="00B50F1D" w:rsidRPr="00B50F1D" w:rsidRDefault="00B50F1D" w:rsidP="00B50F1D">
      <w:pPr>
        <w:spacing w:after="200" w:line="276" w:lineRule="auto"/>
        <w:ind w:left="720"/>
        <w:contextualSpacing/>
        <w:rPr>
          <w:rFonts w:eastAsia="Calibri"/>
          <w:sz w:val="24"/>
          <w:szCs w:val="24"/>
        </w:rPr>
      </w:pPr>
    </w:p>
    <w:p w14:paraId="064DDF08" w14:textId="77777777" w:rsidR="00B50F1D" w:rsidRPr="00B50F1D" w:rsidRDefault="00B50F1D" w:rsidP="00B50F1D">
      <w:pPr>
        <w:numPr>
          <w:ilvl w:val="0"/>
          <w:numId w:val="1"/>
        </w:numPr>
        <w:spacing w:after="200" w:line="276" w:lineRule="auto"/>
        <w:contextualSpacing/>
        <w:rPr>
          <w:rFonts w:eastAsia="Calibri"/>
          <w:sz w:val="24"/>
          <w:szCs w:val="24"/>
        </w:rPr>
      </w:pPr>
      <w:proofErr w:type="spellStart"/>
      <w:r w:rsidRPr="00B50F1D">
        <w:rPr>
          <w:rFonts w:eastAsia="Calibri"/>
          <w:sz w:val="24"/>
          <w:szCs w:val="24"/>
        </w:rPr>
        <w:t>ḢD</w:t>
      </w:r>
      <w:r w:rsidRPr="00B50F1D">
        <w:rPr>
          <w:rFonts w:eastAsia="Calibri"/>
          <w:sz w:val="24"/>
          <w:szCs w:val="24"/>
          <w:vertAlign w:val="subscript"/>
        </w:rPr>
        <w:t>i</w:t>
      </w:r>
      <w:proofErr w:type="spellEnd"/>
      <w:r w:rsidRPr="00B50F1D">
        <w:rPr>
          <w:rFonts w:eastAsia="Calibri"/>
          <w:sz w:val="24"/>
          <w:szCs w:val="24"/>
        </w:rPr>
        <w:t xml:space="preserve"> = -</w:t>
      </w:r>
      <w:proofErr w:type="spellStart"/>
      <w:r w:rsidRPr="00B50F1D">
        <w:rPr>
          <w:rFonts w:eastAsia="Calibri"/>
          <w:sz w:val="24"/>
          <w:szCs w:val="24"/>
        </w:rPr>
        <w:t>q</w:t>
      </w:r>
      <w:r w:rsidRPr="00B50F1D">
        <w:rPr>
          <w:rFonts w:eastAsia="Calibri"/>
          <w:sz w:val="24"/>
          <w:szCs w:val="24"/>
          <w:vertAlign w:val="subscript"/>
        </w:rPr>
        <w:t>i</w:t>
      </w:r>
      <w:r w:rsidRPr="00B50F1D">
        <w:rPr>
          <w:rFonts w:eastAsia="Calibri"/>
          <w:sz w:val="24"/>
          <w:szCs w:val="24"/>
        </w:rPr>
        <w:t>HD</w:t>
      </w:r>
      <w:r w:rsidRPr="00B50F1D">
        <w:rPr>
          <w:rFonts w:eastAsia="Calibri"/>
          <w:sz w:val="24"/>
          <w:szCs w:val="24"/>
          <w:vertAlign w:val="subscript"/>
        </w:rPr>
        <w:t>i</w:t>
      </w:r>
      <w:proofErr w:type="spellEnd"/>
      <w:r w:rsidRPr="00B50F1D">
        <w:rPr>
          <w:rFonts w:eastAsia="Calibri"/>
          <w:sz w:val="24"/>
          <w:szCs w:val="24"/>
        </w:rPr>
        <w:t xml:space="preserve"> + </w:t>
      </w:r>
      <w:proofErr w:type="spellStart"/>
      <w:r w:rsidRPr="00B50F1D">
        <w:rPr>
          <w:rFonts w:eastAsia="Calibri"/>
          <w:sz w:val="24"/>
          <w:szCs w:val="24"/>
        </w:rPr>
        <w:t>m</w:t>
      </w:r>
      <w:r w:rsidRPr="00B50F1D">
        <w:rPr>
          <w:rFonts w:eastAsia="Calibri"/>
          <w:sz w:val="24"/>
          <w:szCs w:val="24"/>
          <w:vertAlign w:val="subscript"/>
        </w:rPr>
        <w:t>i</w:t>
      </w:r>
      <w:r w:rsidRPr="00B50F1D">
        <w:rPr>
          <w:rFonts w:eastAsia="Calibri"/>
          <w:sz w:val="24"/>
          <w:szCs w:val="24"/>
        </w:rPr>
        <w:t>HS</w:t>
      </w:r>
      <w:r w:rsidRPr="00B50F1D">
        <w:rPr>
          <w:rFonts w:eastAsia="Calibri"/>
          <w:sz w:val="24"/>
          <w:szCs w:val="24"/>
          <w:vertAlign w:val="subscript"/>
        </w:rPr>
        <w:t>i</w:t>
      </w:r>
      <w:proofErr w:type="spellEnd"/>
      <w:r w:rsidRPr="00B50F1D">
        <w:rPr>
          <w:rFonts w:eastAsia="Calibri"/>
          <w:sz w:val="24"/>
          <w:szCs w:val="24"/>
        </w:rPr>
        <w:t xml:space="preserve"> + β</w:t>
      </w:r>
      <w:proofErr w:type="spellStart"/>
      <w:r w:rsidRPr="00B50F1D">
        <w:rPr>
          <w:rFonts w:eastAsia="Calibri"/>
          <w:sz w:val="24"/>
          <w:szCs w:val="24"/>
          <w:vertAlign w:val="subscript"/>
        </w:rPr>
        <w:t>j</w:t>
      </w:r>
      <w:r w:rsidRPr="00B50F1D">
        <w:rPr>
          <w:rFonts w:eastAsia="Calibri"/>
          <w:sz w:val="24"/>
          <w:szCs w:val="24"/>
        </w:rPr>
        <w:t>HD</w:t>
      </w:r>
      <w:r w:rsidRPr="00B50F1D">
        <w:rPr>
          <w:rFonts w:eastAsia="Calibri"/>
          <w:sz w:val="24"/>
          <w:szCs w:val="24"/>
          <w:vertAlign w:val="subscript"/>
        </w:rPr>
        <w:t>j</w:t>
      </w:r>
      <w:proofErr w:type="spellEnd"/>
      <w:r w:rsidRPr="00B50F1D">
        <w:rPr>
          <w:rFonts w:eastAsia="Calibri"/>
          <w:sz w:val="24"/>
          <w:szCs w:val="24"/>
        </w:rPr>
        <w:t xml:space="preserve"> – β</w:t>
      </w:r>
      <w:proofErr w:type="spellStart"/>
      <w:r w:rsidRPr="00B50F1D">
        <w:rPr>
          <w:rFonts w:eastAsia="Calibri"/>
          <w:sz w:val="24"/>
          <w:szCs w:val="24"/>
          <w:vertAlign w:val="subscript"/>
        </w:rPr>
        <w:t>i</w:t>
      </w:r>
      <w:r w:rsidRPr="00B50F1D">
        <w:rPr>
          <w:rFonts w:eastAsia="Calibri"/>
          <w:sz w:val="24"/>
          <w:szCs w:val="24"/>
        </w:rPr>
        <w:t>HD</w:t>
      </w:r>
      <w:r w:rsidRPr="00B50F1D">
        <w:rPr>
          <w:rFonts w:eastAsia="Calibri"/>
          <w:sz w:val="24"/>
          <w:szCs w:val="24"/>
          <w:vertAlign w:val="subscript"/>
        </w:rPr>
        <w:t>i</w:t>
      </w:r>
      <w:proofErr w:type="spellEnd"/>
    </w:p>
    <w:p w14:paraId="7471E123" w14:textId="77777777" w:rsidR="00B50F1D" w:rsidRPr="00B50F1D" w:rsidRDefault="00B50F1D" w:rsidP="00B50F1D">
      <w:pPr>
        <w:spacing w:after="200" w:line="276" w:lineRule="auto"/>
        <w:ind w:left="720"/>
        <w:contextualSpacing/>
        <w:rPr>
          <w:rFonts w:eastAsia="Calibri"/>
          <w:sz w:val="24"/>
          <w:szCs w:val="24"/>
        </w:rPr>
      </w:pPr>
    </w:p>
    <w:p w14:paraId="4FD6F480" w14:textId="77777777" w:rsidR="00B50F1D" w:rsidRPr="00B50F1D" w:rsidRDefault="00B50F1D" w:rsidP="00B50F1D">
      <w:pPr>
        <w:numPr>
          <w:ilvl w:val="0"/>
          <w:numId w:val="1"/>
        </w:numPr>
        <w:spacing w:after="200" w:line="276" w:lineRule="auto"/>
        <w:contextualSpacing/>
        <w:rPr>
          <w:rFonts w:eastAsia="Calibri"/>
          <w:sz w:val="24"/>
          <w:szCs w:val="24"/>
        </w:rPr>
      </w:pPr>
      <w:proofErr w:type="spellStart"/>
      <w:r w:rsidRPr="00B50F1D">
        <w:rPr>
          <w:rFonts w:eastAsia="Calibri"/>
          <w:sz w:val="24"/>
          <w:szCs w:val="24"/>
        </w:rPr>
        <w:t>ḢM</w:t>
      </w:r>
      <w:r w:rsidRPr="00B50F1D">
        <w:rPr>
          <w:rFonts w:eastAsia="Calibri"/>
          <w:sz w:val="24"/>
          <w:szCs w:val="24"/>
          <w:vertAlign w:val="subscript"/>
        </w:rPr>
        <w:t>i</w:t>
      </w:r>
      <w:proofErr w:type="spellEnd"/>
      <w:r w:rsidRPr="00B50F1D">
        <w:rPr>
          <w:rFonts w:eastAsia="Calibri"/>
          <w:sz w:val="24"/>
          <w:szCs w:val="24"/>
        </w:rPr>
        <w:t xml:space="preserve"> = - </w:t>
      </w:r>
      <w:proofErr w:type="spellStart"/>
      <w:r w:rsidRPr="00B50F1D">
        <w:rPr>
          <w:rFonts w:eastAsia="Calibri"/>
          <w:sz w:val="24"/>
          <w:szCs w:val="24"/>
        </w:rPr>
        <w:t>ḢS</w:t>
      </w:r>
      <w:r w:rsidRPr="00B50F1D">
        <w:rPr>
          <w:rFonts w:eastAsia="Calibri"/>
          <w:sz w:val="24"/>
          <w:szCs w:val="24"/>
          <w:vertAlign w:val="subscript"/>
        </w:rPr>
        <w:t>i</w:t>
      </w:r>
      <w:proofErr w:type="spellEnd"/>
      <w:r w:rsidRPr="00B50F1D">
        <w:rPr>
          <w:rFonts w:eastAsia="Calibri"/>
          <w:sz w:val="24"/>
          <w:szCs w:val="24"/>
        </w:rPr>
        <w:t xml:space="preserve"> - </w:t>
      </w:r>
      <w:proofErr w:type="spellStart"/>
      <w:r w:rsidRPr="00B50F1D">
        <w:rPr>
          <w:rFonts w:eastAsia="Calibri"/>
          <w:sz w:val="24"/>
          <w:szCs w:val="24"/>
        </w:rPr>
        <w:t>ḢD</w:t>
      </w:r>
      <w:r w:rsidRPr="00B50F1D">
        <w:rPr>
          <w:rFonts w:eastAsia="Calibri"/>
          <w:sz w:val="24"/>
          <w:szCs w:val="24"/>
          <w:vertAlign w:val="subscript"/>
        </w:rPr>
        <w:t>i</w:t>
      </w:r>
      <w:proofErr w:type="spellEnd"/>
      <w:r w:rsidRPr="00B50F1D">
        <w:rPr>
          <w:rFonts w:eastAsia="Calibri"/>
          <w:sz w:val="24"/>
          <w:szCs w:val="24"/>
        </w:rPr>
        <w:t xml:space="preserve">, </w:t>
      </w:r>
      <w:proofErr w:type="spellStart"/>
      <w:r w:rsidRPr="00B50F1D">
        <w:rPr>
          <w:rFonts w:eastAsia="Calibri"/>
          <w:sz w:val="24"/>
          <w:szCs w:val="24"/>
        </w:rPr>
        <w:t>i</w:t>
      </w:r>
      <w:proofErr w:type="spellEnd"/>
      <w:r w:rsidRPr="00B50F1D">
        <w:rPr>
          <w:rFonts w:eastAsia="Calibri"/>
          <w:sz w:val="24"/>
          <w:szCs w:val="24"/>
        </w:rPr>
        <w:t xml:space="preserve"> = 1,2, j ≠</w:t>
      </w:r>
      <w:proofErr w:type="spellStart"/>
      <w:r w:rsidRPr="00B50F1D">
        <w:rPr>
          <w:rFonts w:eastAsia="Calibri"/>
          <w:sz w:val="24"/>
          <w:szCs w:val="24"/>
        </w:rPr>
        <w:t>i</w:t>
      </w:r>
      <w:proofErr w:type="spellEnd"/>
      <w:r w:rsidRPr="00B50F1D">
        <w:rPr>
          <w:rFonts w:eastAsia="Calibri"/>
          <w:sz w:val="24"/>
          <w:szCs w:val="24"/>
        </w:rPr>
        <w:t>.</w:t>
      </w:r>
    </w:p>
    <w:p w14:paraId="046EA4DA" w14:textId="77777777" w:rsidR="00B50F1D" w:rsidRPr="00B50F1D" w:rsidRDefault="00B50F1D" w:rsidP="00B50F1D">
      <w:pPr>
        <w:spacing w:after="200" w:line="276" w:lineRule="auto"/>
        <w:ind w:left="720"/>
        <w:contextualSpacing/>
        <w:rPr>
          <w:rFonts w:eastAsia="Calibri"/>
          <w:sz w:val="24"/>
          <w:szCs w:val="24"/>
        </w:rPr>
      </w:pPr>
    </w:p>
    <w:p w14:paraId="23B6E436" w14:textId="2E0F80C3" w:rsidR="00B50F1D" w:rsidRPr="00B50F1D" w:rsidRDefault="00E96C7A" w:rsidP="00B50F1D">
      <w:pPr>
        <w:spacing w:after="200" w:line="276" w:lineRule="auto"/>
        <w:ind w:firstLine="360"/>
        <w:rPr>
          <w:rFonts w:eastAsia="Calibri"/>
          <w:sz w:val="24"/>
          <w:szCs w:val="24"/>
        </w:rPr>
      </w:pPr>
      <m:oMath>
        <m:sSub>
          <m:sSubPr>
            <m:ctrlPr>
              <w:rPr>
                <w:rFonts w:ascii="Cambria Math" w:eastAsia="Calibri" w:hAnsi="Cambria Math"/>
                <w:i/>
                <w:sz w:val="24"/>
                <w:szCs w:val="24"/>
                <w:vertAlign w:val="subscript"/>
              </w:rPr>
            </m:ctrlPr>
          </m:sSubPr>
          <m:e>
            <m:r>
              <w:rPr>
                <w:rFonts w:ascii="Cambria Math" w:eastAsia="Calibri" w:hAnsi="Cambria Math"/>
                <w:sz w:val="24"/>
                <w:szCs w:val="24"/>
              </w:rPr>
              <m:t>β</m:t>
            </m:r>
            <m:ctrlPr>
              <w:rPr>
                <w:rFonts w:ascii="Cambria Math" w:eastAsia="Calibri" w:hAnsi="Cambria Math"/>
                <w:i/>
                <w:sz w:val="24"/>
                <w:szCs w:val="24"/>
              </w:rPr>
            </m:ctrlPr>
          </m:e>
          <m:sub>
            <m:r>
              <w:rPr>
                <w:rFonts w:ascii="Cambria Math" w:eastAsia="Calibri" w:hAnsi="Cambria Math"/>
                <w:sz w:val="24"/>
                <w:szCs w:val="24"/>
              </w:rPr>
              <m:t>i</m:t>
            </m:r>
          </m:sub>
        </m:sSub>
      </m:oMath>
      <w:r w:rsidR="00BE1F6C">
        <w:rPr>
          <w:rFonts w:eastAsia="Calibri"/>
          <w:sz w:val="24"/>
          <w:szCs w:val="24"/>
          <w:vertAlign w:val="subscript"/>
        </w:rPr>
        <w:t xml:space="preserve"> </w:t>
      </w:r>
      <w:r w:rsidR="00B50F1D" w:rsidRPr="00B50F1D">
        <w:rPr>
          <w:rFonts w:eastAsia="Calibri"/>
          <w:sz w:val="24"/>
          <w:szCs w:val="24"/>
        </w:rPr>
        <w:t xml:space="preserve">is the transition rate from preferring type </w:t>
      </w:r>
      <m:oMath>
        <m:r>
          <w:rPr>
            <w:rFonts w:ascii="Cambria Math" w:eastAsia="Calibri" w:hAnsi="Cambria Math"/>
            <w:sz w:val="24"/>
            <w:szCs w:val="24"/>
          </w:rPr>
          <m:t>i</m:t>
        </m:r>
      </m:oMath>
      <w:r w:rsidR="00B50F1D" w:rsidRPr="00B50F1D">
        <w:rPr>
          <w:rFonts w:eastAsia="Calibri"/>
          <w:sz w:val="24"/>
          <w:szCs w:val="24"/>
        </w:rPr>
        <w:t xml:space="preserve"> to preferring type </w:t>
      </w:r>
      <m:oMath>
        <m:r>
          <w:rPr>
            <w:rFonts w:ascii="Cambria Math" w:eastAsia="Calibri" w:hAnsi="Cambria Math"/>
            <w:sz w:val="24"/>
            <w:szCs w:val="24"/>
          </w:rPr>
          <m:t>j</m:t>
        </m:r>
      </m:oMath>
      <w:r w:rsidR="00B50F1D" w:rsidRPr="00B50F1D">
        <w:rPr>
          <w:rFonts w:eastAsia="Calibri"/>
          <w:sz w:val="24"/>
          <w:szCs w:val="24"/>
        </w:rPr>
        <w:t xml:space="preserve">. Wheaton (1990) defines a mismatched household as one that cannot find an appropriate house instantaneously, so this leads to a search process that produces matches. Wheaton (1990) assumes the arrival of matches in the entire market occurs with a Poisson process, with </w:t>
      </w:r>
      <m:oMath>
        <m:sSub>
          <m:sSubPr>
            <m:ctrlPr>
              <w:rPr>
                <w:rFonts w:ascii="Cambria Math" w:eastAsia="Calibri" w:hAnsi="Cambria Math"/>
                <w:i/>
                <w:sz w:val="24"/>
                <w:szCs w:val="24"/>
                <w:vertAlign w:val="subscript"/>
              </w:rPr>
            </m:ctrlPr>
          </m:sSubPr>
          <m:e>
            <m:r>
              <w:rPr>
                <w:rFonts w:ascii="Cambria Math" w:eastAsia="Calibri" w:hAnsi="Cambria Math"/>
                <w:sz w:val="24"/>
                <w:szCs w:val="24"/>
              </w:rPr>
              <m:t>m</m:t>
            </m:r>
            <m:ctrlPr>
              <w:rPr>
                <w:rFonts w:ascii="Cambria Math" w:eastAsia="Calibri" w:hAnsi="Cambria Math"/>
                <w:i/>
                <w:sz w:val="24"/>
                <w:szCs w:val="24"/>
              </w:rPr>
            </m:ctrlPr>
          </m:e>
          <m:sub>
            <m:r>
              <w:rPr>
                <w:rFonts w:ascii="Cambria Math" w:eastAsia="Calibri" w:hAnsi="Cambria Math"/>
                <w:sz w:val="24"/>
                <w:szCs w:val="24"/>
                <w:vertAlign w:val="subscript"/>
              </w:rPr>
              <m:t>i</m:t>
            </m:r>
          </m:sub>
        </m:sSub>
      </m:oMath>
      <w:r w:rsidR="00B50F1D" w:rsidRPr="00B50F1D">
        <w:rPr>
          <w:rFonts w:eastAsia="Calibri"/>
          <w:sz w:val="24"/>
          <w:szCs w:val="24"/>
        </w:rPr>
        <w:t xml:space="preserve"> the match rate. Sales of vacant houses also are assumed to occur with a Poisson process, </w:t>
      </w:r>
      <m:oMath>
        <m:sSub>
          <m:sSubPr>
            <m:ctrlPr>
              <w:rPr>
                <w:rFonts w:ascii="Cambria Math" w:eastAsia="Calibri" w:hAnsi="Cambria Math"/>
                <w:i/>
                <w:sz w:val="24"/>
                <w:szCs w:val="24"/>
              </w:rPr>
            </m:ctrlPr>
          </m:sSubPr>
          <m:e>
            <m:r>
              <w:rPr>
                <w:rFonts w:ascii="Cambria Math" w:eastAsia="Calibri" w:hAnsi="Cambria Math"/>
                <w:sz w:val="24"/>
                <w:szCs w:val="24"/>
              </w:rPr>
              <m:t>q</m:t>
            </m:r>
          </m:e>
          <m:sub>
            <m:r>
              <w:rPr>
                <w:rFonts w:ascii="Cambria Math" w:eastAsia="Calibri" w:hAnsi="Cambria Math"/>
                <w:sz w:val="24"/>
                <w:szCs w:val="24"/>
              </w:rPr>
              <m:t>i</m:t>
            </m:r>
          </m:sub>
        </m:sSub>
      </m:oMath>
      <w:r w:rsidR="00B50F1D" w:rsidRPr="00B50F1D">
        <w:rPr>
          <w:rFonts w:eastAsia="Calibri"/>
          <w:sz w:val="24"/>
          <w:szCs w:val="24"/>
        </w:rPr>
        <w:t>. The sales of vacant houses equal the flow of house purchases, so that:</w:t>
      </w:r>
    </w:p>
    <w:p w14:paraId="3A5DBB1E" w14:textId="73B35146" w:rsidR="00B50F1D" w:rsidRPr="00B50F1D" w:rsidRDefault="00E96C7A" w:rsidP="00B50F1D">
      <w:pPr>
        <w:numPr>
          <w:ilvl w:val="0"/>
          <w:numId w:val="1"/>
        </w:numPr>
        <w:spacing w:after="200" w:line="276" w:lineRule="auto"/>
        <w:contextualSpacing/>
        <w:rPr>
          <w:rFonts w:eastAsia="Calibri"/>
          <w:sz w:val="24"/>
          <w:szCs w:val="24"/>
        </w:rPr>
      </w:pPr>
      <m:oMath>
        <m:sSub>
          <m:sSubPr>
            <m:ctrlPr>
              <w:rPr>
                <w:rFonts w:ascii="Cambria Math" w:eastAsia="Calibri" w:hAnsi="Cambria Math"/>
                <w:i/>
                <w:sz w:val="24"/>
                <w:szCs w:val="24"/>
                <w:vertAlign w:val="subscript"/>
              </w:rPr>
            </m:ctrlPr>
          </m:sSubPr>
          <m:e>
            <m:r>
              <w:rPr>
                <w:rFonts w:ascii="Cambria Math" w:eastAsia="Calibri" w:hAnsi="Cambria Math"/>
                <w:sz w:val="24"/>
                <w:szCs w:val="24"/>
              </w:rPr>
              <m:t>q</m:t>
            </m:r>
            <m:ctrlPr>
              <w:rPr>
                <w:rFonts w:ascii="Cambria Math" w:eastAsia="Calibri" w:hAnsi="Cambria Math"/>
                <w:i/>
                <w:sz w:val="24"/>
                <w:szCs w:val="24"/>
              </w:rPr>
            </m:ctrlPr>
          </m:e>
          <m:sub>
            <m:r>
              <w:rPr>
                <w:rFonts w:ascii="Cambria Math" w:eastAsia="Calibri" w:hAnsi="Cambria Math"/>
                <w:sz w:val="24"/>
                <w:szCs w:val="24"/>
                <w:vertAlign w:val="subscript"/>
              </w:rPr>
              <m:t>i</m:t>
            </m:r>
          </m:sub>
        </m:sSub>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i</m:t>
            </m:r>
          </m:sub>
        </m:sSub>
        <m:r>
          <w:rPr>
            <w:rFonts w:ascii="Cambria Math" w:eastAsia="Calibri" w:hAnsi="Cambria Math"/>
            <w:sz w:val="24"/>
            <w:szCs w:val="24"/>
            <w:vertAlign w:val="subscript"/>
          </w:rPr>
          <m:t xml:space="preserve">  </m:t>
        </m:r>
        <m:r>
          <w:rPr>
            <w:rFonts w:ascii="Cambria Math" w:eastAsia="Calibri"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i</m:t>
            </m:r>
          </m:sub>
        </m:sSub>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i</m:t>
            </m:r>
          </m:sub>
        </m:sSub>
        <m:r>
          <w:rPr>
            <w:rFonts w:ascii="Cambria Math" w:eastAsia="Calibri" w:hAnsi="Cambria Math"/>
            <w:sz w:val="24"/>
            <w:szCs w:val="24"/>
          </w:rPr>
          <m:t xml:space="preserve"> </m:t>
        </m:r>
      </m:oMath>
    </w:p>
    <w:p w14:paraId="38E03D06" w14:textId="77777777" w:rsidR="00B50F1D" w:rsidRPr="00B50F1D" w:rsidRDefault="00B50F1D" w:rsidP="00B50F1D">
      <w:pPr>
        <w:spacing w:after="200" w:line="276" w:lineRule="auto"/>
        <w:ind w:firstLine="360"/>
        <w:rPr>
          <w:rFonts w:eastAsia="Calibri"/>
          <w:sz w:val="24"/>
          <w:szCs w:val="24"/>
        </w:rPr>
      </w:pPr>
    </w:p>
    <w:p w14:paraId="0D91E1D4" w14:textId="1A41A36D" w:rsidR="00B50F1D" w:rsidRPr="00B50F1D" w:rsidRDefault="00B50F1D" w:rsidP="00B50F1D">
      <w:pPr>
        <w:spacing w:after="200" w:line="276" w:lineRule="auto"/>
        <w:ind w:firstLine="360"/>
        <w:rPr>
          <w:rFonts w:eastAsia="Calibri"/>
          <w:sz w:val="24"/>
          <w:szCs w:val="24"/>
        </w:rPr>
      </w:pPr>
      <w:r w:rsidRPr="00B50F1D">
        <w:rPr>
          <w:rFonts w:eastAsia="Calibri"/>
          <w:sz w:val="24"/>
          <w:szCs w:val="24"/>
        </w:rPr>
        <w:t xml:space="preserve">Equation (1) is the time rate of change of becoming mismatched.  The first term is those who have become newly matched thus reducing the rate of becoming mismatched, the second term is those exiting from </w:t>
      </w:r>
      <m:oMath>
        <m:r>
          <w:rPr>
            <w:rFonts w:ascii="Cambria Math" w:eastAsia="Calibri" w:hAnsi="Cambria Math"/>
            <w:sz w:val="24"/>
            <w:szCs w:val="24"/>
          </w:rPr>
          <m:t>i</m:t>
        </m:r>
      </m:oMath>
      <w:r w:rsidRPr="00B50F1D">
        <w:rPr>
          <w:rFonts w:eastAsia="Calibri"/>
          <w:sz w:val="24"/>
          <w:szCs w:val="24"/>
        </w:rPr>
        <w:t xml:space="preserve"> (mismatched and looking) to </w:t>
      </w:r>
      <m:oMath>
        <m:r>
          <w:rPr>
            <w:rFonts w:ascii="Cambria Math" w:eastAsia="Calibri" w:hAnsi="Cambria Math"/>
            <w:sz w:val="24"/>
            <w:szCs w:val="24"/>
          </w:rPr>
          <m:t>j</m:t>
        </m:r>
      </m:oMath>
      <w:r w:rsidRPr="00B50F1D">
        <w:rPr>
          <w:rFonts w:eastAsia="Calibri"/>
          <w:sz w:val="24"/>
          <w:szCs w:val="24"/>
        </w:rPr>
        <w:t xml:space="preserve">, and the third term captures the newly </w:t>
      </w:r>
      <w:r w:rsidRPr="00B50F1D">
        <w:rPr>
          <w:rFonts w:eastAsia="Calibri"/>
          <w:sz w:val="24"/>
          <w:szCs w:val="24"/>
        </w:rPr>
        <w:lastRenderedPageBreak/>
        <w:t xml:space="preserve">mismatched who are moving from </w:t>
      </w:r>
      <m:oMath>
        <m:r>
          <w:rPr>
            <w:rFonts w:ascii="Cambria Math" w:eastAsia="Calibri" w:hAnsi="Cambria Math"/>
            <w:sz w:val="24"/>
            <w:szCs w:val="24"/>
          </w:rPr>
          <m:t>j</m:t>
        </m:r>
      </m:oMath>
      <w:r w:rsidRPr="00B50F1D">
        <w:rPr>
          <w:rFonts w:eastAsia="Calibri"/>
          <w:sz w:val="24"/>
          <w:szCs w:val="24"/>
        </w:rPr>
        <w:t xml:space="preserve"> to </w:t>
      </w:r>
      <m:oMath>
        <m:r>
          <w:rPr>
            <w:rFonts w:ascii="Cambria Math" w:eastAsia="Calibri" w:hAnsi="Cambria Math"/>
            <w:sz w:val="24"/>
            <w:szCs w:val="24"/>
          </w:rPr>
          <m:t>i</m:t>
        </m:r>
      </m:oMath>
      <w:r w:rsidRPr="00B50F1D">
        <w:rPr>
          <w:rFonts w:eastAsia="Calibri"/>
          <w:sz w:val="24"/>
          <w:szCs w:val="24"/>
        </w:rPr>
        <w:t xml:space="preserve">.  Equation (2) is the time rate of change of those households being matched with a house to sell.  The first term captures the sale of vacant houses of type </w:t>
      </w:r>
      <m:oMath>
        <m:r>
          <w:rPr>
            <w:rFonts w:ascii="Cambria Math" w:eastAsia="Calibri" w:hAnsi="Cambria Math"/>
            <w:sz w:val="24"/>
            <w:szCs w:val="24"/>
          </w:rPr>
          <m:t>i</m:t>
        </m:r>
      </m:oMath>
      <w:r w:rsidRPr="00B50F1D">
        <w:rPr>
          <w:rFonts w:eastAsia="Calibri"/>
          <w:sz w:val="24"/>
          <w:szCs w:val="24"/>
        </w:rPr>
        <w:t>, thus reducing the rate of being ma</w:t>
      </w:r>
      <w:proofErr w:type="spellStart"/>
      <w:r w:rsidRPr="00B50F1D">
        <w:rPr>
          <w:rFonts w:eastAsia="Calibri"/>
          <w:sz w:val="24"/>
          <w:szCs w:val="24"/>
        </w:rPr>
        <w:t>tched</w:t>
      </w:r>
      <w:proofErr w:type="spellEnd"/>
      <w:r w:rsidRPr="00B50F1D">
        <w:rPr>
          <w:rFonts w:eastAsia="Calibri"/>
          <w:sz w:val="24"/>
          <w:szCs w:val="24"/>
        </w:rPr>
        <w:t xml:space="preserve"> with a house to sell.  The second term captures those households who have become matched and now have a house to sell. The third term captures households who are newly matched with a type </w:t>
      </w:r>
      <m:oMath>
        <m:r>
          <w:rPr>
            <w:rFonts w:ascii="Cambria Math" w:eastAsia="Calibri" w:hAnsi="Cambria Math"/>
            <w:sz w:val="24"/>
            <w:szCs w:val="24"/>
          </w:rPr>
          <m:t>i</m:t>
        </m:r>
      </m:oMath>
      <w:r w:rsidRPr="00B50F1D">
        <w:rPr>
          <w:rFonts w:eastAsia="Calibri"/>
          <w:sz w:val="24"/>
          <w:szCs w:val="24"/>
        </w:rPr>
        <w:t xml:space="preserve"> house to sell.  The fourth term captures those households who have changed from </w:t>
      </w:r>
      <m:oMath>
        <m:r>
          <w:rPr>
            <w:rFonts w:ascii="Cambria Math" w:eastAsia="Calibri" w:hAnsi="Cambria Math"/>
            <w:sz w:val="24"/>
            <w:szCs w:val="24"/>
          </w:rPr>
          <m:t>i</m:t>
        </m:r>
      </m:oMath>
      <w:r w:rsidRPr="00B50F1D">
        <w:rPr>
          <w:rFonts w:eastAsia="Calibri"/>
          <w:sz w:val="24"/>
          <w:szCs w:val="24"/>
        </w:rPr>
        <w:t xml:space="preserve"> into </w:t>
      </w:r>
      <m:oMath>
        <m:r>
          <w:rPr>
            <w:rFonts w:ascii="Cambria Math" w:eastAsia="Calibri" w:hAnsi="Cambria Math"/>
            <w:sz w:val="24"/>
            <w:szCs w:val="24"/>
          </w:rPr>
          <m:t>j</m:t>
        </m:r>
      </m:oMath>
      <w:r w:rsidRPr="00B50F1D">
        <w:rPr>
          <w:rFonts w:eastAsia="Calibri"/>
          <w:sz w:val="24"/>
          <w:szCs w:val="24"/>
        </w:rPr>
        <w:t>.  Equation (3) is time rate of change of those becoming matched, which is simply the difference between the negative of those households becoming mismatched and looking and those who have become matched with a house to sell.</w:t>
      </w:r>
      <w:r w:rsidRPr="00B50F1D">
        <w:rPr>
          <w:rFonts w:eastAsia="Calibri"/>
          <w:sz w:val="24"/>
          <w:szCs w:val="24"/>
          <w:vertAlign w:val="superscript"/>
        </w:rPr>
        <w:footnoteReference w:id="9"/>
      </w:r>
    </w:p>
    <w:p w14:paraId="309142E8" w14:textId="77777777" w:rsidR="00B50F1D" w:rsidRPr="00B50F1D" w:rsidRDefault="00B50F1D" w:rsidP="00B50F1D">
      <w:pPr>
        <w:spacing w:after="200" w:line="276" w:lineRule="auto"/>
        <w:rPr>
          <w:rFonts w:eastAsia="Calibri"/>
          <w:b/>
          <w:sz w:val="24"/>
          <w:szCs w:val="24"/>
        </w:rPr>
      </w:pPr>
    </w:p>
    <w:p w14:paraId="4FC07D4C" w14:textId="77777777" w:rsidR="00B50F1D" w:rsidRPr="00B50F1D" w:rsidRDefault="00B50F1D" w:rsidP="00B50F1D">
      <w:pPr>
        <w:spacing w:after="200" w:line="276" w:lineRule="auto"/>
        <w:rPr>
          <w:rFonts w:eastAsia="Calibri"/>
          <w:b/>
          <w:sz w:val="24"/>
          <w:szCs w:val="24"/>
        </w:rPr>
      </w:pPr>
      <w:r w:rsidRPr="00B50F1D">
        <w:rPr>
          <w:rFonts w:eastAsia="Calibri"/>
          <w:b/>
          <w:sz w:val="24"/>
          <w:szCs w:val="24"/>
        </w:rPr>
        <w:t>An Extended Search and Matching Model</w:t>
      </w:r>
    </w:p>
    <w:p w14:paraId="78BB5581" w14:textId="7FDAAD5C" w:rsidR="00AA7A29" w:rsidRDefault="00B50F1D" w:rsidP="00B50F1D">
      <w:pPr>
        <w:spacing w:after="200" w:line="276" w:lineRule="auto"/>
        <w:ind w:firstLine="720"/>
        <w:rPr>
          <w:rFonts w:eastAsia="Calibri"/>
          <w:sz w:val="24"/>
          <w:szCs w:val="24"/>
        </w:rPr>
      </w:pPr>
      <w:r w:rsidRPr="00B50F1D">
        <w:rPr>
          <w:rFonts w:eastAsia="Calibri"/>
          <w:sz w:val="24"/>
          <w:szCs w:val="24"/>
        </w:rPr>
        <w:t>We extend and adapt Wheaton’s (1990) model to allow for multiple regions</w:t>
      </w:r>
      <w:r w:rsidR="00032CA6">
        <w:rPr>
          <w:rFonts w:eastAsia="Calibri"/>
          <w:sz w:val="24"/>
          <w:szCs w:val="24"/>
        </w:rPr>
        <w:t xml:space="preserve"> and migration between these regions</w:t>
      </w:r>
      <w:r w:rsidRPr="00B50F1D">
        <w:rPr>
          <w:rFonts w:eastAsia="Calibri"/>
          <w:sz w:val="24"/>
          <w:szCs w:val="24"/>
        </w:rPr>
        <w:t>.</w:t>
      </w:r>
      <w:r w:rsidRPr="00B50F1D">
        <w:rPr>
          <w:rFonts w:eastAsia="Calibri"/>
          <w:sz w:val="24"/>
          <w:szCs w:val="24"/>
          <w:vertAlign w:val="superscript"/>
        </w:rPr>
        <w:footnoteReference w:id="10"/>
      </w:r>
      <w:r w:rsidRPr="00B50F1D">
        <w:rPr>
          <w:rFonts w:eastAsia="Calibri"/>
          <w:sz w:val="24"/>
          <w:szCs w:val="24"/>
        </w:rPr>
        <w:t xml:space="preserve">  One change is to incorporate an interactive aspect in which those attempting to buy and sell vacant homes of a given type (i.e., in one region) take the actions of all others (i.e., in other regions) as given. To accomplish </w:t>
      </w:r>
      <w:proofErr w:type="gramStart"/>
      <w:r w:rsidRPr="00B50F1D">
        <w:rPr>
          <w:rFonts w:eastAsia="Calibri"/>
          <w:sz w:val="24"/>
          <w:szCs w:val="24"/>
        </w:rPr>
        <w:t>this</w:t>
      </w:r>
      <w:proofErr w:type="gramEnd"/>
      <w:r w:rsidRPr="00B50F1D">
        <w:rPr>
          <w:rFonts w:eastAsia="Calibri"/>
          <w:sz w:val="24"/>
          <w:szCs w:val="24"/>
        </w:rPr>
        <w:t xml:space="preserve"> we modify the previous definitions to focus on two regions (or one region, </w:t>
      </w:r>
      <m:oMath>
        <m:r>
          <w:rPr>
            <w:rFonts w:ascii="Cambria Math" w:eastAsia="Calibri" w:hAnsi="Cambria Math"/>
            <w:sz w:val="24"/>
            <w:szCs w:val="24"/>
          </w:rPr>
          <m:t>i</m:t>
        </m:r>
      </m:oMath>
      <w:r w:rsidRPr="00B50F1D">
        <w:rPr>
          <w:rFonts w:eastAsia="Calibri"/>
          <w:sz w:val="24"/>
          <w:szCs w:val="24"/>
        </w:rPr>
        <w:t xml:space="preserve">, and the rest of the country, </w:t>
      </w:r>
      <m:oMath>
        <m:r>
          <w:rPr>
            <w:rFonts w:ascii="Cambria Math" w:eastAsia="Calibri" w:hAnsi="Cambria Math"/>
            <w:sz w:val="24"/>
            <w:szCs w:val="24"/>
          </w:rPr>
          <m:t>j</m:t>
        </m:r>
      </m:oMath>
      <w:r w:rsidRPr="00B50F1D">
        <w:rPr>
          <w:rFonts w:eastAsia="Calibri"/>
          <w:sz w:val="24"/>
          <w:szCs w:val="24"/>
        </w:rPr>
        <w:t>), rather than on households in one region. A second adaptation is allowing for multiple vacancy regimes, denoted by subscripts on the model structural parameters.</w:t>
      </w:r>
    </w:p>
    <w:p w14:paraId="26939D3C" w14:textId="4141E084"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lastRenderedPageBreak/>
        <w:t xml:space="preserve">We also consider a different notion of “mismatch” than in Wheaton (1990). Rather than mismatches due to owning a house that is inappropriately sized for a given household (i.e., a single individual owns a large house or a family owns a small house), in our context mismatches are associated with a desire to migrate to one region, but owning a home in the region of origin. Thus, a geographic mismatch underlies the housing mismatch.  As a result, </w:t>
      </w:r>
      <m:oMath>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i,t</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HD</m:t>
            </m:r>
          </m:e>
          <m:sub>
            <m:r>
              <w:rPr>
                <w:rFonts w:ascii="Cambria Math" w:eastAsia="Calibri" w:hAnsi="Cambria Math"/>
                <w:sz w:val="24"/>
                <w:szCs w:val="24"/>
              </w:rPr>
              <m:t>i,t</m:t>
            </m:r>
          </m:sub>
        </m:sSub>
        <m:r>
          <w:rPr>
            <w:rFonts w:ascii="Cambria Math" w:eastAsia="Calibri" w:hAnsi="Cambria Math"/>
            <w:sz w:val="24"/>
            <w:szCs w:val="24"/>
          </w:rPr>
          <m:t xml:space="preserve">, </m:t>
        </m:r>
      </m:oMath>
      <w:r w:rsidRPr="00B50F1D">
        <w:rPr>
          <w:rFonts w:eastAsia="Calibri"/>
          <w:sz w:val="24"/>
          <w:szCs w:val="24"/>
        </w:rPr>
        <w:t xml:space="preserve">and </w:t>
      </w:r>
      <m:oMath>
        <m:sSub>
          <m:sSubPr>
            <m:ctrlPr>
              <w:rPr>
                <w:rFonts w:ascii="Cambria Math" w:eastAsia="Calibri" w:hAnsi="Cambria Math"/>
                <w:i/>
              </w:rPr>
            </m:ctrlPr>
          </m:sSubPr>
          <m:e>
            <m:r>
              <w:rPr>
                <w:rFonts w:ascii="Cambria Math" w:eastAsia="Calibri" w:hAnsi="Cambria Math"/>
                <w:sz w:val="24"/>
                <w:szCs w:val="24"/>
              </w:rPr>
              <m:t>HM</m:t>
            </m:r>
          </m:e>
          <m:sub>
            <m:r>
              <w:rPr>
                <w:rFonts w:ascii="Cambria Math" w:eastAsia="Calibri" w:hAnsi="Cambria Math"/>
                <w:sz w:val="24"/>
                <w:szCs w:val="24"/>
              </w:rPr>
              <m:t>i,t</m:t>
            </m:r>
          </m:sub>
        </m:sSub>
      </m:oMath>
      <w:r w:rsidRPr="00B50F1D">
        <w:rPr>
          <w:rFonts w:eastAsia="Calibri"/>
          <w:sz w:val="24"/>
          <w:szCs w:val="24"/>
        </w:rPr>
        <w:t xml:space="preserve"> are respectively those who live in region </w:t>
      </w:r>
      <m:oMath>
        <m:r>
          <w:rPr>
            <w:rFonts w:ascii="Cambria Math" w:eastAsia="Calibri" w:hAnsi="Cambria Math"/>
            <w:sz w:val="24"/>
            <w:szCs w:val="24"/>
          </w:rPr>
          <m:t>j</m:t>
        </m:r>
      </m:oMath>
      <w:r w:rsidRPr="00B50F1D">
        <w:rPr>
          <w:rFonts w:eastAsia="Calibri"/>
          <w:sz w:val="24"/>
          <w:szCs w:val="24"/>
        </w:rPr>
        <w:t xml:space="preserve"> and want to migrate to region </w:t>
      </w:r>
      <m:oMath>
        <m:r>
          <w:rPr>
            <w:rFonts w:ascii="Cambria Math" w:eastAsia="Calibri" w:hAnsi="Cambria Math"/>
            <w:sz w:val="24"/>
            <w:szCs w:val="24"/>
          </w:rPr>
          <m:t>i</m:t>
        </m:r>
      </m:oMath>
      <w:r w:rsidRPr="00B50F1D">
        <w:rPr>
          <w:rFonts w:eastAsia="Calibri"/>
          <w:sz w:val="24"/>
          <w:szCs w:val="24"/>
        </w:rPr>
        <w:t xml:space="preserve"> at a point in time; those who happily live in region </w:t>
      </w:r>
      <m:oMath>
        <m:r>
          <w:rPr>
            <w:rFonts w:ascii="Cambria Math" w:eastAsia="Calibri" w:hAnsi="Cambria Math"/>
            <w:sz w:val="24"/>
            <w:szCs w:val="24"/>
          </w:rPr>
          <m:t>i</m:t>
        </m:r>
      </m:oMath>
      <w:r w:rsidRPr="00B50F1D">
        <w:rPr>
          <w:rFonts w:eastAsia="Calibri"/>
          <w:sz w:val="24"/>
          <w:szCs w:val="24"/>
        </w:rPr>
        <w:t xml:space="preserve"> at a point in time, but still have a vacant home in region </w:t>
      </w:r>
      <m:oMath>
        <m:r>
          <w:rPr>
            <w:rFonts w:ascii="Cambria Math" w:eastAsia="Calibri" w:hAnsi="Cambria Math"/>
            <w:sz w:val="24"/>
            <w:szCs w:val="24"/>
          </w:rPr>
          <m:t>j</m:t>
        </m:r>
      </m:oMath>
      <w:r w:rsidRPr="00B50F1D">
        <w:rPr>
          <w:rFonts w:eastAsia="Calibri"/>
          <w:sz w:val="24"/>
          <w:szCs w:val="24"/>
        </w:rPr>
        <w:t>; and those who happily live in region i at a point in time.</w:t>
      </w:r>
      <w:r w:rsidR="00057117">
        <w:rPr>
          <w:rFonts w:eastAsia="Calibri"/>
          <w:sz w:val="24"/>
          <w:szCs w:val="24"/>
        </w:rPr>
        <w:t xml:space="preserve"> Note that in other parts of this paper, we refer to </w:t>
      </w:r>
      <m:oMath>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j</m:t>
            </m:r>
          </m:sub>
        </m:sSub>
      </m:oMath>
      <w:r w:rsidR="002C3C26">
        <w:rPr>
          <w:rFonts w:eastAsia="Calibri"/>
          <w:sz w:val="24"/>
          <w:szCs w:val="24"/>
        </w:rPr>
        <w:t xml:space="preserve">, which denotes </w:t>
      </w:r>
      <w:r w:rsidR="002C3C26" w:rsidRPr="00B50F1D">
        <w:rPr>
          <w:rFonts w:eastAsia="Calibri"/>
          <w:sz w:val="24"/>
          <w:szCs w:val="24"/>
        </w:rPr>
        <w:t xml:space="preserve">people wanting to move out of region </w:t>
      </w:r>
      <m:oMath>
        <m:r>
          <w:rPr>
            <w:rFonts w:ascii="Cambria Math" w:eastAsia="Calibri" w:hAnsi="Cambria Math"/>
            <w:sz w:val="24"/>
            <w:szCs w:val="24"/>
          </w:rPr>
          <m:t>i</m:t>
        </m:r>
      </m:oMath>
      <w:r w:rsidR="002C3C26">
        <w:rPr>
          <w:rFonts w:eastAsia="Calibri"/>
          <w:sz w:val="24"/>
          <w:szCs w:val="24"/>
        </w:rPr>
        <w:t xml:space="preserve"> and into region </w:t>
      </w:r>
      <m:oMath>
        <m:r>
          <w:rPr>
            <w:rFonts w:ascii="Cambria Math" w:eastAsia="Calibri" w:hAnsi="Cambria Math"/>
            <w:sz w:val="24"/>
            <w:szCs w:val="24"/>
          </w:rPr>
          <m:t>j</m:t>
        </m:r>
      </m:oMath>
      <w:r w:rsidR="002C3C26">
        <w:rPr>
          <w:rFonts w:eastAsia="Calibri"/>
          <w:sz w:val="24"/>
          <w:szCs w:val="24"/>
        </w:rPr>
        <w:t xml:space="preserve">; and similarly, </w:t>
      </w:r>
      <m:oMath>
        <m:sSub>
          <m:sSubPr>
            <m:ctrlPr>
              <w:rPr>
                <w:rFonts w:ascii="Cambria Math" w:eastAsia="Calibri" w:hAnsi="Cambria Math"/>
                <w:i/>
              </w:rPr>
            </m:ctrlPr>
          </m:sSubPr>
          <m:e>
            <m:r>
              <w:rPr>
                <w:rFonts w:ascii="Cambria Math" w:eastAsia="Calibri" w:hAnsi="Cambria Math"/>
                <w:sz w:val="24"/>
                <w:szCs w:val="24"/>
              </w:rPr>
              <m:t>HM</m:t>
            </m:r>
          </m:e>
          <m:sub>
            <m:r>
              <w:rPr>
                <w:rFonts w:ascii="Cambria Math" w:eastAsia="Calibri" w:hAnsi="Cambria Math"/>
                <w:sz w:val="24"/>
                <w:szCs w:val="24"/>
              </w:rPr>
              <m:t>j</m:t>
            </m:r>
          </m:sub>
        </m:sSub>
      </m:oMath>
      <w:r w:rsidR="007F750B">
        <w:rPr>
          <w:rFonts w:eastAsia="Calibri"/>
        </w:rPr>
        <w:t xml:space="preserve"> </w:t>
      </w:r>
      <w:r w:rsidR="007F750B" w:rsidRPr="00AA7A29">
        <w:rPr>
          <w:rFonts w:eastAsia="Calibri"/>
          <w:sz w:val="24"/>
          <w:szCs w:val="24"/>
        </w:rPr>
        <w:t xml:space="preserve">as individuals living happily in region </w:t>
      </w:r>
      <m:oMath>
        <m:r>
          <w:rPr>
            <w:rFonts w:ascii="Cambria Math" w:eastAsia="Calibri" w:hAnsi="Cambria Math"/>
            <w:sz w:val="24"/>
            <w:szCs w:val="24"/>
          </w:rPr>
          <m:t>j</m:t>
        </m:r>
      </m:oMath>
      <w:r w:rsidR="007F750B" w:rsidRPr="00AA7A29">
        <w:rPr>
          <w:rFonts w:eastAsia="Calibri"/>
          <w:sz w:val="24"/>
          <w:szCs w:val="24"/>
        </w:rPr>
        <w:t xml:space="preserve"> who do not desire to migrate to region </w:t>
      </w:r>
      <m:oMath>
        <m:r>
          <w:rPr>
            <w:rFonts w:ascii="Cambria Math" w:eastAsia="Calibri" w:hAnsi="Cambria Math"/>
            <w:sz w:val="24"/>
            <w:szCs w:val="24"/>
          </w:rPr>
          <m:t>i</m:t>
        </m:r>
      </m:oMath>
      <w:r w:rsidR="007F750B" w:rsidRPr="00AA7A29">
        <w:rPr>
          <w:rFonts w:eastAsia="Calibri"/>
          <w:sz w:val="24"/>
          <w:szCs w:val="24"/>
        </w:rPr>
        <w:t>.</w:t>
      </w:r>
      <w:r w:rsidRPr="007F750B">
        <w:rPr>
          <w:rFonts w:eastAsia="Calibri"/>
          <w:sz w:val="24"/>
          <w:szCs w:val="24"/>
        </w:rPr>
        <w:t xml:space="preserve"> </w:t>
      </w:r>
      <w:r w:rsidRPr="00B50F1D">
        <w:rPr>
          <w:rFonts w:eastAsia="Calibri"/>
          <w:sz w:val="24"/>
          <w:szCs w:val="24"/>
        </w:rPr>
        <w:t xml:space="preserve">Also, </w:t>
      </w:r>
      <m:oMath>
        <m:sSub>
          <m:sSubPr>
            <m:ctrlPr>
              <w:rPr>
                <w:rFonts w:ascii="Cambria Math" w:eastAsia="Calibri" w:hAnsi="Cambria Math"/>
                <w:i/>
                <w:sz w:val="24"/>
                <w:szCs w:val="24"/>
              </w:rPr>
            </m:ctrlPr>
          </m:sSubPr>
          <m:e>
            <m:r>
              <w:rPr>
                <w:rFonts w:ascii="Cambria Math" w:eastAsia="Calibri" w:hAnsi="Cambria Math"/>
                <w:sz w:val="24"/>
                <w:szCs w:val="24"/>
              </w:rPr>
              <m:t>q</m:t>
            </m:r>
          </m:e>
          <m:sub>
            <m:r>
              <w:rPr>
                <w:rFonts w:ascii="Cambria Math" w:eastAsia="Calibri" w:hAnsi="Cambria Math"/>
                <w:sz w:val="24"/>
                <w:szCs w:val="24"/>
              </w:rPr>
              <m:t>s,i</m:t>
            </m:r>
          </m:sub>
        </m:sSub>
        <m:r>
          <w:rPr>
            <w:rFonts w:ascii="Cambria Math" w:eastAsia="Calibri" w:hAnsi="Cambria Math"/>
            <w:sz w:val="24"/>
            <w:szCs w:val="24"/>
          </w:rPr>
          <m:t xml:space="preserve"> </m:t>
        </m:r>
      </m:oMath>
      <w:r w:rsidRPr="00B50F1D">
        <w:rPr>
          <w:rFonts w:eastAsia="Calibri"/>
          <w:sz w:val="24"/>
          <w:szCs w:val="24"/>
        </w:rPr>
        <w:t xml:space="preserve">is the probability of sale for a vacant region </w:t>
      </w:r>
      <m:oMath>
        <m:r>
          <w:rPr>
            <w:rFonts w:ascii="Cambria Math" w:eastAsia="Calibri" w:hAnsi="Cambria Math"/>
            <w:sz w:val="24"/>
            <w:szCs w:val="24"/>
          </w:rPr>
          <m:t xml:space="preserve">i </m:t>
        </m:r>
      </m:oMath>
      <w:r w:rsidRPr="00B50F1D">
        <w:rPr>
          <w:rFonts w:eastAsia="Calibri"/>
          <w:sz w:val="24"/>
          <w:szCs w:val="24"/>
        </w:rPr>
        <w:t xml:space="preserve">house in regime </w:t>
      </w:r>
      <m:oMath>
        <m:r>
          <w:rPr>
            <w:rFonts w:ascii="Cambria Math" w:eastAsia="Calibri" w:hAnsi="Cambria Math"/>
            <w:sz w:val="24"/>
            <w:szCs w:val="24"/>
          </w:rPr>
          <m:t>s</m:t>
        </m:r>
      </m:oMath>
      <w:r w:rsidRPr="00B50F1D">
        <w:rPr>
          <w:rFonts w:eastAsia="Calibri"/>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s,i</m:t>
            </m:r>
          </m:sub>
        </m:sSub>
      </m:oMath>
      <w:r w:rsidRPr="00B50F1D">
        <w:rPr>
          <w:rFonts w:eastAsia="Calibri"/>
          <w:sz w:val="24"/>
          <w:szCs w:val="24"/>
        </w:rPr>
        <w:t xml:space="preserve"> is the probability of a mismatched household finding a region </w:t>
      </w:r>
      <m:oMath>
        <m:r>
          <w:rPr>
            <w:rFonts w:ascii="Cambria Math" w:eastAsia="Calibri" w:hAnsi="Cambria Math"/>
            <w:sz w:val="24"/>
            <w:szCs w:val="24"/>
          </w:rPr>
          <m:t>i</m:t>
        </m:r>
      </m:oMath>
      <w:r w:rsidRPr="00B50F1D">
        <w:rPr>
          <w:rFonts w:eastAsia="Calibri"/>
          <w:sz w:val="24"/>
          <w:szCs w:val="24"/>
        </w:rPr>
        <w:t xml:space="preserve"> home to purchase in regime </w:t>
      </w:r>
      <m:oMath>
        <m:r>
          <w:rPr>
            <w:rFonts w:ascii="Cambria Math" w:eastAsia="Calibri" w:hAnsi="Cambria Math"/>
            <w:sz w:val="24"/>
            <w:szCs w:val="24"/>
          </w:rPr>
          <m:t>s</m:t>
        </m:r>
      </m:oMath>
      <w:r w:rsidRPr="00B50F1D">
        <w:rPr>
          <w:rFonts w:eastAsia="Calibri"/>
          <w:sz w:val="24"/>
          <w:szCs w:val="24"/>
        </w:rPr>
        <w:t xml:space="preserve">, and </w:t>
      </w:r>
      <m:oMath>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s,i</m:t>
            </m:r>
          </m:sub>
        </m:sSub>
      </m:oMath>
      <w:r w:rsidRPr="00B50F1D">
        <w:rPr>
          <w:rFonts w:eastAsia="Times New Roman"/>
          <w:sz w:val="24"/>
          <w:szCs w:val="24"/>
        </w:rPr>
        <w:t xml:space="preserve"> is the transition rate from preferring region </w:t>
      </w:r>
      <m:oMath>
        <m:r>
          <w:rPr>
            <w:rFonts w:ascii="Cambria Math" w:eastAsia="Times New Roman" w:hAnsi="Cambria Math"/>
            <w:sz w:val="24"/>
            <w:szCs w:val="24"/>
          </w:rPr>
          <m:t>i</m:t>
        </m:r>
      </m:oMath>
      <w:r w:rsidRPr="00B50F1D">
        <w:rPr>
          <w:rFonts w:eastAsia="Times New Roman"/>
          <w:sz w:val="24"/>
          <w:szCs w:val="24"/>
        </w:rPr>
        <w:t xml:space="preserve"> to preferring region </w:t>
      </w:r>
      <m:oMath>
        <m:r>
          <w:rPr>
            <w:rFonts w:ascii="Cambria Math" w:eastAsia="Times New Roman" w:hAnsi="Cambria Math"/>
            <w:sz w:val="24"/>
            <w:szCs w:val="24"/>
          </w:rPr>
          <m:t>j</m:t>
        </m:r>
      </m:oMath>
      <w:r w:rsidRPr="00B50F1D">
        <w:rPr>
          <w:rFonts w:eastAsia="Times New Roman"/>
          <w:sz w:val="24"/>
          <w:szCs w:val="24"/>
        </w:rPr>
        <w:t xml:space="preserve"> in regime </w:t>
      </w:r>
      <m:oMath>
        <m:r>
          <w:rPr>
            <w:rFonts w:ascii="Cambria Math" w:eastAsia="Times New Roman" w:hAnsi="Cambria Math"/>
            <w:sz w:val="24"/>
            <w:szCs w:val="24"/>
          </w:rPr>
          <m:t>s</m:t>
        </m:r>
      </m:oMath>
      <w:r w:rsidRPr="00B50F1D">
        <w:rPr>
          <w:rFonts w:eastAsia="Calibri"/>
          <w:sz w:val="24"/>
          <w:szCs w:val="24"/>
        </w:rPr>
        <w:t>.  Given the focus on “mismatched” households, together with the desire of these people to become matched, the mechanism by which vacancies in a particular region are determined is through</w:t>
      </w:r>
      <w:r w:rsidR="00AA7A29">
        <w:rPr>
          <w:rFonts w:eastAsia="Calibri"/>
          <w:sz w:val="24"/>
          <w:szCs w:val="24"/>
        </w:rPr>
        <w:t xml:space="preserve"> </w:t>
      </w:r>
      <w:r w:rsidRPr="00B50F1D">
        <w:rPr>
          <w:rFonts w:eastAsia="Calibri"/>
          <w:sz w:val="24"/>
          <w:szCs w:val="24"/>
        </w:rPr>
        <w:t>migration between regions. This is demonstrated in more detail below.</w:t>
      </w:r>
    </w:p>
    <w:p w14:paraId="0803CB5C" w14:textId="71A13129"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We have added time subscripts (denoted as t) to our variables and regime (or state) subscripts (denoted as s) to the parameters in equations (3) and (4). We additionally assume that all homes are owned by the market participants we explicitly consider in the model, which leads to </w:t>
      </w:r>
      <m:oMath>
        <m:sSub>
          <m:sSubPr>
            <m:ctrlPr>
              <w:rPr>
                <w:rFonts w:ascii="Cambria Math" w:eastAsia="Calibri" w:hAnsi="Cambria Math"/>
                <w:i/>
              </w:rPr>
            </m:ctrlPr>
          </m:sSubPr>
          <m:e>
            <m:r>
              <w:rPr>
                <w:rFonts w:ascii="Cambria Math" w:eastAsia="Calibri" w:hAnsi="Cambria Math"/>
                <w:sz w:val="24"/>
                <w:szCs w:val="24"/>
              </w:rPr>
              <m:t>V</m:t>
            </m:r>
          </m:e>
          <m:sub>
            <m:r>
              <w:rPr>
                <w:rFonts w:ascii="Cambria Math" w:eastAsia="Calibri" w:hAnsi="Cambria Math"/>
                <w:sz w:val="24"/>
                <w:szCs w:val="24"/>
              </w:rPr>
              <m:t>i,t</m:t>
            </m:r>
          </m:sub>
        </m:sSub>
      </m:oMath>
      <w:r w:rsidRPr="00B50F1D">
        <w:rPr>
          <w:rFonts w:eastAsia="Calibri"/>
          <w:sz w:val="24"/>
          <w:szCs w:val="24"/>
        </w:rPr>
        <w:t xml:space="preserve"> </w:t>
      </w:r>
      <m:oMath>
        <m:r>
          <w:rPr>
            <w:rFonts w:ascii="Cambria Math" w:eastAsia="Calibri" w:hAnsi="Cambria Math"/>
            <w:sz w:val="24"/>
            <w:szCs w:val="24"/>
          </w:rPr>
          <m:t>=</m:t>
        </m:r>
        <m:sSub>
          <m:sSubPr>
            <m:ctrlPr>
              <w:rPr>
                <w:rFonts w:ascii="Cambria Math" w:eastAsia="Calibri" w:hAnsi="Cambria Math"/>
                <w:i/>
              </w:rPr>
            </m:ctrlPr>
          </m:sSubPr>
          <m:e>
            <m:r>
              <w:rPr>
                <w:rFonts w:ascii="Cambria Math" w:eastAsia="Calibri" w:hAnsi="Cambria Math"/>
                <w:sz w:val="24"/>
                <w:szCs w:val="24"/>
              </w:rPr>
              <m:t>HD</m:t>
            </m:r>
          </m:e>
          <m:sub>
            <m:r>
              <w:rPr>
                <w:rFonts w:ascii="Cambria Math" w:eastAsia="Calibri" w:hAnsi="Cambria Math"/>
                <w:sz w:val="24"/>
                <w:szCs w:val="24"/>
              </w:rPr>
              <m:t>j,t</m:t>
            </m:r>
          </m:sub>
        </m:sSub>
        <m:r>
          <w:rPr>
            <w:rFonts w:ascii="Cambria Math" w:eastAsia="Calibri" w:hAnsi="Cambria Math"/>
          </w:rPr>
          <m:t xml:space="preserve"> </m:t>
        </m:r>
      </m:oMath>
      <w:r w:rsidRPr="00B50F1D">
        <w:rPr>
          <w:rFonts w:eastAsia="Times New Roman"/>
          <w:sz w:val="24"/>
          <w:szCs w:val="24"/>
        </w:rPr>
        <w:t xml:space="preserve">because the only vacant homes in region </w:t>
      </w:r>
      <m:oMath>
        <m:r>
          <w:rPr>
            <w:rFonts w:ascii="Cambria Math" w:eastAsia="Times New Roman" w:hAnsi="Cambria Math"/>
            <w:sz w:val="24"/>
            <w:szCs w:val="24"/>
          </w:rPr>
          <m:t>i</m:t>
        </m:r>
      </m:oMath>
      <w:r w:rsidRPr="00B50F1D">
        <w:rPr>
          <w:rFonts w:eastAsia="Times New Roman"/>
          <w:sz w:val="24"/>
          <w:szCs w:val="24"/>
        </w:rPr>
        <w:t xml:space="preserve"> would be owned by those who have migrated to region j but still own a home in region </w:t>
      </w:r>
      <m:oMath>
        <m:r>
          <w:rPr>
            <w:rFonts w:ascii="Cambria Math" w:eastAsia="Times New Roman" w:hAnsi="Cambria Math"/>
            <w:sz w:val="24"/>
            <w:szCs w:val="24"/>
          </w:rPr>
          <m:t>i</m:t>
        </m:r>
      </m:oMath>
      <w:r w:rsidRPr="00B50F1D">
        <w:rPr>
          <w:rFonts w:eastAsia="Times New Roman"/>
          <w:sz w:val="24"/>
          <w:szCs w:val="24"/>
        </w:rPr>
        <w:t>. The additions and assumption</w:t>
      </w:r>
      <w:r w:rsidRPr="00B50F1D">
        <w:rPr>
          <w:rFonts w:eastAsia="Calibri"/>
          <w:sz w:val="24"/>
          <w:szCs w:val="24"/>
        </w:rPr>
        <w:t xml:space="preserve"> yield:</w:t>
      </w:r>
    </w:p>
    <w:p w14:paraId="149D439E" w14:textId="174F0BFC" w:rsidR="00B50F1D" w:rsidRPr="00B50F1D" w:rsidRDefault="00B50F1D" w:rsidP="00D3749F">
      <w:pPr>
        <w:spacing w:after="200" w:line="276" w:lineRule="auto"/>
        <w:ind w:left="720" w:hanging="360"/>
        <w:rPr>
          <w:rFonts w:eastAsia="Calibri"/>
          <w:sz w:val="24"/>
          <w:szCs w:val="24"/>
        </w:rPr>
      </w:pPr>
      <w:r w:rsidRPr="00B50F1D">
        <w:rPr>
          <w:rFonts w:eastAsia="Calibri"/>
          <w:sz w:val="24"/>
          <w:szCs w:val="24"/>
        </w:rPr>
        <w:t>(3’)</w:t>
      </w:r>
      <w:r w:rsidR="00814123">
        <w:rPr>
          <w:rFonts w:eastAsia="Calibri"/>
          <w:sz w:val="24"/>
          <w:szCs w:val="24"/>
        </w:rPr>
        <w:t xml:space="preserve"> </w:t>
      </w:r>
      <w:r w:rsidRPr="00B50F1D">
        <w:rPr>
          <w:rFonts w:eastAsia="Calibri"/>
          <w:sz w:val="24"/>
          <w:szCs w:val="24"/>
        </w:rPr>
        <w:t xml:space="preserve"> </w:t>
      </w:r>
      <m:oMath>
        <m:d>
          <m:dPr>
            <m:ctrlPr>
              <w:rPr>
                <w:rFonts w:ascii="Cambria Math" w:eastAsia="Calibri" w:hAnsi="Cambria Math"/>
                <w:i/>
                <w:sz w:val="24"/>
                <w:szCs w:val="24"/>
              </w:rPr>
            </m:ctrlPr>
          </m:dPr>
          <m:e>
            <m:sSub>
              <m:sSubPr>
                <m:ctrlPr>
                  <w:rPr>
                    <w:rFonts w:ascii="Cambria Math" w:eastAsia="Calibri" w:hAnsi="Cambria Math"/>
                    <w:i/>
                  </w:rPr>
                </m:ctrlPr>
              </m:sSubPr>
              <m:e>
                <m:r>
                  <w:rPr>
                    <w:rFonts w:ascii="Cambria Math" w:eastAsia="Calibri" w:hAnsi="Cambria Math"/>
                    <w:sz w:val="24"/>
                    <w:szCs w:val="24"/>
                  </w:rPr>
                  <m:t>HM</m:t>
                </m:r>
              </m:e>
              <m:sub>
                <m:r>
                  <w:rPr>
                    <w:rFonts w:ascii="Cambria Math" w:eastAsia="Calibri" w:hAnsi="Cambria Math"/>
                    <w:sz w:val="24"/>
                    <w:szCs w:val="24"/>
                  </w:rPr>
                  <m:t>i,t</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HM</m:t>
                </m:r>
              </m:e>
              <m:sub>
                <m:r>
                  <w:rPr>
                    <w:rFonts w:ascii="Cambria Math" w:eastAsia="Calibri" w:hAnsi="Cambria Math"/>
                    <w:sz w:val="24"/>
                    <w:szCs w:val="24"/>
                  </w:rPr>
                  <m:t>i,t-1</m:t>
                </m:r>
              </m:sub>
            </m:sSub>
          </m:e>
        </m:d>
        <m:r>
          <w:rPr>
            <w:rFonts w:ascii="Cambria Math" w:eastAsia="Calibri" w:hAnsi="Cambria Math"/>
            <w:sz w:val="24"/>
            <w:szCs w:val="24"/>
          </w:rPr>
          <m:t xml:space="preserve"> =-</m:t>
        </m:r>
        <m:d>
          <m:dPr>
            <m:ctrlPr>
              <w:rPr>
                <w:rFonts w:ascii="Cambria Math" w:eastAsia="Calibri" w:hAnsi="Cambria Math"/>
                <w:i/>
                <w:sz w:val="24"/>
                <w:szCs w:val="24"/>
              </w:rPr>
            </m:ctrlPr>
          </m:dPr>
          <m:e>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i,t</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i,t-1</m:t>
                </m:r>
              </m:sub>
            </m:sSub>
            <m:ctrlPr>
              <w:rPr>
                <w:rFonts w:ascii="Cambria Math" w:eastAsia="Calibri" w:hAnsi="Cambria Math"/>
                <w:i/>
              </w:rPr>
            </m:ctrlPr>
          </m:e>
        </m:d>
        <m:r>
          <w:rPr>
            <w:rFonts w:ascii="Cambria Math" w:eastAsia="Calibri" w:hAnsi="Cambria Math"/>
          </w:rPr>
          <m:t>-(</m:t>
        </m:r>
        <m:sSub>
          <m:sSubPr>
            <m:ctrlPr>
              <w:rPr>
                <w:rFonts w:ascii="Cambria Math" w:eastAsia="Calibri" w:hAnsi="Cambria Math"/>
                <w:i/>
              </w:rPr>
            </m:ctrlPr>
          </m:sSubPr>
          <m:e>
            <m:r>
              <w:rPr>
                <w:rFonts w:ascii="Cambria Math" w:eastAsia="Calibri" w:hAnsi="Cambria Math"/>
                <w:sz w:val="24"/>
                <w:szCs w:val="24"/>
              </w:rPr>
              <m:t>V</m:t>
            </m:r>
          </m:e>
          <m:sub>
            <m:r>
              <w:rPr>
                <w:rFonts w:ascii="Cambria Math" w:eastAsia="Calibri" w:hAnsi="Cambria Math"/>
                <w:sz w:val="24"/>
                <w:szCs w:val="24"/>
              </w:rPr>
              <m:t>i,t</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V</m:t>
            </m:r>
          </m:e>
          <m:sub>
            <m:r>
              <w:rPr>
                <w:rFonts w:ascii="Cambria Math" w:eastAsia="Calibri" w:hAnsi="Cambria Math"/>
                <w:sz w:val="24"/>
                <w:szCs w:val="24"/>
              </w:rPr>
              <m:t>i,t-1</m:t>
            </m:r>
          </m:sub>
        </m:sSub>
        <m:r>
          <w:rPr>
            <w:rFonts w:ascii="Cambria Math" w:eastAsia="Calibri" w:hAnsi="Cambria Math"/>
          </w:rPr>
          <m:t>)</m:t>
        </m:r>
      </m:oMath>
    </w:p>
    <w:p w14:paraId="7037CAE7" w14:textId="4E8B88D4" w:rsidR="00B50F1D" w:rsidRPr="00B50F1D" w:rsidRDefault="00B50F1D" w:rsidP="00D3749F">
      <w:pPr>
        <w:spacing w:after="200" w:line="276" w:lineRule="auto"/>
        <w:ind w:left="720" w:hanging="360"/>
        <w:rPr>
          <w:rFonts w:eastAsia="Calibri"/>
          <w:sz w:val="24"/>
          <w:szCs w:val="24"/>
        </w:rPr>
      </w:pPr>
      <w:r w:rsidRPr="00B50F1D">
        <w:rPr>
          <w:rFonts w:eastAsia="Calibri"/>
          <w:sz w:val="24"/>
          <w:szCs w:val="24"/>
        </w:rPr>
        <w:t>(4’)</w:t>
      </w:r>
      <w:r w:rsidR="00814123">
        <w:rPr>
          <w:rFonts w:eastAsia="Calibri"/>
          <w:sz w:val="24"/>
          <w:szCs w:val="24"/>
        </w:rPr>
        <w:t xml:space="preserve">  </w:t>
      </w:r>
      <m:oMath>
        <m:sSub>
          <m:sSubPr>
            <m:ctrlPr>
              <w:rPr>
                <w:rFonts w:ascii="Cambria Math" w:eastAsia="Calibri" w:hAnsi="Cambria Math"/>
                <w:i/>
                <w:sz w:val="28"/>
              </w:rPr>
            </m:ctrlPr>
          </m:sSubPr>
          <m:e>
            <m:sSub>
              <m:sSubPr>
                <m:ctrlPr>
                  <w:rPr>
                    <w:rFonts w:ascii="Cambria Math" w:eastAsia="Calibri" w:hAnsi="Cambria Math"/>
                    <w:i/>
                    <w:sz w:val="28"/>
                    <w:szCs w:val="24"/>
                  </w:rPr>
                </m:ctrlPr>
              </m:sSubPr>
              <m:e>
                <m:r>
                  <w:rPr>
                    <w:rFonts w:ascii="Cambria Math" w:eastAsia="Calibri" w:hAnsi="Cambria Math"/>
                    <w:sz w:val="28"/>
                    <w:szCs w:val="24"/>
                  </w:rPr>
                  <m:t>q</m:t>
                </m:r>
              </m:e>
              <m:sub>
                <m:r>
                  <w:rPr>
                    <w:rFonts w:ascii="Cambria Math" w:eastAsia="Calibri" w:hAnsi="Cambria Math"/>
                    <w:sz w:val="28"/>
                    <w:szCs w:val="24"/>
                  </w:rPr>
                  <m:t>s,i</m:t>
                </m:r>
              </m:sub>
            </m:sSub>
            <m:r>
              <w:rPr>
                <w:rFonts w:ascii="Cambria Math" w:eastAsia="Calibri" w:hAnsi="Cambria Math"/>
                <w:sz w:val="28"/>
                <w:szCs w:val="24"/>
              </w:rPr>
              <m:t>V</m:t>
            </m:r>
          </m:e>
          <m:sub>
            <m:r>
              <w:rPr>
                <w:rFonts w:ascii="Cambria Math" w:eastAsia="Calibri" w:hAnsi="Cambria Math"/>
                <w:sz w:val="28"/>
                <w:szCs w:val="24"/>
              </w:rPr>
              <m:t>i,t</m:t>
            </m:r>
          </m:sub>
        </m:sSub>
        <m:r>
          <w:rPr>
            <w:rFonts w:ascii="Cambria Math" w:eastAsia="Calibri" w:hAnsi="Cambria Math"/>
            <w:sz w:val="28"/>
          </w:rPr>
          <m:t xml:space="preserve">= </m:t>
        </m:r>
        <m:sSub>
          <m:sSubPr>
            <m:ctrlPr>
              <w:rPr>
                <w:rFonts w:ascii="Cambria Math" w:eastAsia="Calibri" w:hAnsi="Cambria Math"/>
                <w:i/>
                <w:sz w:val="28"/>
              </w:rPr>
            </m:ctrlPr>
          </m:sSubPr>
          <m:e>
            <m:sSub>
              <m:sSubPr>
                <m:ctrlPr>
                  <w:rPr>
                    <w:rFonts w:ascii="Cambria Math" w:eastAsia="Calibri" w:hAnsi="Cambria Math"/>
                    <w:i/>
                    <w:sz w:val="28"/>
                    <w:szCs w:val="24"/>
                  </w:rPr>
                </m:ctrlPr>
              </m:sSubPr>
              <m:e>
                <m:r>
                  <w:rPr>
                    <w:rFonts w:ascii="Cambria Math" w:eastAsia="Calibri" w:hAnsi="Cambria Math"/>
                    <w:sz w:val="28"/>
                    <w:szCs w:val="24"/>
                  </w:rPr>
                  <m:t>m</m:t>
                </m:r>
              </m:e>
              <m:sub>
                <m:r>
                  <w:rPr>
                    <w:rFonts w:ascii="Cambria Math" w:eastAsia="Calibri" w:hAnsi="Cambria Math"/>
                    <w:sz w:val="28"/>
                    <w:szCs w:val="24"/>
                  </w:rPr>
                  <m:t>s,i</m:t>
                </m:r>
              </m:sub>
            </m:sSub>
            <m:r>
              <w:rPr>
                <w:rFonts w:ascii="Cambria Math" w:eastAsia="Calibri" w:hAnsi="Cambria Math"/>
                <w:sz w:val="28"/>
                <w:szCs w:val="24"/>
              </w:rPr>
              <m:t>HS</m:t>
            </m:r>
          </m:e>
          <m:sub>
            <m:r>
              <w:rPr>
                <w:rFonts w:ascii="Cambria Math" w:eastAsia="Calibri" w:hAnsi="Cambria Math"/>
                <w:sz w:val="28"/>
                <w:szCs w:val="24"/>
              </w:rPr>
              <m:t>i,t</m:t>
            </m:r>
          </m:sub>
        </m:sSub>
        <m:r>
          <w:rPr>
            <w:rFonts w:ascii="Cambria Math" w:eastAsia="Calibri" w:hAnsi="Cambria Math"/>
            <w:sz w:val="28"/>
          </w:rPr>
          <m:t xml:space="preserve"> </m:t>
        </m:r>
      </m:oMath>
    </w:p>
    <w:p w14:paraId="0E515BFB" w14:textId="03323A09"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Considering the activities of buyers and sellers of vacant homes in region </w:t>
      </w:r>
      <m:oMath>
        <m:r>
          <w:rPr>
            <w:rFonts w:ascii="Cambria Math" w:eastAsia="Calibri" w:hAnsi="Cambria Math"/>
            <w:sz w:val="24"/>
            <w:szCs w:val="24"/>
          </w:rPr>
          <m:t>i</m:t>
        </m:r>
      </m:oMath>
      <w:r w:rsidRPr="00B50F1D">
        <w:rPr>
          <w:rFonts w:eastAsia="Calibri"/>
          <w:sz w:val="24"/>
          <w:szCs w:val="24"/>
        </w:rPr>
        <w:t xml:space="preserve">, we use equations (1) and (2) from above (i.e., Wheaton (1990)), slightly adjusted by adding time (t) and regime or state (s) subscripts and acknowledging that </w:t>
      </w:r>
      <m:oMath>
        <m:sSub>
          <m:sSubPr>
            <m:ctrlPr>
              <w:rPr>
                <w:rFonts w:ascii="Cambria Math" w:eastAsia="Calibri" w:hAnsi="Cambria Math"/>
                <w:i/>
              </w:rPr>
            </m:ctrlPr>
          </m:sSubPr>
          <m:e>
            <m:r>
              <w:rPr>
                <w:rFonts w:ascii="Cambria Math" w:eastAsia="Calibri" w:hAnsi="Cambria Math"/>
                <w:sz w:val="24"/>
                <w:szCs w:val="24"/>
              </w:rPr>
              <m:t>m</m:t>
            </m:r>
          </m:e>
          <m:sub>
            <m:r>
              <w:rPr>
                <w:rFonts w:ascii="Cambria Math" w:eastAsia="Calibri" w:hAnsi="Cambria Math"/>
                <w:sz w:val="24"/>
                <w:szCs w:val="24"/>
              </w:rPr>
              <m:t>s,i</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i,t</m:t>
            </m:r>
          </m:sub>
        </m:sSub>
        <m:r>
          <w:rPr>
            <w:rFonts w:ascii="Cambria Math" w:eastAsia="Calibri" w:hAnsi="Cambria Math"/>
            <w:sz w:val="24"/>
            <w:szCs w:val="24"/>
          </w:rPr>
          <m:t>=</m:t>
        </m:r>
        <m:sSub>
          <m:sSubPr>
            <m:ctrlPr>
              <w:rPr>
                <w:rFonts w:ascii="Cambria Math" w:eastAsia="Calibri" w:hAnsi="Cambria Math"/>
                <w:i/>
              </w:rPr>
            </m:ctrlPr>
          </m:sSubPr>
          <m:e>
            <m:r>
              <w:rPr>
                <w:rFonts w:ascii="Cambria Math" w:eastAsia="Calibri" w:hAnsi="Cambria Math"/>
                <w:sz w:val="24"/>
                <w:szCs w:val="24"/>
              </w:rPr>
              <m:t>q</m:t>
            </m:r>
          </m:e>
          <m:sub>
            <m:r>
              <w:rPr>
                <w:rFonts w:ascii="Cambria Math" w:eastAsia="Calibri" w:hAnsi="Cambria Math"/>
                <w:sz w:val="24"/>
                <w:szCs w:val="24"/>
              </w:rPr>
              <m:t>s,i</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V</m:t>
            </m:r>
          </m:e>
          <m:sub>
            <m:r>
              <w:rPr>
                <w:rFonts w:ascii="Cambria Math" w:eastAsia="Calibri" w:hAnsi="Cambria Math"/>
                <w:sz w:val="24"/>
                <w:szCs w:val="24"/>
              </w:rPr>
              <m:t>i,t</m:t>
            </m:r>
          </m:sub>
        </m:sSub>
        <m:r>
          <w:rPr>
            <w:rFonts w:ascii="Cambria Math" w:eastAsia="Calibri" w:hAnsi="Cambria Math"/>
            <w:sz w:val="24"/>
            <w:szCs w:val="24"/>
          </w:rPr>
          <m:t>=</m:t>
        </m:r>
        <m:sSub>
          <m:sSubPr>
            <m:ctrlPr>
              <w:rPr>
                <w:rFonts w:ascii="Cambria Math" w:eastAsia="Calibri" w:hAnsi="Cambria Math"/>
                <w:i/>
              </w:rPr>
            </m:ctrlPr>
          </m:sSubPr>
          <m:e>
            <m:r>
              <w:rPr>
                <w:rFonts w:ascii="Cambria Math" w:eastAsia="Calibri" w:hAnsi="Cambria Math"/>
                <w:sz w:val="24"/>
                <w:szCs w:val="24"/>
              </w:rPr>
              <m:t>q</m:t>
            </m:r>
          </m:e>
          <m:sub>
            <m:r>
              <w:rPr>
                <w:rFonts w:ascii="Cambria Math" w:eastAsia="Calibri" w:hAnsi="Cambria Math"/>
                <w:sz w:val="24"/>
                <w:szCs w:val="24"/>
              </w:rPr>
              <m:t>s,i</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HD</m:t>
            </m:r>
          </m:e>
          <m:sub>
            <m:r>
              <w:rPr>
                <w:rFonts w:ascii="Cambria Math" w:eastAsia="Calibri" w:hAnsi="Cambria Math"/>
                <w:sz w:val="24"/>
                <w:szCs w:val="24"/>
              </w:rPr>
              <m:t>j,t</m:t>
            </m:r>
          </m:sub>
        </m:sSub>
      </m:oMath>
      <w:r w:rsidRPr="00B50F1D">
        <w:rPr>
          <w:rFonts w:eastAsia="Calibri"/>
          <w:sz w:val="24"/>
          <w:szCs w:val="24"/>
        </w:rPr>
        <w:t>:</w:t>
      </w:r>
      <w:r w:rsidRPr="00B50F1D">
        <w:rPr>
          <w:rFonts w:eastAsia="Calibri"/>
          <w:sz w:val="24"/>
          <w:szCs w:val="24"/>
          <w:vertAlign w:val="superscript"/>
        </w:rPr>
        <w:footnoteReference w:id="11"/>
      </w:r>
      <w:r w:rsidRPr="00B50F1D">
        <w:rPr>
          <w:rFonts w:eastAsia="Calibri"/>
          <w:sz w:val="24"/>
          <w:szCs w:val="24"/>
        </w:rPr>
        <w:t xml:space="preserve"> </w:t>
      </w:r>
    </w:p>
    <w:p w14:paraId="6242667A" w14:textId="77777777" w:rsidR="00B50F1D" w:rsidRPr="00B50F1D" w:rsidRDefault="00B50F1D" w:rsidP="00B50F1D">
      <w:pPr>
        <w:numPr>
          <w:ilvl w:val="0"/>
          <w:numId w:val="1"/>
        </w:numPr>
        <w:spacing w:after="200" w:line="276" w:lineRule="auto"/>
        <w:contextualSpacing/>
        <w:rPr>
          <w:rFonts w:eastAsia="Calibri"/>
          <w:sz w:val="24"/>
          <w:szCs w:val="24"/>
        </w:rPr>
      </w:pPr>
      <m:oMath>
        <m:r>
          <w:rPr>
            <w:rFonts w:ascii="Cambria Math" w:eastAsia="Calibri" w:hAnsi="Cambria Math"/>
            <w:sz w:val="24"/>
            <w:szCs w:val="24"/>
          </w:rPr>
          <m:t xml:space="preserve"> </m:t>
        </m:r>
        <m:acc>
          <m:accPr>
            <m:chr m:val="̇"/>
            <m:ctrlPr>
              <w:rPr>
                <w:rFonts w:ascii="Cambria Math" w:eastAsia="Calibri" w:hAnsi="Cambria Math"/>
                <w:i/>
              </w:rPr>
            </m:ctrlPr>
          </m:accPr>
          <m:e>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i</m:t>
                </m:r>
              </m:sub>
            </m:sSub>
          </m:e>
        </m:acc>
        <m:r>
          <w:rPr>
            <w:rFonts w:ascii="Cambria Math" w:eastAsia="Calibri" w:hAnsi="Cambria Math"/>
            <w:sz w:val="24"/>
            <w:szCs w:val="24"/>
          </w:rPr>
          <m:t xml:space="preserve"> ~ </m:t>
        </m:r>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i,t</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i,t-1</m:t>
            </m:r>
          </m:sub>
        </m:sSub>
        <m:r>
          <w:rPr>
            <w:rFonts w:ascii="Cambria Math" w:eastAsia="Calibri" w:hAnsi="Cambria Math"/>
            <w:sz w:val="24"/>
            <w:szCs w:val="24"/>
          </w:rPr>
          <m:t>=</m:t>
        </m:r>
        <m:sSub>
          <m:sSubPr>
            <m:ctrlPr>
              <w:rPr>
                <w:rFonts w:ascii="Cambria Math" w:eastAsia="Calibri" w:hAnsi="Cambria Math"/>
                <w:i/>
              </w:rPr>
            </m:ctrlPr>
          </m:sSubPr>
          <m:e>
            <m:r>
              <w:rPr>
                <w:rFonts w:ascii="Cambria Math" w:eastAsia="Calibri" w:hAnsi="Cambria Math"/>
                <w:sz w:val="24"/>
                <w:szCs w:val="24"/>
              </w:rPr>
              <m:t>-q</m:t>
            </m:r>
          </m:e>
          <m:sub>
            <m:r>
              <w:rPr>
                <w:rFonts w:ascii="Cambria Math" w:eastAsia="Calibri" w:hAnsi="Cambria Math"/>
                <w:sz w:val="24"/>
                <w:szCs w:val="24"/>
              </w:rPr>
              <m:t>s,i</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HD</m:t>
            </m:r>
          </m:e>
          <m:sub>
            <m:r>
              <w:rPr>
                <w:rFonts w:ascii="Cambria Math" w:eastAsia="Calibri" w:hAnsi="Cambria Math"/>
                <w:sz w:val="24"/>
                <w:szCs w:val="24"/>
              </w:rPr>
              <m:t>j,t</m:t>
            </m:r>
          </m:sub>
        </m:sSub>
        <m:r>
          <w:rPr>
            <w:rFonts w:ascii="Cambria Math" w:eastAsia="Calibri" w:hAnsi="Cambria Math"/>
            <w:sz w:val="24"/>
            <w:szCs w:val="24"/>
          </w:rPr>
          <m:t>-</m:t>
        </m:r>
        <m:sSub>
          <m:sSubPr>
            <m:ctrlPr>
              <w:rPr>
                <w:rFonts w:ascii="Cambria Math" w:eastAsia="Calibri" w:hAnsi="Cambria Math"/>
                <w:i/>
              </w:rPr>
            </m:ctrlPr>
          </m:sSubPr>
          <m:e>
            <m:r>
              <w:rPr>
                <w:rFonts w:ascii="Cambria Math" w:eastAsia="Calibri" w:hAnsi="Cambria Math"/>
                <w:sz w:val="24"/>
                <w:szCs w:val="24"/>
              </w:rPr>
              <m:t>β</m:t>
            </m:r>
          </m:e>
          <m:sub>
            <m:r>
              <w:rPr>
                <w:rFonts w:ascii="Cambria Math" w:eastAsia="Calibri" w:hAnsi="Cambria Math"/>
                <w:sz w:val="24"/>
                <w:szCs w:val="24"/>
              </w:rPr>
              <m:t>s,i</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i,t</m:t>
            </m:r>
          </m:sub>
        </m:sSub>
        <m:r>
          <w:rPr>
            <w:rFonts w:ascii="Cambria Math" w:eastAsia="Calibri" w:hAnsi="Cambria Math"/>
            <w:sz w:val="24"/>
            <w:szCs w:val="24"/>
          </w:rPr>
          <m:t>+</m:t>
        </m:r>
        <m:sSub>
          <m:sSubPr>
            <m:ctrlPr>
              <w:rPr>
                <w:rFonts w:ascii="Cambria Math" w:eastAsia="Calibri" w:hAnsi="Cambria Math"/>
                <w:i/>
              </w:rPr>
            </m:ctrlPr>
          </m:sSubPr>
          <m:e>
            <m:r>
              <w:rPr>
                <w:rFonts w:ascii="Cambria Math" w:eastAsia="Calibri" w:hAnsi="Cambria Math"/>
                <w:sz w:val="24"/>
                <w:szCs w:val="24"/>
              </w:rPr>
              <m:t>β</m:t>
            </m:r>
          </m:e>
          <m:sub>
            <m:r>
              <w:rPr>
                <w:rFonts w:ascii="Cambria Math" w:eastAsia="Calibri" w:hAnsi="Cambria Math"/>
                <w:sz w:val="24"/>
                <w:szCs w:val="24"/>
              </w:rPr>
              <m:t>s,j</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HM</m:t>
            </m:r>
          </m:e>
          <m:sub>
            <m:r>
              <w:rPr>
                <w:rFonts w:ascii="Cambria Math" w:eastAsia="Calibri" w:hAnsi="Cambria Math"/>
                <w:sz w:val="24"/>
                <w:szCs w:val="24"/>
              </w:rPr>
              <m:t>j,t</m:t>
            </m:r>
          </m:sub>
        </m:sSub>
      </m:oMath>
    </w:p>
    <w:p w14:paraId="28623C4D" w14:textId="77777777" w:rsidR="00B50F1D" w:rsidRPr="00B50F1D" w:rsidRDefault="00B50F1D" w:rsidP="00B50F1D">
      <w:pPr>
        <w:spacing w:after="200" w:line="276" w:lineRule="auto"/>
        <w:ind w:left="720"/>
        <w:contextualSpacing/>
        <w:rPr>
          <w:rFonts w:eastAsia="Calibri"/>
          <w:sz w:val="24"/>
          <w:szCs w:val="24"/>
        </w:rPr>
      </w:pPr>
    </w:p>
    <w:p w14:paraId="5BB0119D" w14:textId="0D9B2EA2" w:rsidR="00B50F1D" w:rsidRPr="00B50F1D" w:rsidRDefault="00814123" w:rsidP="00B50F1D">
      <w:pPr>
        <w:numPr>
          <w:ilvl w:val="0"/>
          <w:numId w:val="1"/>
        </w:numPr>
        <w:spacing w:after="200" w:line="276" w:lineRule="auto"/>
        <w:contextualSpacing/>
        <w:rPr>
          <w:rFonts w:eastAsia="Calibri"/>
          <w:sz w:val="24"/>
          <w:szCs w:val="24"/>
        </w:rPr>
      </w:pPr>
      <w:r>
        <w:rPr>
          <w:rFonts w:eastAsia="Calibri"/>
        </w:rPr>
        <w:t xml:space="preserve"> </w:t>
      </w:r>
      <m:oMath>
        <m:acc>
          <m:accPr>
            <m:chr m:val="̇"/>
            <m:ctrlPr>
              <w:rPr>
                <w:rFonts w:ascii="Cambria Math" w:eastAsia="Calibri" w:hAnsi="Cambria Math"/>
                <w:i/>
              </w:rPr>
            </m:ctrlPr>
          </m:accPr>
          <m:e>
            <m:sSub>
              <m:sSubPr>
                <m:ctrlPr>
                  <w:rPr>
                    <w:rFonts w:ascii="Cambria Math" w:eastAsia="Calibri" w:hAnsi="Cambria Math"/>
                    <w:i/>
                  </w:rPr>
                </m:ctrlPr>
              </m:sSubPr>
              <m:e>
                <m:r>
                  <w:rPr>
                    <w:rFonts w:ascii="Cambria Math" w:eastAsia="Calibri" w:hAnsi="Cambria Math"/>
                    <w:sz w:val="24"/>
                    <w:szCs w:val="24"/>
                  </w:rPr>
                  <m:t>V</m:t>
                </m:r>
              </m:e>
              <m:sub>
                <m:r>
                  <w:rPr>
                    <w:rFonts w:ascii="Cambria Math" w:eastAsia="Calibri" w:hAnsi="Cambria Math"/>
                    <w:sz w:val="24"/>
                    <w:szCs w:val="24"/>
                  </w:rPr>
                  <m:t>i</m:t>
                </m:r>
              </m:sub>
            </m:sSub>
          </m:e>
        </m:acc>
        <m:r>
          <w:rPr>
            <w:rFonts w:ascii="Cambria Math" w:eastAsia="Calibri" w:hAnsi="Cambria Math"/>
            <w:sz w:val="24"/>
            <w:szCs w:val="24"/>
          </w:rPr>
          <m:t xml:space="preserve"> ~ </m:t>
        </m:r>
        <m:sSub>
          <m:sSubPr>
            <m:ctrlPr>
              <w:rPr>
                <w:rFonts w:ascii="Cambria Math" w:eastAsia="Calibri" w:hAnsi="Cambria Math"/>
                <w:i/>
              </w:rPr>
            </m:ctrlPr>
          </m:sSubPr>
          <m:e>
            <m:r>
              <w:rPr>
                <w:rFonts w:ascii="Cambria Math" w:eastAsia="Calibri" w:hAnsi="Cambria Math"/>
                <w:sz w:val="24"/>
                <w:szCs w:val="24"/>
              </w:rPr>
              <m:t>V</m:t>
            </m:r>
          </m:e>
          <m:sub>
            <m:r>
              <w:rPr>
                <w:rFonts w:ascii="Cambria Math" w:eastAsia="Calibri" w:hAnsi="Cambria Math"/>
                <w:sz w:val="24"/>
                <w:szCs w:val="24"/>
              </w:rPr>
              <m:t>i,t</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V</m:t>
            </m:r>
          </m:e>
          <m:sub>
            <m:r>
              <w:rPr>
                <w:rFonts w:ascii="Cambria Math" w:eastAsia="Calibri" w:hAnsi="Cambria Math"/>
                <w:sz w:val="24"/>
                <w:szCs w:val="24"/>
              </w:rPr>
              <m:t>i,t-1</m:t>
            </m:r>
          </m:sub>
        </m:sSub>
        <m:r>
          <w:rPr>
            <w:rFonts w:ascii="Cambria Math" w:eastAsia="Calibri" w:hAnsi="Cambria Math"/>
            <w:sz w:val="24"/>
            <w:szCs w:val="24"/>
          </w:rPr>
          <m:t>=-</m:t>
        </m:r>
        <m:sSub>
          <m:sSubPr>
            <m:ctrlPr>
              <w:rPr>
                <w:rFonts w:ascii="Cambria Math" w:eastAsia="Calibri" w:hAnsi="Cambria Math"/>
                <w:i/>
              </w:rPr>
            </m:ctrlPr>
          </m:sSubPr>
          <m:e>
            <m:r>
              <w:rPr>
                <w:rFonts w:ascii="Cambria Math" w:eastAsia="Calibri" w:hAnsi="Cambria Math"/>
                <w:sz w:val="24"/>
                <w:szCs w:val="24"/>
              </w:rPr>
              <m:t>m</m:t>
            </m:r>
          </m:e>
          <m:sub>
            <m:r>
              <w:rPr>
                <w:rFonts w:ascii="Cambria Math" w:eastAsia="Calibri" w:hAnsi="Cambria Math"/>
                <w:sz w:val="24"/>
                <w:szCs w:val="24"/>
              </w:rPr>
              <m:t>s,i</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i,t</m:t>
            </m:r>
          </m:sub>
        </m:sSub>
        <m:r>
          <w:rPr>
            <w:rFonts w:ascii="Cambria Math" w:eastAsia="Calibri" w:hAnsi="Cambria Math"/>
            <w:sz w:val="24"/>
            <w:szCs w:val="24"/>
          </w:rPr>
          <m:t>+</m:t>
        </m:r>
        <m:sSub>
          <m:sSubPr>
            <m:ctrlPr>
              <w:rPr>
                <w:rFonts w:ascii="Cambria Math" w:eastAsia="Calibri" w:hAnsi="Cambria Math"/>
                <w:i/>
              </w:rPr>
            </m:ctrlPr>
          </m:sSubPr>
          <m:e>
            <m:r>
              <w:rPr>
                <w:rFonts w:ascii="Cambria Math" w:eastAsia="Calibri" w:hAnsi="Cambria Math"/>
                <w:sz w:val="24"/>
                <w:szCs w:val="24"/>
              </w:rPr>
              <m:t>m</m:t>
            </m:r>
          </m:e>
          <m:sub>
            <m:r>
              <w:rPr>
                <w:rFonts w:ascii="Cambria Math" w:eastAsia="Calibri" w:hAnsi="Cambria Math"/>
                <w:sz w:val="24"/>
                <w:szCs w:val="24"/>
              </w:rPr>
              <m:t>s,j</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j,t</m:t>
            </m:r>
          </m:sub>
        </m:sSub>
        <m:r>
          <w:rPr>
            <w:rFonts w:ascii="Cambria Math" w:eastAsia="Calibri" w:hAnsi="Cambria Math"/>
            <w:sz w:val="24"/>
            <w:szCs w:val="24"/>
          </w:rPr>
          <m:t>+</m:t>
        </m:r>
        <m:sSub>
          <m:sSubPr>
            <m:ctrlPr>
              <w:rPr>
                <w:rFonts w:ascii="Cambria Math" w:eastAsia="Calibri" w:hAnsi="Cambria Math"/>
                <w:i/>
              </w:rPr>
            </m:ctrlPr>
          </m:sSubPr>
          <m:e>
            <m:r>
              <w:rPr>
                <w:rFonts w:ascii="Cambria Math" w:eastAsia="Calibri" w:hAnsi="Cambria Math"/>
                <w:sz w:val="24"/>
                <w:szCs w:val="24"/>
              </w:rPr>
              <m:t>β</m:t>
            </m:r>
          </m:e>
          <m:sub>
            <m:r>
              <w:rPr>
                <w:rFonts w:ascii="Cambria Math" w:eastAsia="Calibri" w:hAnsi="Cambria Math"/>
                <w:sz w:val="24"/>
                <w:szCs w:val="24"/>
              </w:rPr>
              <m:t>s,i</m:t>
            </m:r>
          </m:sub>
        </m:sSub>
        <m:sSub>
          <m:sSubPr>
            <m:ctrlPr>
              <w:rPr>
                <w:rFonts w:ascii="Cambria Math" w:eastAsia="Calibri" w:hAnsi="Cambria Math"/>
                <w:i/>
              </w:rPr>
            </m:ctrlPr>
          </m:sSubPr>
          <m:e>
            <m:r>
              <w:rPr>
                <w:rFonts w:ascii="Cambria Math" w:eastAsia="Calibri" w:hAnsi="Cambria Math"/>
                <w:sz w:val="24"/>
                <w:szCs w:val="24"/>
              </w:rPr>
              <m:t xml:space="preserve"> HD</m:t>
            </m:r>
          </m:e>
          <m:sub>
            <m:r>
              <w:rPr>
                <w:rFonts w:ascii="Cambria Math" w:eastAsia="Calibri" w:hAnsi="Cambria Math"/>
                <w:sz w:val="24"/>
                <w:szCs w:val="24"/>
              </w:rPr>
              <m:t>i,t</m:t>
            </m:r>
          </m:sub>
        </m:sSub>
        <m:r>
          <w:rPr>
            <w:rFonts w:ascii="Cambria Math" w:eastAsia="Calibri" w:hAnsi="Cambria Math"/>
            <w:sz w:val="24"/>
            <w:szCs w:val="24"/>
          </w:rPr>
          <m:t>-</m:t>
        </m:r>
        <m:sSub>
          <m:sSubPr>
            <m:ctrlPr>
              <w:rPr>
                <w:rFonts w:ascii="Cambria Math" w:eastAsia="Calibri" w:hAnsi="Cambria Math"/>
                <w:i/>
              </w:rPr>
            </m:ctrlPr>
          </m:sSubPr>
          <m:e>
            <m:r>
              <w:rPr>
                <w:rFonts w:ascii="Cambria Math" w:eastAsia="Calibri" w:hAnsi="Cambria Math"/>
                <w:sz w:val="24"/>
                <w:szCs w:val="24"/>
              </w:rPr>
              <m:t>β</m:t>
            </m:r>
          </m:e>
          <m:sub>
            <m:r>
              <w:rPr>
                <w:rFonts w:ascii="Cambria Math" w:eastAsia="Calibri" w:hAnsi="Cambria Math"/>
                <w:sz w:val="24"/>
                <w:szCs w:val="24"/>
              </w:rPr>
              <m:t>s,j</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HD</m:t>
            </m:r>
          </m:e>
          <m:sub>
            <m:r>
              <w:rPr>
                <w:rFonts w:ascii="Cambria Math" w:eastAsia="Calibri" w:hAnsi="Cambria Math"/>
                <w:sz w:val="24"/>
                <w:szCs w:val="24"/>
              </w:rPr>
              <m:t>j,t</m:t>
            </m:r>
          </m:sub>
        </m:sSub>
      </m:oMath>
      <w:r w:rsidR="00B50F1D" w:rsidRPr="00B50F1D">
        <w:rPr>
          <w:rFonts w:eastAsia="Calibri"/>
          <w:sz w:val="24"/>
          <w:szCs w:val="24"/>
        </w:rPr>
        <w:t>.</w:t>
      </w:r>
    </w:p>
    <w:p w14:paraId="0CA0A45B" w14:textId="77777777" w:rsidR="00B50F1D" w:rsidRPr="00B50F1D" w:rsidRDefault="00B50F1D" w:rsidP="00B50F1D">
      <w:pPr>
        <w:spacing w:after="200" w:line="276" w:lineRule="auto"/>
        <w:ind w:firstLine="360"/>
        <w:rPr>
          <w:rFonts w:eastAsia="Calibri"/>
          <w:sz w:val="24"/>
          <w:szCs w:val="24"/>
        </w:rPr>
      </w:pPr>
    </w:p>
    <w:p w14:paraId="09CDF541" w14:textId="38E91096" w:rsidR="00B50F1D" w:rsidRPr="00B50F1D" w:rsidRDefault="00B50F1D" w:rsidP="00B50F1D">
      <w:pPr>
        <w:spacing w:after="200" w:line="276" w:lineRule="auto"/>
        <w:ind w:firstLine="360"/>
        <w:rPr>
          <w:rFonts w:eastAsia="Calibri"/>
          <w:sz w:val="24"/>
          <w:szCs w:val="24"/>
        </w:rPr>
      </w:pPr>
      <w:r w:rsidRPr="00B50F1D">
        <w:rPr>
          <w:rFonts w:eastAsia="Calibri"/>
          <w:sz w:val="24"/>
          <w:szCs w:val="24"/>
        </w:rPr>
        <w:lastRenderedPageBreak/>
        <w:t xml:space="preserve">These equations are different from equations (1) and (2) above (i.e., as in Wheaton (1990)) in the following ways. First, we assume a non-steady state scenario. Second, </w:t>
      </w:r>
      <m:oMath>
        <m:sSub>
          <m:sSubPr>
            <m:ctrlPr>
              <w:rPr>
                <w:rFonts w:ascii="Cambria Math" w:eastAsia="Calibri" w:hAnsi="Cambria Math"/>
                <w:i/>
              </w:rPr>
            </m:ctrlPr>
          </m:sSubPr>
          <m:e>
            <m:r>
              <w:rPr>
                <w:rFonts w:ascii="Cambria Math" w:eastAsia="Calibri" w:hAnsi="Cambria Math"/>
                <w:sz w:val="24"/>
                <w:szCs w:val="24"/>
              </w:rPr>
              <m:t>-q</m:t>
            </m:r>
          </m:e>
          <m:sub>
            <m:r>
              <w:rPr>
                <w:rFonts w:ascii="Cambria Math" w:eastAsia="Calibri" w:hAnsi="Cambria Math"/>
                <w:sz w:val="24"/>
                <w:szCs w:val="24"/>
              </w:rPr>
              <m:t>s,i</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HD</m:t>
            </m:r>
          </m:e>
          <m:sub>
            <m:r>
              <w:rPr>
                <w:rFonts w:ascii="Cambria Math" w:eastAsia="Calibri" w:hAnsi="Cambria Math"/>
                <w:sz w:val="24"/>
                <w:szCs w:val="24"/>
              </w:rPr>
              <m:t>j,t</m:t>
            </m:r>
          </m:sub>
        </m:sSub>
      </m:oMath>
      <w:r w:rsidRPr="00B50F1D">
        <w:rPr>
          <w:rFonts w:eastAsia="Calibri"/>
          <w:sz w:val="24"/>
          <w:szCs w:val="24"/>
        </w:rPr>
        <w:t xml:space="preserve"> (the number of homeowners who migrated to region j but still own a h</w:t>
      </w:r>
      <w:proofErr w:type="spellStart"/>
      <w:r w:rsidRPr="00B50F1D">
        <w:rPr>
          <w:rFonts w:eastAsia="Calibri"/>
          <w:sz w:val="24"/>
          <w:szCs w:val="24"/>
        </w:rPr>
        <w:t>ome</w:t>
      </w:r>
      <w:proofErr w:type="spellEnd"/>
      <w:r w:rsidRPr="00B50F1D">
        <w:rPr>
          <w:rFonts w:eastAsia="Calibri"/>
          <w:sz w:val="24"/>
          <w:szCs w:val="24"/>
        </w:rPr>
        <w:t xml:space="preserve"> in a region, </w:t>
      </w:r>
      <m:oMath>
        <m:r>
          <w:rPr>
            <w:rFonts w:ascii="Cambria Math" w:eastAsia="Calibri" w:hAnsi="Cambria Math"/>
            <w:sz w:val="24"/>
            <w:szCs w:val="24"/>
          </w:rPr>
          <m:t>i</m:t>
        </m:r>
      </m:oMath>
      <w:r w:rsidRPr="00B50F1D">
        <w:rPr>
          <w:rFonts w:eastAsia="Calibri"/>
          <w:sz w:val="24"/>
          <w:szCs w:val="24"/>
        </w:rPr>
        <w:t xml:space="preserve">, in a given regime, </w:t>
      </w:r>
      <m:oMath>
        <m:r>
          <w:rPr>
            <w:rFonts w:ascii="Cambria Math" w:eastAsia="Calibri" w:hAnsi="Cambria Math"/>
            <w:sz w:val="24"/>
            <w:szCs w:val="24"/>
          </w:rPr>
          <m:t>s</m:t>
        </m:r>
      </m:oMath>
      <w:r w:rsidRPr="00B50F1D">
        <w:rPr>
          <w:rFonts w:eastAsia="Calibri"/>
          <w:sz w:val="24"/>
          <w:szCs w:val="24"/>
        </w:rPr>
        <w:t xml:space="preserve">, at a particular time, </w:t>
      </w:r>
      <m:oMath>
        <m:r>
          <w:rPr>
            <w:rFonts w:ascii="Cambria Math" w:eastAsia="Calibri" w:hAnsi="Cambria Math"/>
            <w:sz w:val="24"/>
            <w:szCs w:val="24"/>
          </w:rPr>
          <m:t>t</m:t>
        </m:r>
      </m:oMath>
      <w:r w:rsidRPr="00B50F1D">
        <w:rPr>
          <w:rFonts w:eastAsia="Calibri"/>
          <w:sz w:val="24"/>
          <w:szCs w:val="24"/>
        </w:rPr>
        <w:t xml:space="preserve">) is on the right side of (5) instead of the scenario in equation (1) above where </w:t>
      </w:r>
      <m:oMath>
        <m:r>
          <w:rPr>
            <w:rFonts w:ascii="Cambria Math" w:eastAsia="Calibri" w:hAnsi="Cambria Math"/>
            <w:sz w:val="24"/>
            <w:szCs w:val="24"/>
          </w:rPr>
          <m:t>-</m:t>
        </m:r>
        <m:sSub>
          <m:sSubPr>
            <m:ctrlPr>
              <w:rPr>
                <w:rFonts w:ascii="Cambria Math" w:eastAsia="Calibri" w:hAnsi="Cambria Math"/>
                <w:i/>
              </w:rPr>
            </m:ctrlPr>
          </m:sSubPr>
          <m:e>
            <m:r>
              <w:rPr>
                <w:rFonts w:ascii="Cambria Math" w:eastAsia="Calibri" w:hAnsi="Cambria Math"/>
                <w:sz w:val="24"/>
                <w:szCs w:val="24"/>
              </w:rPr>
              <m:t>m</m:t>
            </m:r>
          </m:e>
          <m:sub>
            <m:r>
              <w:rPr>
                <w:rFonts w:ascii="Cambria Math" w:eastAsia="Calibri" w:hAnsi="Cambria Math"/>
                <w:sz w:val="24"/>
                <w:szCs w:val="24"/>
              </w:rPr>
              <m:t>i</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i</m:t>
            </m:r>
          </m:sub>
        </m:sSub>
      </m:oMath>
      <w:r w:rsidRPr="00B50F1D">
        <w:rPr>
          <w:rFonts w:eastAsia="Calibri"/>
          <w:sz w:val="24"/>
          <w:szCs w:val="24"/>
          <w:vertAlign w:val="subscript"/>
        </w:rPr>
        <w:t xml:space="preserve"> </w:t>
      </w:r>
      <w:r w:rsidRPr="00B50F1D">
        <w:rPr>
          <w:rFonts w:eastAsia="Calibri"/>
          <w:sz w:val="24"/>
          <w:szCs w:val="24"/>
        </w:rPr>
        <w:t xml:space="preserve">is on the right side. Equation (6) is different from Wheaton (1990) (equation (2) above) since we are considering actions of housing market participants in region </w:t>
      </w:r>
      <m:oMath>
        <m:r>
          <w:rPr>
            <w:rFonts w:ascii="Cambria Math" w:eastAsia="Calibri" w:hAnsi="Cambria Math"/>
            <w:sz w:val="24"/>
            <w:szCs w:val="24"/>
          </w:rPr>
          <m:t>i</m:t>
        </m:r>
      </m:oMath>
      <w:r w:rsidRPr="00B50F1D">
        <w:rPr>
          <w:rFonts w:eastAsia="Calibri"/>
          <w:sz w:val="24"/>
          <w:szCs w:val="24"/>
        </w:rPr>
        <w:t xml:space="preserve">,  and </w:t>
      </w:r>
      <m:oMath>
        <m:sSub>
          <m:sSubPr>
            <m:ctrlPr>
              <w:rPr>
                <w:rFonts w:ascii="Cambria Math" w:eastAsia="Calibri" w:hAnsi="Cambria Math"/>
                <w:i/>
              </w:rPr>
            </m:ctrlPr>
          </m:sSubPr>
          <m:e>
            <m:r>
              <w:rPr>
                <w:rFonts w:ascii="Cambria Math" w:eastAsia="Calibri" w:hAnsi="Cambria Math"/>
                <w:sz w:val="24"/>
                <w:szCs w:val="24"/>
              </w:rPr>
              <m:t>HD</m:t>
            </m:r>
          </m:e>
          <m:sub>
            <m:r>
              <w:rPr>
                <w:rFonts w:ascii="Cambria Math" w:eastAsia="Calibri" w:hAnsi="Cambria Math"/>
                <w:sz w:val="24"/>
                <w:szCs w:val="24"/>
              </w:rPr>
              <m:t>j,t</m:t>
            </m:r>
          </m:sub>
        </m:sSub>
      </m:oMath>
      <w:r w:rsidRPr="00B50F1D">
        <w:rPr>
          <w:rFonts w:eastAsia="Times New Roman"/>
        </w:rPr>
        <w:t xml:space="preserve"> </w:t>
      </w:r>
      <w:r w:rsidRPr="00B50F1D">
        <w:rPr>
          <w:rFonts w:eastAsia="Times New Roman"/>
          <w:sz w:val="24"/>
          <w:szCs w:val="24"/>
        </w:rPr>
        <w:t>households</w:t>
      </w:r>
      <w:r w:rsidRPr="00B50F1D">
        <w:rPr>
          <w:rFonts w:eastAsia="Calibri"/>
          <w:sz w:val="24"/>
          <w:szCs w:val="24"/>
        </w:rPr>
        <w:t xml:space="preserve"> (i.e., </w:t>
      </w:r>
      <m:oMath>
        <m:sSub>
          <m:sSubPr>
            <m:ctrlPr>
              <w:rPr>
                <w:rFonts w:ascii="Cambria Math" w:eastAsia="Calibri" w:hAnsi="Cambria Math"/>
                <w:i/>
              </w:rPr>
            </m:ctrlPr>
          </m:sSubPr>
          <m:e>
            <m:r>
              <w:rPr>
                <w:rFonts w:ascii="Cambria Math" w:eastAsia="Calibri" w:hAnsi="Cambria Math"/>
                <w:sz w:val="24"/>
                <w:szCs w:val="24"/>
              </w:rPr>
              <m:t>V</m:t>
            </m:r>
          </m:e>
          <m:sub>
            <m:r>
              <w:rPr>
                <w:rFonts w:ascii="Cambria Math" w:eastAsia="Calibri" w:hAnsi="Cambria Math"/>
                <w:sz w:val="24"/>
                <w:szCs w:val="24"/>
              </w:rPr>
              <m:t>i,t</m:t>
            </m:r>
          </m:sub>
        </m:sSub>
      </m:oMath>
      <w:r w:rsidRPr="00B50F1D">
        <w:rPr>
          <w:rFonts w:eastAsia="Calibri"/>
          <w:sz w:val="24"/>
          <w:szCs w:val="24"/>
        </w:rPr>
        <w:t xml:space="preserve">) are the sellers in region </w:t>
      </w:r>
      <m:oMath>
        <m:r>
          <w:rPr>
            <w:rFonts w:ascii="Cambria Math" w:eastAsia="Calibri" w:hAnsi="Cambria Math"/>
            <w:sz w:val="24"/>
            <w:szCs w:val="24"/>
          </w:rPr>
          <m:t>i</m:t>
        </m:r>
      </m:oMath>
      <w:r w:rsidRPr="00B50F1D">
        <w:rPr>
          <w:rFonts w:eastAsia="Calibri"/>
          <w:sz w:val="24"/>
          <w:szCs w:val="24"/>
        </w:rPr>
        <w:t xml:space="preserve">; we also have </w:t>
      </w:r>
      <m:oMath>
        <m:r>
          <w:rPr>
            <w:rFonts w:ascii="Cambria Math" w:eastAsia="Calibri" w:hAnsi="Cambria Math"/>
            <w:sz w:val="24"/>
            <w:szCs w:val="24"/>
          </w:rPr>
          <m:t>-</m:t>
        </m:r>
        <m:sSub>
          <m:sSubPr>
            <m:ctrlPr>
              <w:rPr>
                <w:rFonts w:ascii="Cambria Math" w:eastAsia="Calibri" w:hAnsi="Cambria Math"/>
                <w:i/>
              </w:rPr>
            </m:ctrlPr>
          </m:sSubPr>
          <m:e>
            <m:r>
              <w:rPr>
                <w:rFonts w:ascii="Cambria Math" w:eastAsia="Calibri" w:hAnsi="Cambria Math"/>
                <w:sz w:val="24"/>
                <w:szCs w:val="24"/>
              </w:rPr>
              <m:t>m</m:t>
            </m:r>
          </m:e>
          <m:sub>
            <m:r>
              <w:rPr>
                <w:rFonts w:ascii="Cambria Math" w:eastAsia="Calibri" w:hAnsi="Cambria Math"/>
                <w:sz w:val="24"/>
                <w:szCs w:val="24"/>
              </w:rPr>
              <m:t>s,i</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i,t</m:t>
            </m:r>
          </m:sub>
        </m:sSub>
      </m:oMath>
      <w:r w:rsidRPr="00B50F1D">
        <w:rPr>
          <w:rFonts w:eastAsia="Calibri"/>
          <w:sz w:val="24"/>
          <w:szCs w:val="24"/>
        </w:rPr>
        <w:t xml:space="preserve"> on the right side of (6), as opposed to having </w:t>
      </w:r>
      <m:oMath>
        <m:sSub>
          <m:sSubPr>
            <m:ctrlPr>
              <w:rPr>
                <w:rFonts w:ascii="Cambria Math" w:eastAsia="Calibri" w:hAnsi="Cambria Math"/>
                <w:i/>
              </w:rPr>
            </m:ctrlPr>
          </m:sSubPr>
          <m:e>
            <m:r>
              <w:rPr>
                <w:rFonts w:ascii="Cambria Math" w:eastAsia="Calibri" w:hAnsi="Cambria Math"/>
                <w:sz w:val="24"/>
                <w:szCs w:val="24"/>
              </w:rPr>
              <m:t>-q</m:t>
            </m:r>
          </m:e>
          <m:sub>
            <m:r>
              <w:rPr>
                <w:rFonts w:ascii="Cambria Math" w:eastAsia="Calibri" w:hAnsi="Cambria Math"/>
                <w:sz w:val="24"/>
                <w:szCs w:val="24"/>
              </w:rPr>
              <m:t>s,i</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HD</m:t>
            </m:r>
          </m:e>
          <m:sub>
            <m:r>
              <w:rPr>
                <w:rFonts w:ascii="Cambria Math" w:eastAsia="Calibri" w:hAnsi="Cambria Math"/>
                <w:sz w:val="24"/>
                <w:szCs w:val="24"/>
              </w:rPr>
              <m:t>j,t</m:t>
            </m:r>
          </m:sub>
        </m:sSub>
      </m:oMath>
      <w:r w:rsidRPr="00B50F1D">
        <w:rPr>
          <w:rFonts w:eastAsia="Calibri"/>
        </w:rPr>
        <w:t xml:space="preserve"> </w:t>
      </w:r>
      <w:r w:rsidRPr="00B50F1D">
        <w:rPr>
          <w:rFonts w:eastAsia="Calibri"/>
          <w:sz w:val="24"/>
          <w:szCs w:val="24"/>
        </w:rPr>
        <w:t>in equation (2) above (the analogous equation of Wheaton (1990)).</w:t>
      </w:r>
    </w:p>
    <w:p w14:paraId="3D4668F3" w14:textId="77777777" w:rsidR="00B50F1D" w:rsidRPr="00B50F1D" w:rsidRDefault="00B50F1D" w:rsidP="00B50F1D">
      <w:pPr>
        <w:spacing w:after="200" w:line="276" w:lineRule="auto"/>
        <w:ind w:firstLine="360"/>
        <w:rPr>
          <w:rFonts w:eastAsia="Calibri"/>
          <w:sz w:val="24"/>
          <w:szCs w:val="24"/>
        </w:rPr>
      </w:pPr>
      <w:r w:rsidRPr="00B50F1D">
        <w:rPr>
          <w:rFonts w:eastAsia="Calibri"/>
          <w:sz w:val="24"/>
          <w:szCs w:val="24"/>
        </w:rPr>
        <w:t xml:space="preserve">Solving (5) for </w:t>
      </w:r>
      <m:oMath>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i,t-1</m:t>
            </m:r>
          </m:sub>
        </m:sSub>
      </m:oMath>
      <w:r w:rsidRPr="00B50F1D">
        <w:rPr>
          <w:rFonts w:eastAsia="Calibri"/>
          <w:sz w:val="24"/>
          <w:szCs w:val="24"/>
        </w:rPr>
        <w:t xml:space="preserve">, substituting this equation for </w:t>
      </w:r>
      <m:oMath>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i,t-1</m:t>
            </m:r>
          </m:sub>
        </m:sSub>
      </m:oMath>
      <w:r w:rsidRPr="00B50F1D">
        <w:rPr>
          <w:rFonts w:eastAsia="Calibri"/>
          <w:sz w:val="24"/>
          <w:szCs w:val="24"/>
        </w:rPr>
        <w:t xml:space="preserve"> into (6), along with using the fact that </w:t>
      </w:r>
      <m:oMath>
        <m:sSub>
          <m:sSubPr>
            <m:ctrlPr>
              <w:rPr>
                <w:rFonts w:ascii="Cambria Math" w:eastAsia="Calibri" w:hAnsi="Cambria Math"/>
                <w:i/>
              </w:rPr>
            </m:ctrlPr>
          </m:sSubPr>
          <m:e>
            <m:r>
              <w:rPr>
                <w:rFonts w:ascii="Cambria Math" w:eastAsia="Calibri" w:hAnsi="Cambria Math"/>
                <w:sz w:val="24"/>
                <w:szCs w:val="24"/>
              </w:rPr>
              <m:t>m</m:t>
            </m:r>
          </m:e>
          <m:sub>
            <m:r>
              <w:rPr>
                <w:rFonts w:ascii="Cambria Math" w:eastAsia="Calibri" w:hAnsi="Cambria Math"/>
                <w:sz w:val="24"/>
                <w:szCs w:val="24"/>
              </w:rPr>
              <m:t>s,i</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i,t</m:t>
            </m:r>
          </m:sub>
        </m:sSub>
        <m:r>
          <w:rPr>
            <w:rFonts w:ascii="Cambria Math" w:eastAsia="Calibri" w:hAnsi="Cambria Math"/>
            <w:sz w:val="24"/>
            <w:szCs w:val="24"/>
          </w:rPr>
          <m:t>=</m:t>
        </m:r>
        <m:sSub>
          <m:sSubPr>
            <m:ctrlPr>
              <w:rPr>
                <w:rFonts w:ascii="Cambria Math" w:eastAsia="Calibri" w:hAnsi="Cambria Math"/>
                <w:i/>
              </w:rPr>
            </m:ctrlPr>
          </m:sSubPr>
          <m:e>
            <m:r>
              <w:rPr>
                <w:rFonts w:ascii="Cambria Math" w:eastAsia="Calibri" w:hAnsi="Cambria Math"/>
                <w:sz w:val="24"/>
                <w:szCs w:val="24"/>
              </w:rPr>
              <m:t>q</m:t>
            </m:r>
          </m:e>
          <m:sub>
            <m:r>
              <w:rPr>
                <w:rFonts w:ascii="Cambria Math" w:eastAsia="Calibri" w:hAnsi="Cambria Math"/>
                <w:sz w:val="24"/>
                <w:szCs w:val="24"/>
              </w:rPr>
              <m:t>s,i</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V</m:t>
            </m:r>
          </m:e>
          <m:sub>
            <m:r>
              <w:rPr>
                <w:rFonts w:ascii="Cambria Math" w:eastAsia="Calibri" w:hAnsi="Cambria Math"/>
                <w:sz w:val="24"/>
                <w:szCs w:val="24"/>
              </w:rPr>
              <m:t>i,t</m:t>
            </m:r>
          </m:sub>
        </m:sSub>
        <m:r>
          <w:rPr>
            <w:rFonts w:ascii="Cambria Math" w:eastAsia="Calibri" w:hAnsi="Cambria Math"/>
            <w:sz w:val="24"/>
            <w:szCs w:val="24"/>
          </w:rPr>
          <m:t>=</m:t>
        </m:r>
        <m:sSub>
          <m:sSubPr>
            <m:ctrlPr>
              <w:rPr>
                <w:rFonts w:ascii="Cambria Math" w:eastAsia="Calibri" w:hAnsi="Cambria Math"/>
                <w:i/>
              </w:rPr>
            </m:ctrlPr>
          </m:sSubPr>
          <m:e>
            <m:r>
              <w:rPr>
                <w:rFonts w:ascii="Cambria Math" w:eastAsia="Calibri" w:hAnsi="Cambria Math"/>
                <w:sz w:val="24"/>
                <w:szCs w:val="24"/>
              </w:rPr>
              <m:t>q</m:t>
            </m:r>
          </m:e>
          <m:sub>
            <m:r>
              <w:rPr>
                <w:rFonts w:ascii="Cambria Math" w:eastAsia="Calibri" w:hAnsi="Cambria Math"/>
                <w:sz w:val="24"/>
                <w:szCs w:val="24"/>
              </w:rPr>
              <m:t>s,i</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HD</m:t>
            </m:r>
          </m:e>
          <m:sub>
            <m:r>
              <w:rPr>
                <w:rFonts w:ascii="Cambria Math" w:eastAsia="Calibri" w:hAnsi="Cambria Math"/>
                <w:sz w:val="24"/>
                <w:szCs w:val="24"/>
              </w:rPr>
              <m:t>j,t</m:t>
            </m:r>
          </m:sub>
        </m:sSub>
      </m:oMath>
      <w:r w:rsidRPr="00B50F1D">
        <w:rPr>
          <w:rFonts w:eastAsia="Calibri"/>
          <w:sz w:val="24"/>
          <w:szCs w:val="24"/>
        </w:rPr>
        <w:t xml:space="preserve">, and then solving for </w:t>
      </w:r>
      <m:oMath>
        <m:sSub>
          <m:sSubPr>
            <m:ctrlPr>
              <w:rPr>
                <w:rFonts w:ascii="Cambria Math" w:eastAsia="Calibri" w:hAnsi="Cambria Math"/>
                <w:i/>
              </w:rPr>
            </m:ctrlPr>
          </m:sSubPr>
          <m:e>
            <m:r>
              <w:rPr>
                <w:rFonts w:ascii="Cambria Math" w:eastAsia="Calibri" w:hAnsi="Cambria Math"/>
                <w:sz w:val="24"/>
                <w:szCs w:val="24"/>
              </w:rPr>
              <m:t>V</m:t>
            </m:r>
          </m:e>
          <m:sub>
            <m:r>
              <w:rPr>
                <w:rFonts w:ascii="Cambria Math" w:eastAsia="Calibri" w:hAnsi="Cambria Math"/>
                <w:sz w:val="24"/>
                <w:szCs w:val="24"/>
              </w:rPr>
              <m:t>i,t</m:t>
            </m:r>
          </m:sub>
        </m:sSub>
      </m:oMath>
      <w:r w:rsidRPr="00B50F1D">
        <w:rPr>
          <w:rFonts w:eastAsia="Calibri"/>
          <w:sz w:val="24"/>
          <w:szCs w:val="24"/>
        </w:rPr>
        <w:t>, yields:</w:t>
      </w:r>
    </w:p>
    <w:p w14:paraId="5134FDCE" w14:textId="77777777" w:rsidR="00B50F1D" w:rsidRPr="00B50F1D" w:rsidRDefault="00E96C7A" w:rsidP="00B50F1D">
      <w:pPr>
        <w:spacing w:after="200" w:line="276" w:lineRule="auto"/>
        <w:ind w:firstLine="360"/>
        <w:rPr>
          <w:rFonts w:eastAsia="Calibri"/>
          <w:sz w:val="24"/>
          <w:szCs w:val="24"/>
        </w:rPr>
      </w:pPr>
      <m:oMathPara>
        <m:oMath>
          <m:d>
            <m:dPr>
              <m:ctrlPr>
                <w:rPr>
                  <w:rFonts w:ascii="Cambria Math" w:eastAsia="Calibri" w:hAnsi="Cambria Math"/>
                  <w:i/>
                  <w:sz w:val="24"/>
                  <w:szCs w:val="24"/>
                </w:rPr>
              </m:ctrlPr>
            </m:dPr>
            <m:e>
              <m:r>
                <w:rPr>
                  <w:rFonts w:ascii="Cambria Math" w:eastAsia="Calibri" w:hAnsi="Cambria Math"/>
                  <w:sz w:val="24"/>
                  <w:szCs w:val="24"/>
                </w:rPr>
                <m:t>7</m:t>
              </m:r>
            </m:e>
          </m:d>
          <m:r>
            <w:rPr>
              <w:rFonts w:ascii="Cambria Math" w:eastAsia="Calibri"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i,t</m:t>
              </m:r>
            </m:sub>
          </m:sSub>
          <m:r>
            <w:rPr>
              <w:rFonts w:ascii="Cambria Math" w:eastAsia="Calibri" w:hAnsi="Cambria Math"/>
              <w:sz w:val="24"/>
              <w:szCs w:val="24"/>
            </w:rPr>
            <m:t xml:space="preserve">= </m:t>
          </m:r>
          <m:d>
            <m:dPr>
              <m:begChr m:val="["/>
              <m:endChr m:val="]"/>
              <m:ctrlPr>
                <w:rPr>
                  <w:rFonts w:ascii="Cambria Math" w:eastAsia="Calibri" w:hAnsi="Cambria Math"/>
                  <w:i/>
                  <w:sz w:val="24"/>
                  <w:szCs w:val="24"/>
                </w:rPr>
              </m:ctrlPr>
            </m:dPr>
            <m:e>
              <m:f>
                <m:fPr>
                  <m:ctrlPr>
                    <w:rPr>
                      <w:rFonts w:ascii="Cambria Math" w:eastAsia="Calibri" w:hAnsi="Cambria Math"/>
                      <w:i/>
                      <w:sz w:val="24"/>
                      <w:szCs w:val="24"/>
                    </w:rPr>
                  </m:ctrlPr>
                </m:fPr>
                <m:num>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s,i</m:t>
                      </m:r>
                    </m:sub>
                  </m:sSub>
                  <m:r>
                    <w:rPr>
                      <w:rFonts w:ascii="Cambria Math" w:eastAsia="Calibri" w:hAnsi="Cambria Math"/>
                      <w:sz w:val="24"/>
                      <w:szCs w:val="24"/>
                    </w:rPr>
                    <m:t>-1+</m:t>
                  </m:r>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s,j</m:t>
                      </m:r>
                    </m:sub>
                  </m:sSub>
                  <m:d>
                    <m:dPr>
                      <m:ctrlPr>
                        <w:rPr>
                          <w:rFonts w:ascii="Cambria Math" w:eastAsia="Calibri" w:hAnsi="Cambria Math"/>
                          <w:i/>
                          <w:sz w:val="24"/>
                          <w:szCs w:val="24"/>
                        </w:rPr>
                      </m:ctrlPr>
                    </m:dPr>
                    <m:e>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s,i</m:t>
                          </m:r>
                        </m:sub>
                      </m:sSub>
                      <m:r>
                        <w:rPr>
                          <w:rFonts w:ascii="Cambria Math" w:eastAsia="Calibri" w:hAnsi="Cambria Math"/>
                          <w:sz w:val="24"/>
                          <w:szCs w:val="24"/>
                        </w:rPr>
                        <m:t>-1</m:t>
                      </m:r>
                    </m:e>
                  </m:d>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s,i</m:t>
                      </m:r>
                    </m:sub>
                  </m:sSub>
                  <m:sSub>
                    <m:sSubPr>
                      <m:ctrlPr>
                        <w:rPr>
                          <w:rFonts w:ascii="Cambria Math" w:eastAsia="Calibri" w:hAnsi="Cambria Math"/>
                          <w:i/>
                          <w:sz w:val="24"/>
                          <w:szCs w:val="24"/>
                        </w:rPr>
                      </m:ctrlPr>
                    </m:sSubPr>
                    <m:e>
                      <m:r>
                        <w:rPr>
                          <w:rFonts w:ascii="Cambria Math" w:eastAsia="Calibri" w:hAnsi="Cambria Math"/>
                          <w:sz w:val="24"/>
                          <w:szCs w:val="24"/>
                        </w:rPr>
                        <m:t>q</m:t>
                      </m:r>
                    </m:e>
                    <m:sub>
                      <m:r>
                        <w:rPr>
                          <w:rFonts w:ascii="Cambria Math" w:eastAsia="Calibri" w:hAnsi="Cambria Math"/>
                          <w:sz w:val="24"/>
                          <w:szCs w:val="24"/>
                        </w:rPr>
                        <m:t>s,i</m:t>
                      </m:r>
                    </m:sub>
                  </m:sSub>
                </m:num>
                <m:den>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s,i</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q</m:t>
                      </m:r>
                    </m:e>
                    <m:sub>
                      <m:r>
                        <w:rPr>
                          <w:rFonts w:ascii="Cambria Math" w:eastAsia="Calibri" w:hAnsi="Cambria Math"/>
                          <w:sz w:val="24"/>
                          <w:szCs w:val="24"/>
                        </w:rPr>
                        <m:t>s,i</m:t>
                      </m:r>
                    </m:sub>
                  </m:sSub>
                  <m:r>
                    <w:rPr>
                      <w:rFonts w:ascii="Cambria Math" w:eastAsia="Calibri" w:hAnsi="Cambria Math"/>
                      <w:sz w:val="24"/>
                      <w:szCs w:val="24"/>
                    </w:rPr>
                    <m:t>-1)</m:t>
                  </m:r>
                </m:den>
              </m:f>
            </m:e>
          </m:d>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i,t-1</m:t>
              </m:r>
            </m:sub>
          </m:sSub>
          <m:r>
            <w:rPr>
              <w:rFonts w:ascii="Cambria Math" w:eastAsia="Calibri" w:hAnsi="Cambria Math"/>
              <w:sz w:val="24"/>
              <w:szCs w:val="24"/>
            </w:rPr>
            <m:t xml:space="preserve">+ </m:t>
          </m:r>
          <m:d>
            <m:dPr>
              <m:begChr m:val="["/>
              <m:endChr m:val="]"/>
              <m:ctrlPr>
                <w:rPr>
                  <w:rFonts w:ascii="Cambria Math" w:eastAsia="Calibri" w:hAnsi="Cambria Math"/>
                  <w:i/>
                  <w:sz w:val="24"/>
                  <w:szCs w:val="24"/>
                </w:rPr>
              </m:ctrlPr>
            </m:dPr>
            <m:e>
              <m:f>
                <m:fPr>
                  <m:ctrlPr>
                    <w:rPr>
                      <w:rFonts w:ascii="Cambria Math" w:eastAsia="Calibri" w:hAnsi="Cambria Math"/>
                      <w:i/>
                      <w:sz w:val="24"/>
                      <w:szCs w:val="24"/>
                    </w:rPr>
                  </m:ctrlPr>
                </m:fPr>
                <m:num>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s,j</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s,i</m:t>
                      </m:r>
                    </m:sub>
                  </m:sSub>
                  <m:r>
                    <w:rPr>
                      <w:rFonts w:ascii="Cambria Math" w:eastAsia="Calibri" w:hAnsi="Cambria Math"/>
                      <w:sz w:val="24"/>
                      <w:szCs w:val="24"/>
                    </w:rPr>
                    <m:t>-1)</m:t>
                  </m:r>
                </m:num>
                <m:den>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s,i</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q</m:t>
                      </m:r>
                    </m:e>
                    <m:sub>
                      <m:r>
                        <w:rPr>
                          <w:rFonts w:ascii="Cambria Math" w:eastAsia="Calibri" w:hAnsi="Cambria Math"/>
                          <w:sz w:val="24"/>
                          <w:szCs w:val="24"/>
                        </w:rPr>
                        <m:t>s,i</m:t>
                      </m:r>
                    </m:sub>
                  </m:sSub>
                  <m:r>
                    <w:rPr>
                      <w:rFonts w:ascii="Cambria Math" w:eastAsia="Calibri" w:hAnsi="Cambria Math"/>
                      <w:sz w:val="24"/>
                      <w:szCs w:val="24"/>
                    </w:rPr>
                    <m:t>-1)</m:t>
                  </m:r>
                </m:den>
              </m:f>
            </m:e>
          </m:d>
          <m:sSub>
            <m:sSubPr>
              <m:ctrlPr>
                <w:rPr>
                  <w:rFonts w:ascii="Cambria Math" w:eastAsia="Calibri" w:hAnsi="Cambria Math"/>
                  <w:i/>
                  <w:sz w:val="24"/>
                  <w:szCs w:val="24"/>
                </w:rPr>
              </m:ctrlPr>
            </m:sSubPr>
            <m:e>
              <m:r>
                <w:rPr>
                  <w:rFonts w:ascii="Cambria Math" w:eastAsia="Calibri" w:hAnsi="Cambria Math"/>
                  <w:sz w:val="24"/>
                  <w:szCs w:val="24"/>
                </w:rPr>
                <m:t>HS</m:t>
              </m:r>
            </m:e>
            <m:sub>
              <m:r>
                <w:rPr>
                  <w:rFonts w:ascii="Cambria Math" w:eastAsia="Calibri" w:hAnsi="Cambria Math"/>
                  <w:sz w:val="24"/>
                  <w:szCs w:val="24"/>
                </w:rPr>
                <m:t>j,t-1</m:t>
              </m:r>
            </m:sub>
          </m:sSub>
          <m:r>
            <w:rPr>
              <w:rFonts w:ascii="Cambria Math" w:eastAsia="Calibri" w:hAnsi="Cambria Math"/>
              <w:sz w:val="24"/>
              <w:szCs w:val="24"/>
            </w:rPr>
            <m:t>+</m:t>
          </m:r>
          <m:d>
            <m:dPr>
              <m:begChr m:val="["/>
              <m:endChr m:val="]"/>
              <m:ctrlPr>
                <w:rPr>
                  <w:rFonts w:ascii="Cambria Math" w:eastAsia="Calibri" w:hAnsi="Cambria Math"/>
                  <w:i/>
                  <w:sz w:val="24"/>
                  <w:szCs w:val="24"/>
                </w:rPr>
              </m:ctrlPr>
            </m:dPr>
            <m:e>
              <m:f>
                <m:fPr>
                  <m:ctrlPr>
                    <w:rPr>
                      <w:rFonts w:ascii="Cambria Math" w:eastAsia="Calibri" w:hAnsi="Cambria Math"/>
                      <w:i/>
                      <w:sz w:val="24"/>
                      <w:szCs w:val="24"/>
                    </w:rPr>
                  </m:ctrlPr>
                </m:fPr>
                <m:num>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s,i</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s,i</m:t>
                      </m:r>
                    </m:sub>
                  </m:sSub>
                  <m:r>
                    <w:rPr>
                      <w:rFonts w:ascii="Cambria Math" w:eastAsia="Calibri" w:hAnsi="Cambria Math"/>
                      <w:sz w:val="24"/>
                      <w:szCs w:val="24"/>
                    </w:rPr>
                    <m:t>-1)</m:t>
                  </m:r>
                </m:num>
                <m:den>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s,i</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q</m:t>
                      </m:r>
                    </m:e>
                    <m:sub>
                      <m:r>
                        <w:rPr>
                          <w:rFonts w:ascii="Cambria Math" w:eastAsia="Calibri" w:hAnsi="Cambria Math"/>
                          <w:sz w:val="24"/>
                          <w:szCs w:val="24"/>
                        </w:rPr>
                        <m:t>s,i</m:t>
                      </m:r>
                    </m:sub>
                  </m:sSub>
                  <m:r>
                    <w:rPr>
                      <w:rFonts w:ascii="Cambria Math" w:eastAsia="Calibri" w:hAnsi="Cambria Math"/>
                      <w:sz w:val="24"/>
                      <w:szCs w:val="24"/>
                    </w:rPr>
                    <m:t>-1)</m:t>
                  </m:r>
                </m:den>
              </m:f>
            </m:e>
          </m:d>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j,t-1</m:t>
              </m:r>
            </m:sub>
          </m:sSub>
          <m:r>
            <w:rPr>
              <w:rFonts w:ascii="Cambria Math" w:eastAsia="Calibri" w:hAnsi="Cambria Math"/>
              <w:sz w:val="24"/>
              <w:szCs w:val="24"/>
            </w:rPr>
            <m:t>+</m:t>
          </m:r>
          <m:d>
            <m:dPr>
              <m:begChr m:val="["/>
              <m:endChr m:val="]"/>
              <m:ctrlPr>
                <w:rPr>
                  <w:rFonts w:ascii="Cambria Math" w:eastAsia="Calibri" w:hAnsi="Cambria Math"/>
                  <w:i/>
                  <w:sz w:val="24"/>
                  <w:szCs w:val="24"/>
                </w:rPr>
              </m:ctrlPr>
            </m:dPr>
            <m:e>
              <m:f>
                <m:fPr>
                  <m:ctrlPr>
                    <w:rPr>
                      <w:rFonts w:ascii="Cambria Math" w:eastAsia="Calibri" w:hAnsi="Cambria Math"/>
                      <w:i/>
                      <w:sz w:val="24"/>
                      <w:szCs w:val="24"/>
                    </w:rPr>
                  </m:ctrlPr>
                </m:fPr>
                <m:num>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s,i</m:t>
                      </m:r>
                    </m:sub>
                  </m:sSub>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s,j</m:t>
                      </m:r>
                    </m:sub>
                  </m:sSub>
                </m:num>
                <m:den>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s,i</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q</m:t>
                      </m:r>
                    </m:e>
                    <m:sub>
                      <m:r>
                        <w:rPr>
                          <w:rFonts w:ascii="Cambria Math" w:eastAsia="Calibri" w:hAnsi="Cambria Math"/>
                          <w:sz w:val="24"/>
                          <w:szCs w:val="24"/>
                        </w:rPr>
                        <m:t>s,i</m:t>
                      </m:r>
                    </m:sub>
                  </m:sSub>
                  <m:r>
                    <w:rPr>
                      <w:rFonts w:ascii="Cambria Math" w:eastAsia="Calibri" w:hAnsi="Cambria Math"/>
                      <w:sz w:val="24"/>
                      <w:szCs w:val="24"/>
                    </w:rPr>
                    <m:t>-1)</m:t>
                  </m:r>
                </m:den>
              </m:f>
            </m:e>
          </m:d>
          <m:sSub>
            <m:sSubPr>
              <m:ctrlPr>
                <w:rPr>
                  <w:rFonts w:ascii="Cambria Math" w:eastAsia="Calibri" w:hAnsi="Cambria Math"/>
                  <w:i/>
                  <w:sz w:val="24"/>
                  <w:szCs w:val="24"/>
                </w:rPr>
              </m:ctrlPr>
            </m:sSubPr>
            <m:e>
              <m:r>
                <w:rPr>
                  <w:rFonts w:ascii="Cambria Math" w:eastAsia="Calibri" w:hAnsi="Cambria Math"/>
                  <w:sz w:val="24"/>
                  <w:szCs w:val="24"/>
                </w:rPr>
                <m:t>HM</m:t>
              </m:r>
            </m:e>
            <m:sub>
              <m:r>
                <w:rPr>
                  <w:rFonts w:ascii="Cambria Math" w:eastAsia="Calibri" w:hAnsi="Cambria Math"/>
                  <w:sz w:val="24"/>
                  <w:szCs w:val="24"/>
                </w:rPr>
                <m:t>j,t-1</m:t>
              </m:r>
            </m:sub>
          </m:sSub>
        </m:oMath>
      </m:oMathPara>
    </w:p>
    <w:p w14:paraId="78F9A545" w14:textId="77777777" w:rsidR="00B50F1D" w:rsidRPr="00B50F1D" w:rsidRDefault="00B50F1D" w:rsidP="00B50F1D">
      <w:pPr>
        <w:spacing w:after="200" w:line="276" w:lineRule="auto"/>
        <w:rPr>
          <w:rFonts w:eastAsia="Calibri"/>
          <w:sz w:val="24"/>
          <w:szCs w:val="24"/>
        </w:rPr>
      </w:pPr>
    </w:p>
    <w:p w14:paraId="1C463550" w14:textId="62159D81" w:rsidR="00B50F1D" w:rsidRPr="00B50F1D" w:rsidRDefault="00B50F1D" w:rsidP="00B50F1D">
      <w:pPr>
        <w:spacing w:after="200" w:line="276" w:lineRule="auto"/>
        <w:rPr>
          <w:rFonts w:eastAsia="Calibri"/>
          <w:sz w:val="24"/>
          <w:szCs w:val="24"/>
        </w:rPr>
      </w:pPr>
      <w:r w:rsidRPr="00B50F1D">
        <w:rPr>
          <w:rFonts w:eastAsia="Calibri"/>
          <w:sz w:val="24"/>
          <w:szCs w:val="24"/>
        </w:rPr>
        <w:t xml:space="preserve">Because the parameters in the brackets are transition rates, they are each expected to vary between 0 and 1. Given this, the anticipated signs of the terms in brackets implied by the theory are as follows. The term preceding </w:t>
      </w:r>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i,t-1</m:t>
            </m:r>
          </m:sub>
        </m:sSub>
      </m:oMath>
      <w:r w:rsidRPr="00B50F1D">
        <w:rPr>
          <w:rFonts w:eastAsia="Calibri"/>
          <w:sz w:val="24"/>
          <w:szCs w:val="24"/>
        </w:rPr>
        <w:t xml:space="preserve"> is indeterminate, while the terms preceding</w:t>
      </w:r>
      <m:oMath>
        <m:r>
          <w:rPr>
            <w:rFonts w:ascii="Cambria Math" w:eastAsia="Calibri"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j,t-1</m:t>
            </m:r>
          </m:sub>
        </m:sSub>
      </m:oMath>
      <w:r w:rsidRPr="00B50F1D">
        <w:rPr>
          <w:rFonts w:eastAsia="Calibri"/>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HM</m:t>
            </m:r>
          </m:e>
          <m:sub>
            <m:r>
              <w:rPr>
                <w:rFonts w:ascii="Cambria Math" w:eastAsia="Calibri" w:hAnsi="Cambria Math"/>
                <w:sz w:val="24"/>
                <w:szCs w:val="24"/>
              </w:rPr>
              <m:t>j,t-1</m:t>
            </m:r>
          </m:sub>
        </m:sSub>
      </m:oMath>
      <w:r w:rsidRPr="00B50F1D">
        <w:rPr>
          <w:rFonts w:eastAsia="Calibri"/>
          <w:sz w:val="24"/>
          <w:szCs w:val="24"/>
        </w:rPr>
        <w:t xml:space="preserve">, and </w:t>
      </w:r>
      <m:oMath>
        <m:sSub>
          <m:sSubPr>
            <m:ctrlPr>
              <w:rPr>
                <w:rFonts w:ascii="Cambria Math" w:eastAsia="Calibri" w:hAnsi="Cambria Math"/>
                <w:i/>
                <w:sz w:val="24"/>
                <w:szCs w:val="24"/>
              </w:rPr>
            </m:ctrlPr>
          </m:sSubPr>
          <m:e>
            <m:r>
              <w:rPr>
                <w:rFonts w:ascii="Cambria Math" w:eastAsia="Calibri" w:hAnsi="Cambria Math"/>
                <w:sz w:val="24"/>
                <w:szCs w:val="24"/>
              </w:rPr>
              <m:t>HS</m:t>
            </m:r>
          </m:e>
          <m:sub>
            <m:r>
              <w:rPr>
                <w:rFonts w:ascii="Cambria Math" w:eastAsia="Calibri" w:hAnsi="Cambria Math"/>
                <w:sz w:val="24"/>
                <w:szCs w:val="24"/>
              </w:rPr>
              <m:t>j,t-1</m:t>
            </m:r>
          </m:sub>
        </m:sSub>
      </m:oMath>
      <w:r w:rsidRPr="00B50F1D">
        <w:rPr>
          <w:rFonts w:eastAsia="Calibri"/>
          <w:sz w:val="24"/>
          <w:szCs w:val="24"/>
        </w:rPr>
        <w:t xml:space="preserve"> are expected to be positive.</w:t>
      </w:r>
      <w:r w:rsidR="00783916">
        <w:rPr>
          <w:rStyle w:val="FootnoteReference"/>
          <w:rFonts w:eastAsia="Calibri"/>
          <w:sz w:val="24"/>
          <w:szCs w:val="24"/>
        </w:rPr>
        <w:footnoteReference w:id="12"/>
      </w:r>
      <w:r w:rsidRPr="00B50F1D">
        <w:rPr>
          <w:rFonts w:eastAsia="Calibri"/>
          <w:sz w:val="24"/>
          <w:szCs w:val="24"/>
        </w:rPr>
        <w:t xml:space="preserve"> We take this equation to the data, generalized to incorporate more than one </w:t>
      </w:r>
      <m:oMath>
        <m:r>
          <w:rPr>
            <w:rFonts w:ascii="Cambria Math" w:eastAsia="Calibri" w:hAnsi="Cambria Math"/>
            <w:sz w:val="24"/>
            <w:szCs w:val="24"/>
          </w:rPr>
          <m:t>j</m:t>
        </m:r>
      </m:oMath>
      <w:r w:rsidRPr="00B50F1D">
        <w:rPr>
          <w:rFonts w:eastAsia="Calibri"/>
          <w:sz w:val="24"/>
          <w:szCs w:val="24"/>
        </w:rPr>
        <w:t xml:space="preserve"> region, and estimate VAR and MS-VAR models to examine how well our theory holds up empirically. Our empirical models fit our theoretical model well by allowing us to simultaneously estimate equation (7) for multiple regions, with the designation of region </w:t>
      </w:r>
      <m:oMath>
        <m:r>
          <w:rPr>
            <w:rFonts w:ascii="Cambria Math" w:eastAsia="Calibri" w:hAnsi="Cambria Math"/>
            <w:sz w:val="24"/>
            <w:szCs w:val="24"/>
          </w:rPr>
          <m:t>i</m:t>
        </m:r>
      </m:oMath>
      <w:r w:rsidRPr="00B50F1D">
        <w:rPr>
          <w:rFonts w:eastAsia="Calibri"/>
          <w:sz w:val="24"/>
          <w:szCs w:val="24"/>
        </w:rPr>
        <w:t xml:space="preserve"> and regions </w:t>
      </w:r>
      <m:oMath>
        <m:r>
          <w:rPr>
            <w:rFonts w:ascii="Cambria Math" w:eastAsia="Calibri" w:hAnsi="Cambria Math"/>
            <w:sz w:val="24"/>
            <w:szCs w:val="24"/>
          </w:rPr>
          <m:t>j</m:t>
        </m:r>
      </m:oMath>
      <w:r w:rsidRPr="00B50F1D">
        <w:rPr>
          <w:rFonts w:eastAsia="Calibri"/>
          <w:sz w:val="24"/>
          <w:szCs w:val="24"/>
        </w:rPr>
        <w:t xml:space="preserve"> alternating across equations. To completely internalize the empirical dynamics, we add separate equations for</w:t>
      </w:r>
      <m:oMath>
        <m:r>
          <w:rPr>
            <w:rFonts w:ascii="Cambria Math" w:eastAsia="Calibri"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HM</m:t>
            </m:r>
          </m:e>
          <m:sub>
            <m:r>
              <w:rPr>
                <w:rFonts w:ascii="Cambria Math" w:eastAsia="Calibri" w:hAnsi="Cambria Math"/>
                <w:sz w:val="24"/>
                <w:szCs w:val="24"/>
              </w:rPr>
              <m:t>j,t</m:t>
            </m:r>
          </m:sub>
        </m:sSub>
      </m:oMath>
      <w:r w:rsidRPr="00B50F1D">
        <w:rPr>
          <w:rFonts w:eastAsia="Times New Roman"/>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HS</m:t>
            </m:r>
          </m:e>
          <m:sub>
            <m:r>
              <w:rPr>
                <w:rFonts w:ascii="Cambria Math" w:eastAsia="Calibri" w:hAnsi="Cambria Math"/>
                <w:sz w:val="24"/>
                <w:szCs w:val="24"/>
              </w:rPr>
              <m:t>j,t</m:t>
            </m:r>
          </m:sub>
        </m:sSub>
      </m:oMath>
      <w:r w:rsidRPr="00B50F1D">
        <w:rPr>
          <w:rFonts w:eastAsia="Times New Roman"/>
          <w:sz w:val="24"/>
          <w:szCs w:val="24"/>
        </w:rPr>
        <w:t xml:space="preserve">, and </w:t>
      </w:r>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j,t</m:t>
            </m:r>
          </m:sub>
        </m:sSub>
      </m:oMath>
      <w:r w:rsidRPr="00B50F1D">
        <w:rPr>
          <w:rFonts w:eastAsia="Times New Roman"/>
          <w:sz w:val="24"/>
          <w:szCs w:val="24"/>
        </w:rPr>
        <w:t xml:space="preserve">, each as a function of </w:t>
      </w:r>
      <m:oMath>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i,t-1</m:t>
            </m:r>
          </m:sub>
        </m:sSub>
      </m:oMath>
      <w:r w:rsidRPr="00B50F1D">
        <w:rPr>
          <w:rFonts w:eastAsia="Calibri"/>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HS</m:t>
            </m:r>
          </m:e>
          <m:sub>
            <m:r>
              <w:rPr>
                <w:rFonts w:ascii="Cambria Math" w:eastAsia="Calibri" w:hAnsi="Cambria Math"/>
                <w:sz w:val="24"/>
                <w:szCs w:val="24"/>
              </w:rPr>
              <m:t>j,t-1</m:t>
            </m:r>
          </m:sub>
        </m:sSub>
      </m:oMath>
      <w:r w:rsidRPr="00B50F1D">
        <w:rPr>
          <w:rFonts w:eastAsia="Calibri"/>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j,t-1</m:t>
            </m:r>
          </m:sub>
        </m:sSub>
      </m:oMath>
      <w:r w:rsidRPr="00B50F1D">
        <w:rPr>
          <w:rFonts w:eastAsia="Calibri"/>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HM</m:t>
            </m:r>
          </m:e>
          <m:sub>
            <m:r>
              <w:rPr>
                <w:rFonts w:ascii="Cambria Math" w:eastAsia="Calibri" w:hAnsi="Cambria Math"/>
                <w:sz w:val="24"/>
                <w:szCs w:val="24"/>
              </w:rPr>
              <m:t>j,t-1</m:t>
            </m:r>
          </m:sub>
        </m:sSub>
      </m:oMath>
      <w:r w:rsidRPr="00B50F1D">
        <w:rPr>
          <w:rFonts w:eastAsia="Times New Roman"/>
          <w:sz w:val="24"/>
          <w:szCs w:val="24"/>
        </w:rPr>
        <w:t>).</w:t>
      </w:r>
      <w:r w:rsidR="00681989">
        <w:rPr>
          <w:rStyle w:val="FootnoteReference"/>
          <w:rFonts w:eastAsia="Times New Roman"/>
          <w:sz w:val="24"/>
          <w:szCs w:val="24"/>
        </w:rPr>
        <w:footnoteReference w:id="13"/>
      </w:r>
    </w:p>
    <w:p w14:paraId="4C78119B" w14:textId="55BD54DB"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Underlying the parameters </w:t>
      </w:r>
      <m:oMath>
        <m:r>
          <w:rPr>
            <w:rFonts w:ascii="Cambria Math" w:eastAsia="Times New Roman" w:hAnsi="Cambria Math"/>
            <w:sz w:val="24"/>
            <w:szCs w:val="24"/>
          </w:rPr>
          <m:t>(</m:t>
        </m:r>
        <m:sSub>
          <m:sSubPr>
            <m:ctrlPr>
              <w:rPr>
                <w:rFonts w:ascii="Cambria Math" w:eastAsia="Times New Roman" w:hAnsi="Cambria Math" w:cs="Consolas"/>
                <w:i/>
                <w:szCs w:val="21"/>
              </w:rPr>
            </m:ctrlPr>
          </m:sSubPr>
          <m:e>
            <m:r>
              <w:rPr>
                <w:rFonts w:ascii="Cambria Math" w:eastAsia="Times New Roman" w:hAnsi="Cambria Math" w:cs="Consolas"/>
                <w:sz w:val="24"/>
                <w:szCs w:val="24"/>
              </w:rPr>
              <m:t>m</m:t>
            </m:r>
          </m:e>
          <m:sub>
            <m:r>
              <w:rPr>
                <w:rFonts w:ascii="Cambria Math" w:eastAsia="Times New Roman" w:hAnsi="Cambria Math" w:cs="Consolas"/>
                <w:sz w:val="24"/>
                <w:szCs w:val="24"/>
              </w:rPr>
              <m:t>s,i</m:t>
            </m:r>
          </m:sub>
        </m:sSub>
        <m:sSub>
          <m:sSubPr>
            <m:ctrlPr>
              <w:rPr>
                <w:rFonts w:ascii="Cambria Math" w:eastAsia="Times New Roman" w:hAnsi="Cambria Math" w:cs="Consolas"/>
                <w:i/>
                <w:szCs w:val="21"/>
              </w:rPr>
            </m:ctrlPr>
          </m:sSubPr>
          <m:e>
            <m:r>
              <w:rPr>
                <w:rFonts w:ascii="Cambria Math" w:eastAsia="Times New Roman" w:hAnsi="Cambria Math" w:cs="Consolas"/>
                <w:sz w:val="24"/>
                <w:szCs w:val="24"/>
              </w:rPr>
              <m:t xml:space="preserve">, </m:t>
            </m:r>
            <m:sSub>
              <m:sSubPr>
                <m:ctrlPr>
                  <w:rPr>
                    <w:rFonts w:ascii="Cambria Math" w:eastAsia="Times New Roman" w:hAnsi="Cambria Math" w:cs="Consolas"/>
                    <w:i/>
                    <w:szCs w:val="21"/>
                  </w:rPr>
                </m:ctrlPr>
              </m:sSubPr>
              <m:e>
                <m:r>
                  <w:rPr>
                    <w:rFonts w:ascii="Cambria Math" w:eastAsia="Times New Roman" w:hAnsi="Cambria Math" w:cs="Consolas"/>
                    <w:sz w:val="24"/>
                    <w:szCs w:val="24"/>
                  </w:rPr>
                  <m:t>m</m:t>
                </m:r>
              </m:e>
              <m:sub>
                <m:r>
                  <w:rPr>
                    <w:rFonts w:ascii="Cambria Math" w:eastAsia="Times New Roman" w:hAnsi="Cambria Math" w:cs="Consolas"/>
                    <w:sz w:val="24"/>
                    <w:szCs w:val="24"/>
                  </w:rPr>
                  <m:t>s,j</m:t>
                </m:r>
              </m:sub>
            </m:sSub>
            <m:r>
              <w:rPr>
                <w:rFonts w:ascii="Cambria Math" w:eastAsia="Times New Roman" w:hAnsi="Cambria Math" w:cs="Consolas"/>
                <w:sz w:val="24"/>
                <w:szCs w:val="24"/>
              </w:rPr>
              <m:t>, β</m:t>
            </m:r>
          </m:e>
          <m:sub>
            <m:r>
              <w:rPr>
                <w:rFonts w:ascii="Cambria Math" w:eastAsia="Times New Roman" w:hAnsi="Cambria Math" w:cs="Consolas"/>
                <w:sz w:val="24"/>
                <w:szCs w:val="24"/>
              </w:rPr>
              <m:t>s,j</m:t>
            </m:r>
          </m:sub>
        </m:sSub>
        <m:r>
          <w:rPr>
            <w:rFonts w:ascii="Cambria Math" w:eastAsia="Times New Roman" w:hAnsi="Cambria Math" w:cs="Consolas"/>
            <w:sz w:val="24"/>
            <w:szCs w:val="24"/>
          </w:rPr>
          <m:t xml:space="preserve">, </m:t>
        </m:r>
        <m:sSub>
          <m:sSubPr>
            <m:ctrlPr>
              <w:rPr>
                <w:rFonts w:ascii="Cambria Math" w:eastAsia="Times New Roman" w:hAnsi="Cambria Math" w:cs="Consolas"/>
                <w:i/>
                <w:szCs w:val="21"/>
              </w:rPr>
            </m:ctrlPr>
          </m:sSubPr>
          <m:e>
            <m:sSub>
              <m:sSubPr>
                <m:ctrlPr>
                  <w:rPr>
                    <w:rFonts w:ascii="Cambria Math" w:eastAsia="Times New Roman" w:hAnsi="Cambria Math" w:cs="Consolas"/>
                    <w:i/>
                    <w:szCs w:val="21"/>
                  </w:rPr>
                </m:ctrlPr>
              </m:sSubPr>
              <m:e>
                <m:r>
                  <w:rPr>
                    <w:rFonts w:ascii="Cambria Math" w:eastAsia="Times New Roman" w:hAnsi="Cambria Math" w:cs="Consolas"/>
                    <w:sz w:val="24"/>
                    <w:szCs w:val="24"/>
                  </w:rPr>
                  <m:t>q</m:t>
                </m:r>
              </m:e>
              <m:sub>
                <m:r>
                  <w:rPr>
                    <w:rFonts w:ascii="Cambria Math" w:eastAsia="Times New Roman" w:hAnsi="Cambria Math" w:cs="Consolas"/>
                    <w:sz w:val="24"/>
                    <w:szCs w:val="24"/>
                  </w:rPr>
                  <m:t>s,i</m:t>
                </m:r>
              </m:sub>
            </m:sSub>
            <m:r>
              <w:rPr>
                <w:rFonts w:ascii="Cambria Math" w:eastAsia="Times New Roman" w:hAnsi="Cambria Math" w:cs="Consolas"/>
                <w:sz w:val="24"/>
                <w:szCs w:val="24"/>
              </w:rPr>
              <m:t>,</m:t>
            </m:r>
            <m:sSub>
              <m:sSubPr>
                <m:ctrlPr>
                  <w:rPr>
                    <w:rFonts w:ascii="Cambria Math" w:eastAsia="Times New Roman" w:hAnsi="Cambria Math" w:cs="Consolas"/>
                    <w:i/>
                    <w:szCs w:val="21"/>
                  </w:rPr>
                </m:ctrlPr>
              </m:sSubPr>
              <m:e>
                <m:r>
                  <w:rPr>
                    <w:rFonts w:ascii="Cambria Math" w:eastAsia="Times New Roman" w:hAnsi="Cambria Math" w:cs="Consolas"/>
                    <w:sz w:val="24"/>
                    <w:szCs w:val="24"/>
                  </w:rPr>
                  <m:t>q</m:t>
                </m:r>
              </m:e>
              <m:sub>
                <m:r>
                  <w:rPr>
                    <w:rFonts w:ascii="Cambria Math" w:eastAsia="Times New Roman" w:hAnsi="Cambria Math" w:cs="Consolas"/>
                    <w:sz w:val="24"/>
                    <w:szCs w:val="24"/>
                  </w:rPr>
                  <m:t>s,j</m:t>
                </m:r>
              </m:sub>
            </m:sSub>
            <m:r>
              <w:rPr>
                <w:rFonts w:ascii="Cambria Math" w:eastAsia="Times New Roman" w:hAnsi="Cambria Math" w:cs="Consolas"/>
                <w:sz w:val="24"/>
                <w:szCs w:val="24"/>
              </w:rPr>
              <m:t>, β</m:t>
            </m:r>
          </m:e>
          <m:sub>
            <m:r>
              <w:rPr>
                <w:rFonts w:ascii="Cambria Math" w:eastAsia="Times New Roman" w:hAnsi="Cambria Math" w:cs="Consolas"/>
                <w:sz w:val="24"/>
                <w:szCs w:val="24"/>
              </w:rPr>
              <m:t>s,i</m:t>
            </m:r>
          </m:sub>
        </m:sSub>
        <m:r>
          <w:rPr>
            <w:rFonts w:ascii="Cambria Math" w:eastAsia="Times New Roman" w:hAnsi="Cambria Math" w:cs="Consolas"/>
            <w:szCs w:val="21"/>
          </w:rPr>
          <m:t>)</m:t>
        </m:r>
      </m:oMath>
      <w:r w:rsidR="006E0831" w:rsidRPr="00B50F1D">
        <w:rPr>
          <w:rFonts w:eastAsia="Times New Roman"/>
          <w:sz w:val="24"/>
          <w:szCs w:val="24"/>
        </w:rPr>
        <w:t xml:space="preserve"> </w:t>
      </w:r>
      <w:r w:rsidRPr="00B50F1D">
        <w:rPr>
          <w:rFonts w:eastAsia="Calibri"/>
          <w:sz w:val="24"/>
          <w:szCs w:val="24"/>
        </w:rPr>
        <w:t xml:space="preserve">are economic and other factors affecting the supply and demand of housing in each region. These parameters can vary across </w:t>
      </w:r>
      <w:r w:rsidRPr="00B50F1D">
        <w:rPr>
          <w:rFonts w:eastAsia="Calibri"/>
          <w:sz w:val="24"/>
          <w:szCs w:val="24"/>
        </w:rPr>
        <w:lastRenderedPageBreak/>
        <w:t>regimes. While there may be one, two</w:t>
      </w:r>
      <w:r w:rsidR="007769D5">
        <w:rPr>
          <w:rFonts w:eastAsia="Calibri"/>
          <w:sz w:val="24"/>
          <w:szCs w:val="24"/>
        </w:rPr>
        <w:t>,</w:t>
      </w:r>
      <w:r w:rsidRPr="00B50F1D">
        <w:rPr>
          <w:rFonts w:eastAsia="Calibri"/>
          <w:sz w:val="24"/>
          <w:szCs w:val="24"/>
        </w:rPr>
        <w:t xml:space="preserve"> or more regimes, we </w:t>
      </w:r>
      <w:r w:rsidR="00594777">
        <w:rPr>
          <w:rFonts w:eastAsia="Calibri"/>
          <w:sz w:val="24"/>
          <w:szCs w:val="24"/>
        </w:rPr>
        <w:t>allow the data to help</w:t>
      </w:r>
      <w:r w:rsidR="00065C64">
        <w:rPr>
          <w:rFonts w:eastAsia="Calibri"/>
          <w:sz w:val="24"/>
          <w:szCs w:val="24"/>
        </w:rPr>
        <w:t xml:space="preserve"> us</w:t>
      </w:r>
      <w:r w:rsidR="00594777">
        <w:rPr>
          <w:rFonts w:eastAsia="Calibri"/>
          <w:sz w:val="24"/>
          <w:szCs w:val="24"/>
        </w:rPr>
        <w:t xml:space="preserve"> determine how many regimes there are for each region</w:t>
      </w:r>
      <w:r w:rsidRPr="00B50F1D">
        <w:rPr>
          <w:rFonts w:eastAsia="Calibri"/>
          <w:sz w:val="24"/>
          <w:szCs w:val="24"/>
        </w:rPr>
        <w:t xml:space="preserve">. </w:t>
      </w:r>
    </w:p>
    <w:p w14:paraId="35485574" w14:textId="5B6D2F19" w:rsidR="00B50F1D" w:rsidRPr="00B50F1D" w:rsidRDefault="00B50F1D" w:rsidP="00B50F1D">
      <w:pPr>
        <w:spacing w:after="0" w:line="276" w:lineRule="auto"/>
        <w:ind w:firstLine="720"/>
        <w:rPr>
          <w:rFonts w:eastAsia="Times New Roman"/>
          <w:sz w:val="24"/>
          <w:szCs w:val="24"/>
        </w:rPr>
      </w:pPr>
      <w:r w:rsidRPr="00B50F1D">
        <w:rPr>
          <w:rFonts w:eastAsia="Times New Roman"/>
          <w:sz w:val="24"/>
          <w:szCs w:val="24"/>
        </w:rPr>
        <w:t xml:space="preserve">Assuming multiple regimes, the parameters </w:t>
      </w:r>
      <m:oMath>
        <m:r>
          <w:rPr>
            <w:rFonts w:ascii="Cambria Math" w:eastAsia="Times New Roman" w:hAnsi="Cambria Math"/>
            <w:sz w:val="24"/>
            <w:szCs w:val="24"/>
          </w:rPr>
          <m:t>(</m:t>
        </m:r>
        <m:sSub>
          <m:sSubPr>
            <m:ctrlPr>
              <w:rPr>
                <w:rFonts w:ascii="Cambria Math" w:eastAsia="Times New Roman" w:hAnsi="Cambria Math" w:cs="Consolas"/>
                <w:i/>
                <w:szCs w:val="21"/>
              </w:rPr>
            </m:ctrlPr>
          </m:sSubPr>
          <m:e>
            <m:r>
              <w:rPr>
                <w:rFonts w:ascii="Cambria Math" w:eastAsia="Times New Roman" w:hAnsi="Cambria Math" w:cs="Consolas"/>
                <w:sz w:val="24"/>
                <w:szCs w:val="24"/>
              </w:rPr>
              <m:t>m</m:t>
            </m:r>
          </m:e>
          <m:sub>
            <m:r>
              <w:rPr>
                <w:rFonts w:ascii="Cambria Math" w:eastAsia="Times New Roman" w:hAnsi="Cambria Math" w:cs="Consolas"/>
                <w:sz w:val="24"/>
                <w:szCs w:val="24"/>
              </w:rPr>
              <m:t>s,i</m:t>
            </m:r>
          </m:sub>
        </m:sSub>
        <m:sSub>
          <m:sSubPr>
            <m:ctrlPr>
              <w:rPr>
                <w:rFonts w:ascii="Cambria Math" w:eastAsia="Times New Roman" w:hAnsi="Cambria Math" w:cs="Consolas"/>
                <w:i/>
                <w:szCs w:val="21"/>
              </w:rPr>
            </m:ctrlPr>
          </m:sSubPr>
          <m:e>
            <m:r>
              <w:rPr>
                <w:rFonts w:ascii="Cambria Math" w:eastAsia="Times New Roman" w:hAnsi="Cambria Math" w:cs="Consolas"/>
                <w:sz w:val="24"/>
                <w:szCs w:val="24"/>
              </w:rPr>
              <m:t xml:space="preserve">, </m:t>
            </m:r>
            <m:sSub>
              <m:sSubPr>
                <m:ctrlPr>
                  <w:rPr>
                    <w:rFonts w:ascii="Cambria Math" w:eastAsia="Times New Roman" w:hAnsi="Cambria Math" w:cs="Consolas"/>
                    <w:i/>
                    <w:szCs w:val="21"/>
                  </w:rPr>
                </m:ctrlPr>
              </m:sSubPr>
              <m:e>
                <m:r>
                  <w:rPr>
                    <w:rFonts w:ascii="Cambria Math" w:eastAsia="Times New Roman" w:hAnsi="Cambria Math" w:cs="Consolas"/>
                    <w:sz w:val="24"/>
                    <w:szCs w:val="24"/>
                  </w:rPr>
                  <m:t>m</m:t>
                </m:r>
              </m:e>
              <m:sub>
                <m:r>
                  <w:rPr>
                    <w:rFonts w:ascii="Cambria Math" w:eastAsia="Times New Roman" w:hAnsi="Cambria Math" w:cs="Consolas"/>
                    <w:sz w:val="24"/>
                    <w:szCs w:val="24"/>
                  </w:rPr>
                  <m:t>s,j</m:t>
                </m:r>
              </m:sub>
            </m:sSub>
            <m:r>
              <w:rPr>
                <w:rFonts w:ascii="Cambria Math" w:eastAsia="Times New Roman" w:hAnsi="Cambria Math" w:cs="Consolas"/>
                <w:sz w:val="24"/>
                <w:szCs w:val="24"/>
              </w:rPr>
              <m:t>, β</m:t>
            </m:r>
          </m:e>
          <m:sub>
            <m:r>
              <w:rPr>
                <w:rFonts w:ascii="Cambria Math" w:eastAsia="Times New Roman" w:hAnsi="Cambria Math" w:cs="Consolas"/>
                <w:sz w:val="24"/>
                <w:szCs w:val="24"/>
              </w:rPr>
              <m:t>s,j</m:t>
            </m:r>
          </m:sub>
        </m:sSub>
        <m:r>
          <w:rPr>
            <w:rFonts w:ascii="Cambria Math" w:eastAsia="Times New Roman" w:hAnsi="Cambria Math" w:cs="Consolas"/>
            <w:sz w:val="24"/>
            <w:szCs w:val="24"/>
          </w:rPr>
          <m:t xml:space="preserve">, </m:t>
        </m:r>
        <m:sSub>
          <m:sSubPr>
            <m:ctrlPr>
              <w:rPr>
                <w:rFonts w:ascii="Cambria Math" w:eastAsia="Times New Roman" w:hAnsi="Cambria Math" w:cs="Consolas"/>
                <w:i/>
                <w:szCs w:val="21"/>
              </w:rPr>
            </m:ctrlPr>
          </m:sSubPr>
          <m:e>
            <m:sSub>
              <m:sSubPr>
                <m:ctrlPr>
                  <w:rPr>
                    <w:rFonts w:ascii="Cambria Math" w:eastAsia="Times New Roman" w:hAnsi="Cambria Math" w:cs="Consolas"/>
                    <w:i/>
                    <w:szCs w:val="21"/>
                  </w:rPr>
                </m:ctrlPr>
              </m:sSubPr>
              <m:e>
                <m:r>
                  <w:rPr>
                    <w:rFonts w:ascii="Cambria Math" w:eastAsia="Times New Roman" w:hAnsi="Cambria Math" w:cs="Consolas"/>
                    <w:sz w:val="24"/>
                    <w:szCs w:val="24"/>
                  </w:rPr>
                  <m:t>q</m:t>
                </m:r>
              </m:e>
              <m:sub>
                <m:r>
                  <w:rPr>
                    <w:rFonts w:ascii="Cambria Math" w:eastAsia="Times New Roman" w:hAnsi="Cambria Math" w:cs="Consolas"/>
                    <w:sz w:val="24"/>
                    <w:szCs w:val="24"/>
                  </w:rPr>
                  <m:t>s,i</m:t>
                </m:r>
              </m:sub>
            </m:sSub>
            <m:r>
              <w:rPr>
                <w:rFonts w:ascii="Cambria Math" w:eastAsia="Times New Roman" w:hAnsi="Cambria Math" w:cs="Consolas"/>
                <w:sz w:val="24"/>
                <w:szCs w:val="24"/>
              </w:rPr>
              <m:t>,</m:t>
            </m:r>
            <m:sSub>
              <m:sSubPr>
                <m:ctrlPr>
                  <w:rPr>
                    <w:rFonts w:ascii="Cambria Math" w:eastAsia="Times New Roman" w:hAnsi="Cambria Math" w:cs="Consolas"/>
                    <w:i/>
                    <w:szCs w:val="21"/>
                  </w:rPr>
                </m:ctrlPr>
              </m:sSubPr>
              <m:e>
                <m:r>
                  <w:rPr>
                    <w:rFonts w:ascii="Cambria Math" w:eastAsia="Times New Roman" w:hAnsi="Cambria Math" w:cs="Consolas"/>
                    <w:sz w:val="24"/>
                    <w:szCs w:val="24"/>
                  </w:rPr>
                  <m:t>q</m:t>
                </m:r>
              </m:e>
              <m:sub>
                <m:r>
                  <w:rPr>
                    <w:rFonts w:ascii="Cambria Math" w:eastAsia="Times New Roman" w:hAnsi="Cambria Math" w:cs="Consolas"/>
                    <w:sz w:val="24"/>
                    <w:szCs w:val="24"/>
                  </w:rPr>
                  <m:t>s,j</m:t>
                </m:r>
              </m:sub>
            </m:sSub>
            <m:r>
              <w:rPr>
                <w:rFonts w:ascii="Cambria Math" w:eastAsia="Times New Roman" w:hAnsi="Cambria Math" w:cs="Consolas"/>
                <w:sz w:val="24"/>
                <w:szCs w:val="24"/>
              </w:rPr>
              <m:t>, β</m:t>
            </m:r>
          </m:e>
          <m:sub>
            <m:r>
              <w:rPr>
                <w:rFonts w:ascii="Cambria Math" w:eastAsia="Times New Roman" w:hAnsi="Cambria Math" w:cs="Consolas"/>
                <w:sz w:val="24"/>
                <w:szCs w:val="24"/>
              </w:rPr>
              <m:t>s,i</m:t>
            </m:r>
          </m:sub>
        </m:sSub>
        <m:r>
          <w:rPr>
            <w:rFonts w:ascii="Cambria Math" w:eastAsia="Times New Roman" w:hAnsi="Cambria Math" w:cs="Consolas"/>
            <w:szCs w:val="21"/>
          </w:rPr>
          <m:t>)</m:t>
        </m:r>
      </m:oMath>
      <w:r w:rsidRPr="00B50F1D">
        <w:rPr>
          <w:rFonts w:eastAsia="Times New Roman"/>
          <w:sz w:val="24"/>
          <w:szCs w:val="24"/>
        </w:rPr>
        <w:t xml:space="preserve"> all have regime subscripts, </w:t>
      </w:r>
      <m:oMath>
        <m:r>
          <w:rPr>
            <w:rFonts w:ascii="Cambria Math" w:eastAsia="Times New Roman" w:hAnsi="Cambria Math"/>
            <w:sz w:val="24"/>
            <w:szCs w:val="24"/>
          </w:rPr>
          <m:t>s</m:t>
        </m:r>
      </m:oMath>
      <w:r w:rsidRPr="00B50F1D">
        <w:rPr>
          <w:rFonts w:eastAsia="Times New Roman"/>
          <w:sz w:val="24"/>
          <w:szCs w:val="24"/>
        </w:rPr>
        <w:t xml:space="preserve">, where for the two-regime model, </w:t>
      </w:r>
      <m:oMath>
        <m:r>
          <w:rPr>
            <w:rFonts w:ascii="Cambria Math" w:eastAsia="Times New Roman" w:hAnsi="Cambria Math"/>
            <w:sz w:val="24"/>
            <w:szCs w:val="24"/>
          </w:rPr>
          <m:t>s = {1, 2}</m:t>
        </m:r>
      </m:oMath>
      <w:r w:rsidRPr="00B50F1D">
        <w:rPr>
          <w:rFonts w:eastAsia="Times New Roman"/>
          <w:sz w:val="24"/>
          <w:szCs w:val="24"/>
        </w:rPr>
        <w:t xml:space="preserve"> (or equivalently, in a two-regime model for our application, </w:t>
      </w:r>
      <m:oMath>
        <m:r>
          <w:rPr>
            <w:rFonts w:ascii="Cambria Math" w:eastAsia="Times New Roman" w:hAnsi="Cambria Math"/>
            <w:sz w:val="24"/>
            <w:szCs w:val="24"/>
          </w:rPr>
          <m:t>s</m:t>
        </m:r>
      </m:oMath>
      <w:r w:rsidRPr="00B50F1D">
        <w:rPr>
          <w:rFonts w:eastAsia="Times New Roman"/>
          <w:sz w:val="24"/>
          <w:szCs w:val="24"/>
        </w:rPr>
        <w:t xml:space="preserve"> = {low vacancy, high vacancy}). A key point is that there is a continuous equation constitut</w:t>
      </w:r>
      <w:proofErr w:type="spellStart"/>
      <w:r w:rsidRPr="00B50F1D">
        <w:rPr>
          <w:rFonts w:eastAsia="Times New Roman"/>
          <w:sz w:val="24"/>
          <w:szCs w:val="24"/>
        </w:rPr>
        <w:t>ing</w:t>
      </w:r>
      <w:proofErr w:type="spellEnd"/>
      <w:r w:rsidRPr="00B50F1D">
        <w:rPr>
          <w:rFonts w:eastAsia="Times New Roman"/>
          <w:sz w:val="24"/>
          <w:szCs w:val="24"/>
        </w:rPr>
        <w:t xml:space="preserve"> </w:t>
      </w:r>
      <m:oMath>
        <m:sSub>
          <m:sSubPr>
            <m:ctrlPr>
              <w:rPr>
                <w:rFonts w:ascii="Cambria Math" w:eastAsia="Times New Roman" w:hAnsi="Cambria Math" w:cs="Consolas"/>
                <w:i/>
                <w:szCs w:val="21"/>
              </w:rPr>
            </m:ctrlPr>
          </m:sSubPr>
          <m:e>
            <m:r>
              <w:rPr>
                <w:rFonts w:ascii="Cambria Math" w:eastAsia="Times New Roman" w:hAnsi="Cambria Math" w:cs="Consolas"/>
                <w:sz w:val="24"/>
                <w:szCs w:val="24"/>
              </w:rPr>
              <m:t>V</m:t>
            </m:r>
          </m:e>
          <m:sub>
            <m:r>
              <w:rPr>
                <w:rFonts w:ascii="Cambria Math" w:eastAsia="Times New Roman" w:hAnsi="Cambria Math" w:cs="Consolas"/>
                <w:sz w:val="24"/>
                <w:szCs w:val="24"/>
              </w:rPr>
              <m:t>i,t</m:t>
            </m:r>
          </m:sub>
        </m:sSub>
      </m:oMath>
      <w:r w:rsidRPr="00B50F1D">
        <w:rPr>
          <w:rFonts w:eastAsia="Times New Roman"/>
          <w:sz w:val="24"/>
          <w:szCs w:val="24"/>
        </w:rPr>
        <w:t xml:space="preserve"> for the high vacancy regime, and a continuous equation constituting </w:t>
      </w:r>
      <m:oMath>
        <m:sSub>
          <m:sSubPr>
            <m:ctrlPr>
              <w:rPr>
                <w:rFonts w:ascii="Cambria Math" w:eastAsia="Times New Roman" w:hAnsi="Cambria Math" w:cs="Consolas"/>
                <w:i/>
                <w:szCs w:val="21"/>
              </w:rPr>
            </m:ctrlPr>
          </m:sSubPr>
          <m:e>
            <m:r>
              <w:rPr>
                <w:rFonts w:ascii="Cambria Math" w:eastAsia="Times New Roman" w:hAnsi="Cambria Math" w:cs="Consolas"/>
                <w:sz w:val="24"/>
                <w:szCs w:val="24"/>
              </w:rPr>
              <m:t>V</m:t>
            </m:r>
          </m:e>
          <m:sub>
            <m:r>
              <w:rPr>
                <w:rFonts w:ascii="Cambria Math" w:eastAsia="Times New Roman" w:hAnsi="Cambria Math" w:cs="Consolas"/>
                <w:sz w:val="24"/>
                <w:szCs w:val="24"/>
              </w:rPr>
              <m:t>i,t</m:t>
            </m:r>
          </m:sub>
        </m:sSub>
      </m:oMath>
      <w:r w:rsidRPr="00B50F1D">
        <w:rPr>
          <w:rFonts w:eastAsia="Times New Roman"/>
          <w:sz w:val="24"/>
          <w:szCs w:val="24"/>
        </w:rPr>
        <w:t xml:space="preserve"> in a low vacancy regime. In other words, there are effectively jump discontinuities at the times of regime switches, with a binary regime indicator, but </w:t>
      </w:r>
      <m:oMath>
        <m:sSub>
          <m:sSubPr>
            <m:ctrlPr>
              <w:rPr>
                <w:rFonts w:ascii="Cambria Math" w:eastAsia="Times New Roman" w:hAnsi="Cambria Math" w:cs="Consolas"/>
                <w:i/>
                <w:szCs w:val="21"/>
              </w:rPr>
            </m:ctrlPr>
          </m:sSubPr>
          <m:e>
            <m:r>
              <w:rPr>
                <w:rFonts w:ascii="Cambria Math" w:eastAsia="Times New Roman" w:hAnsi="Cambria Math" w:cs="Consolas"/>
                <w:sz w:val="24"/>
                <w:szCs w:val="24"/>
              </w:rPr>
              <m:t>V</m:t>
            </m:r>
          </m:e>
          <m:sub>
            <m:r>
              <w:rPr>
                <w:rFonts w:ascii="Cambria Math" w:eastAsia="Times New Roman" w:hAnsi="Cambria Math" w:cs="Consolas"/>
                <w:sz w:val="24"/>
                <w:szCs w:val="24"/>
              </w:rPr>
              <m:t>i,t</m:t>
            </m:r>
          </m:sub>
        </m:sSub>
      </m:oMath>
      <w:r w:rsidRPr="00B50F1D">
        <w:rPr>
          <w:rFonts w:eastAsia="Times New Roman"/>
          <w:sz w:val="24"/>
          <w:szCs w:val="24"/>
        </w:rPr>
        <w:t xml:space="preserve"> is con</w:t>
      </w:r>
      <w:proofErr w:type="spellStart"/>
      <w:r w:rsidRPr="00B50F1D">
        <w:rPr>
          <w:rFonts w:eastAsia="Times New Roman"/>
          <w:sz w:val="24"/>
          <w:szCs w:val="24"/>
        </w:rPr>
        <w:t>tinuous</w:t>
      </w:r>
      <w:proofErr w:type="spellEnd"/>
      <w:r w:rsidRPr="00B50F1D">
        <w:rPr>
          <w:rFonts w:eastAsia="Times New Roman"/>
          <w:sz w:val="24"/>
          <w:szCs w:val="24"/>
        </w:rPr>
        <w:t xml:space="preserve"> throughout a particular regime until the next switch. As a concrete example, suppose region </w:t>
      </w:r>
      <m:oMath>
        <m:r>
          <w:rPr>
            <w:rFonts w:ascii="Cambria Math" w:eastAsia="Times New Roman" w:hAnsi="Cambria Math"/>
            <w:sz w:val="24"/>
            <w:szCs w:val="24"/>
          </w:rPr>
          <m:t>i</m:t>
        </m:r>
      </m:oMath>
      <w:r w:rsidRPr="00B50F1D">
        <w:rPr>
          <w:rFonts w:eastAsia="Times New Roman"/>
          <w:sz w:val="24"/>
          <w:szCs w:val="24"/>
        </w:rPr>
        <w:t xml:space="preserve"> is in a low-vacancy regime (i.e., </w:t>
      </w:r>
      <m:oMath>
        <m:r>
          <w:rPr>
            <w:rFonts w:ascii="Cambria Math" w:eastAsia="Times New Roman" w:hAnsi="Cambria Math"/>
            <w:sz w:val="24"/>
            <w:szCs w:val="24"/>
          </w:rPr>
          <m:t>s = 1</m:t>
        </m:r>
      </m:oMath>
      <w:r w:rsidRPr="00B50F1D">
        <w:rPr>
          <w:rFonts w:eastAsia="Times New Roman"/>
          <w:sz w:val="24"/>
          <w:szCs w:val="24"/>
        </w:rPr>
        <w:t xml:space="preserve">) from time </w:t>
      </w:r>
      <m:oMath>
        <m:r>
          <w:rPr>
            <w:rFonts w:ascii="Cambria Math" w:eastAsia="Times New Roman" w:hAnsi="Cambria Math"/>
            <w:sz w:val="24"/>
            <w:szCs w:val="24"/>
          </w:rPr>
          <m:t>t</m:t>
        </m:r>
      </m:oMath>
      <w:r w:rsidRPr="00B50F1D">
        <w:rPr>
          <w:rFonts w:eastAsia="Times New Roman"/>
          <w:sz w:val="24"/>
          <w:szCs w:val="24"/>
        </w:rPr>
        <w:t xml:space="preserve"> to time </w:t>
      </w:r>
      <m:oMath>
        <m:r>
          <w:rPr>
            <w:rFonts w:ascii="Cambria Math" w:eastAsia="Times New Roman" w:hAnsi="Cambria Math"/>
            <w:sz w:val="24"/>
            <w:szCs w:val="24"/>
          </w:rPr>
          <m:t>t+10</m:t>
        </m:r>
      </m:oMath>
      <w:r w:rsidRPr="00B50F1D">
        <w:rPr>
          <w:rFonts w:eastAsia="Times New Roman"/>
          <w:sz w:val="24"/>
          <w:szCs w:val="24"/>
        </w:rPr>
        <w:t xml:space="preserve">, before a switch to a high vacancy regime (i.e., </w:t>
      </w:r>
      <m:oMath>
        <m:r>
          <w:rPr>
            <w:rFonts w:ascii="Cambria Math" w:eastAsia="Times New Roman" w:hAnsi="Cambria Math"/>
            <w:sz w:val="24"/>
            <w:szCs w:val="24"/>
          </w:rPr>
          <m:t>s = 2</m:t>
        </m:r>
      </m:oMath>
      <w:r w:rsidRPr="00B50F1D">
        <w:rPr>
          <w:rFonts w:eastAsia="Times New Roman"/>
          <w:sz w:val="24"/>
          <w:szCs w:val="24"/>
        </w:rPr>
        <w:t xml:space="preserve">) at time </w:t>
      </w:r>
      <m:oMath>
        <m:r>
          <w:rPr>
            <w:rFonts w:ascii="Cambria Math" w:eastAsia="Times New Roman" w:hAnsi="Cambria Math"/>
            <w:sz w:val="24"/>
            <w:szCs w:val="24"/>
          </w:rPr>
          <m:t>t+11</m:t>
        </m:r>
      </m:oMath>
      <w:r w:rsidRPr="00B50F1D">
        <w:rPr>
          <w:rFonts w:eastAsia="Times New Roman"/>
          <w:sz w:val="24"/>
          <w:szCs w:val="24"/>
        </w:rPr>
        <w:t xml:space="preserve">. From time </w:t>
      </w:r>
      <m:oMath>
        <m:r>
          <w:rPr>
            <w:rFonts w:ascii="Cambria Math" w:eastAsia="Times New Roman" w:hAnsi="Cambria Math"/>
            <w:sz w:val="24"/>
            <w:szCs w:val="24"/>
          </w:rPr>
          <m:t>t</m:t>
        </m:r>
      </m:oMath>
      <w:r w:rsidRPr="00B50F1D">
        <w:rPr>
          <w:rFonts w:eastAsia="Times New Roman"/>
          <w:sz w:val="24"/>
          <w:szCs w:val="24"/>
        </w:rPr>
        <w:t xml:space="preserve"> to time </w:t>
      </w:r>
      <m:oMath>
        <m:r>
          <w:rPr>
            <w:rFonts w:ascii="Cambria Math" w:eastAsia="Times New Roman" w:hAnsi="Cambria Math"/>
            <w:sz w:val="24"/>
            <w:szCs w:val="24"/>
          </w:rPr>
          <m:t>t+10</m:t>
        </m:r>
      </m:oMath>
      <w:r w:rsidRPr="00B50F1D">
        <w:rPr>
          <w:rFonts w:eastAsia="Times New Roman"/>
          <w:sz w:val="24"/>
          <w:szCs w:val="24"/>
        </w:rPr>
        <w:t xml:space="preserve">, </w:t>
      </w:r>
      <m:oMath>
        <m:sSub>
          <m:sSubPr>
            <m:ctrlPr>
              <w:rPr>
                <w:rFonts w:ascii="Cambria Math" w:eastAsia="Times New Roman" w:hAnsi="Cambria Math" w:cs="Consolas"/>
                <w:i/>
                <w:szCs w:val="21"/>
              </w:rPr>
            </m:ctrlPr>
          </m:sSubPr>
          <m:e>
            <m:r>
              <w:rPr>
                <w:rFonts w:ascii="Cambria Math" w:eastAsia="Times New Roman" w:hAnsi="Cambria Math" w:cs="Consolas"/>
                <w:sz w:val="24"/>
                <w:szCs w:val="24"/>
              </w:rPr>
              <m:t>V</m:t>
            </m:r>
          </m:e>
          <m:sub>
            <m:r>
              <w:rPr>
                <w:rFonts w:ascii="Cambria Math" w:eastAsia="Times New Roman" w:hAnsi="Cambria Math" w:cs="Consolas"/>
                <w:sz w:val="24"/>
                <w:szCs w:val="24"/>
              </w:rPr>
              <m:t>i,t</m:t>
            </m:r>
          </m:sub>
        </m:sSub>
      </m:oMath>
      <w:r w:rsidRPr="00B50F1D">
        <w:rPr>
          <w:rFonts w:eastAsia="Times New Roman"/>
          <w:sz w:val="24"/>
          <w:szCs w:val="24"/>
        </w:rPr>
        <w:t xml:space="preserve"> will be characterized by a continuous, linear equation between it and </w:t>
      </w:r>
      <m:oMath>
        <m:sSub>
          <m:sSubPr>
            <m:ctrlPr>
              <w:rPr>
                <w:rFonts w:ascii="Cambria Math" w:eastAsia="Times New Roman" w:hAnsi="Cambria Math" w:cs="Consolas"/>
                <w:i/>
                <w:szCs w:val="21"/>
              </w:rPr>
            </m:ctrlPr>
          </m:sSubPr>
          <m:e>
            <m:r>
              <w:rPr>
                <w:rFonts w:ascii="Cambria Math" w:eastAsia="Times New Roman" w:hAnsi="Cambria Math" w:cs="Consolas"/>
                <w:sz w:val="24"/>
                <w:szCs w:val="24"/>
              </w:rPr>
              <m:t>V</m:t>
            </m:r>
          </m:e>
          <m:sub>
            <m:r>
              <w:rPr>
                <w:rFonts w:ascii="Cambria Math" w:eastAsia="Times New Roman" w:hAnsi="Cambria Math" w:cs="Consolas"/>
                <w:sz w:val="24"/>
                <w:szCs w:val="24"/>
              </w:rPr>
              <m:t>j,t</m:t>
            </m:r>
          </m:sub>
        </m:sSub>
      </m:oMath>
      <w:r w:rsidRPr="00B50F1D">
        <w:rPr>
          <w:rFonts w:eastAsia="Times New Roman"/>
          <w:sz w:val="24"/>
          <w:szCs w:val="24"/>
        </w:rPr>
        <w:t xml:space="preserve">. Then, from </w:t>
      </w:r>
      <m:oMath>
        <m:r>
          <w:rPr>
            <w:rFonts w:ascii="Cambria Math" w:eastAsia="Times New Roman" w:hAnsi="Cambria Math"/>
            <w:sz w:val="24"/>
            <w:szCs w:val="24"/>
          </w:rPr>
          <m:t>t+11</m:t>
        </m:r>
      </m:oMath>
      <w:r w:rsidRPr="00B50F1D">
        <w:rPr>
          <w:rFonts w:eastAsia="Times New Roman"/>
          <w:sz w:val="24"/>
          <w:szCs w:val="24"/>
        </w:rPr>
        <w:t xml:space="preserve"> until the next regime switch, there will be a separate, regime 2-related continuous, linear equation describing the relationship between </w:t>
      </w:r>
      <m:oMath>
        <m:sSub>
          <m:sSubPr>
            <m:ctrlPr>
              <w:rPr>
                <w:rFonts w:ascii="Cambria Math" w:eastAsia="Times New Roman" w:hAnsi="Cambria Math" w:cs="Consolas"/>
                <w:i/>
                <w:szCs w:val="21"/>
              </w:rPr>
            </m:ctrlPr>
          </m:sSubPr>
          <m:e>
            <m:r>
              <w:rPr>
                <w:rFonts w:ascii="Cambria Math" w:eastAsia="Times New Roman" w:hAnsi="Cambria Math" w:cs="Consolas"/>
                <w:sz w:val="24"/>
                <w:szCs w:val="24"/>
              </w:rPr>
              <m:t>V</m:t>
            </m:r>
          </m:e>
          <m:sub>
            <m:r>
              <w:rPr>
                <w:rFonts w:ascii="Cambria Math" w:eastAsia="Times New Roman" w:hAnsi="Cambria Math" w:cs="Consolas"/>
                <w:sz w:val="24"/>
                <w:szCs w:val="24"/>
              </w:rPr>
              <m:t>i,t</m:t>
            </m:r>
          </m:sub>
        </m:sSub>
      </m:oMath>
      <w:r w:rsidRPr="00B50F1D">
        <w:rPr>
          <w:rFonts w:eastAsia="Times New Roman"/>
          <w:sz w:val="24"/>
          <w:szCs w:val="24"/>
        </w:rPr>
        <w:t xml:space="preserve"> and </w:t>
      </w:r>
      <m:oMath>
        <m:sSub>
          <m:sSubPr>
            <m:ctrlPr>
              <w:rPr>
                <w:rFonts w:ascii="Cambria Math" w:eastAsia="Times New Roman" w:hAnsi="Cambria Math" w:cs="Consolas"/>
                <w:i/>
                <w:szCs w:val="21"/>
              </w:rPr>
            </m:ctrlPr>
          </m:sSubPr>
          <m:e>
            <m:r>
              <w:rPr>
                <w:rFonts w:ascii="Cambria Math" w:eastAsia="Times New Roman" w:hAnsi="Cambria Math" w:cs="Consolas"/>
                <w:sz w:val="24"/>
                <w:szCs w:val="24"/>
              </w:rPr>
              <m:t>V</m:t>
            </m:r>
          </m:e>
          <m:sub>
            <m:r>
              <w:rPr>
                <w:rFonts w:ascii="Cambria Math" w:eastAsia="Times New Roman" w:hAnsi="Cambria Math" w:cs="Consolas"/>
                <w:sz w:val="24"/>
                <w:szCs w:val="24"/>
              </w:rPr>
              <m:t>j,t</m:t>
            </m:r>
          </m:sub>
        </m:sSub>
      </m:oMath>
      <w:r w:rsidRPr="00B50F1D">
        <w:rPr>
          <w:rFonts w:eastAsia="Times New Roman"/>
          <w:sz w:val="24"/>
          <w:szCs w:val="24"/>
        </w:rPr>
        <w:t xml:space="preserve">.  </w:t>
      </w:r>
    </w:p>
    <w:p w14:paraId="33031D6E" w14:textId="77777777"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It is our hypothesis that major shifts in the U.S. economy, and thus the national housing market, also cause shifts in the migration of households across regional housing markets. For that reason, we attempt to fit switching models to the data to capture any shifts in the relationship between regional housing markets. Shocks are not restricted to the national economy as regional shocks are possible as well.</w:t>
      </w:r>
    </w:p>
    <w:p w14:paraId="198CDA15" w14:textId="4BAA8897"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The relationships between </w:t>
      </w:r>
      <m:oMath>
        <m:sSub>
          <m:sSubPr>
            <m:ctrlPr>
              <w:rPr>
                <w:rFonts w:ascii="Cambria Math" w:eastAsia="Calibri" w:hAnsi="Cambria Math"/>
                <w:i/>
              </w:rPr>
            </m:ctrlPr>
          </m:sSubPr>
          <m:e>
            <m:r>
              <w:rPr>
                <w:rFonts w:ascii="Cambria Math" w:eastAsia="Calibri" w:hAnsi="Cambria Math"/>
                <w:sz w:val="24"/>
                <w:szCs w:val="24"/>
              </w:rPr>
              <m:t>V</m:t>
            </m:r>
          </m:e>
          <m:sub>
            <m:r>
              <w:rPr>
                <w:rFonts w:ascii="Cambria Math" w:eastAsia="Calibri" w:hAnsi="Cambria Math"/>
                <w:sz w:val="24"/>
                <w:szCs w:val="24"/>
              </w:rPr>
              <m:t>i,t</m:t>
            </m:r>
          </m:sub>
        </m:sSub>
      </m:oMath>
      <w:r w:rsidRPr="00B50F1D">
        <w:rPr>
          <w:rFonts w:eastAsia="Calibri"/>
          <w:sz w:val="24"/>
          <w:szCs w:val="24"/>
        </w:rPr>
        <w:t xml:space="preserve"> and </w:t>
      </w:r>
      <m:oMath>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j,t</m:t>
            </m:r>
          </m:sub>
        </m:sSub>
      </m:oMath>
      <w:r w:rsidRPr="00B50F1D">
        <w:rPr>
          <w:rFonts w:eastAsia="Calibri"/>
          <w:sz w:val="24"/>
          <w:szCs w:val="24"/>
        </w:rPr>
        <w:t xml:space="preserve">, </w:t>
      </w:r>
      <m:oMath>
        <m:sSub>
          <m:sSubPr>
            <m:ctrlPr>
              <w:rPr>
                <w:rFonts w:ascii="Cambria Math" w:eastAsia="Calibri" w:hAnsi="Cambria Math"/>
                <w:i/>
              </w:rPr>
            </m:ctrlPr>
          </m:sSubPr>
          <m:e>
            <m:r>
              <w:rPr>
                <w:rFonts w:ascii="Cambria Math" w:eastAsia="Calibri" w:hAnsi="Cambria Math"/>
                <w:sz w:val="24"/>
                <w:szCs w:val="24"/>
              </w:rPr>
              <m:t>V</m:t>
            </m:r>
          </m:e>
          <m:sub>
            <m:r>
              <w:rPr>
                <w:rFonts w:ascii="Cambria Math" w:eastAsia="Calibri" w:hAnsi="Cambria Math"/>
                <w:sz w:val="24"/>
                <w:szCs w:val="24"/>
              </w:rPr>
              <m:t>j,t</m:t>
            </m:r>
          </m:sub>
        </m:sSub>
      </m:oMath>
      <w:r w:rsidRPr="00B50F1D">
        <w:rPr>
          <w:rFonts w:eastAsia="Calibri"/>
          <w:sz w:val="24"/>
          <w:szCs w:val="24"/>
        </w:rPr>
        <w:t xml:space="preserve">, and </w:t>
      </w:r>
      <m:oMath>
        <m:sSub>
          <m:sSubPr>
            <m:ctrlPr>
              <w:rPr>
                <w:rFonts w:ascii="Cambria Math" w:eastAsia="Calibri" w:hAnsi="Cambria Math"/>
                <w:i/>
              </w:rPr>
            </m:ctrlPr>
          </m:sSubPr>
          <m:e>
            <m:r>
              <w:rPr>
                <w:rFonts w:ascii="Cambria Math" w:eastAsia="Calibri" w:hAnsi="Cambria Math"/>
                <w:sz w:val="24"/>
                <w:szCs w:val="24"/>
              </w:rPr>
              <m:t>HM</m:t>
            </m:r>
          </m:e>
          <m:sub>
            <m:r>
              <w:rPr>
                <w:rFonts w:ascii="Cambria Math" w:eastAsia="Calibri" w:hAnsi="Cambria Math"/>
                <w:sz w:val="24"/>
                <w:szCs w:val="24"/>
              </w:rPr>
              <m:t>j,t</m:t>
            </m:r>
          </m:sub>
        </m:sSub>
      </m:oMath>
      <w:r w:rsidRPr="00B50F1D">
        <w:rPr>
          <w:rFonts w:eastAsia="Calibri"/>
          <w:sz w:val="24"/>
          <w:szCs w:val="24"/>
        </w:rPr>
        <w:t xml:space="preserve"> can v</w:t>
      </w:r>
      <w:proofErr w:type="spellStart"/>
      <w:r w:rsidRPr="00B50F1D">
        <w:rPr>
          <w:rFonts w:eastAsia="Calibri"/>
          <w:sz w:val="24"/>
          <w:szCs w:val="24"/>
        </w:rPr>
        <w:t>ary</w:t>
      </w:r>
      <w:proofErr w:type="spellEnd"/>
      <w:r w:rsidRPr="00B50F1D">
        <w:rPr>
          <w:rFonts w:eastAsia="Calibri"/>
          <w:sz w:val="24"/>
          <w:szCs w:val="24"/>
        </w:rPr>
        <w:t xml:space="preserve"> in different vacancy regimes, due to the regime subscripts underlying the parameters</w:t>
      </w:r>
      <w:r w:rsidR="00BB4C88">
        <w:rPr>
          <w:rFonts w:eastAsia="Calibri"/>
          <w:sz w:val="24"/>
          <w:szCs w:val="24"/>
        </w:rPr>
        <w:t xml:space="preserve"> </w:t>
      </w:r>
      <m:oMath>
        <m:r>
          <w:rPr>
            <w:rFonts w:ascii="Cambria Math" w:eastAsia="Times New Roman" w:hAnsi="Cambria Math"/>
            <w:sz w:val="24"/>
            <w:szCs w:val="24"/>
          </w:rPr>
          <m:t>(</m:t>
        </m:r>
        <m:sSub>
          <m:sSubPr>
            <m:ctrlPr>
              <w:rPr>
                <w:rFonts w:ascii="Cambria Math" w:eastAsia="Times New Roman" w:hAnsi="Cambria Math" w:cs="Consolas"/>
                <w:i/>
                <w:szCs w:val="21"/>
              </w:rPr>
            </m:ctrlPr>
          </m:sSubPr>
          <m:e>
            <m:r>
              <w:rPr>
                <w:rFonts w:ascii="Cambria Math" w:eastAsia="Times New Roman" w:hAnsi="Cambria Math" w:cs="Consolas"/>
                <w:sz w:val="24"/>
                <w:szCs w:val="24"/>
              </w:rPr>
              <m:t>m</m:t>
            </m:r>
          </m:e>
          <m:sub>
            <m:r>
              <w:rPr>
                <w:rFonts w:ascii="Cambria Math" w:eastAsia="Times New Roman" w:hAnsi="Cambria Math" w:cs="Consolas"/>
                <w:sz w:val="24"/>
                <w:szCs w:val="24"/>
              </w:rPr>
              <m:t>s,i</m:t>
            </m:r>
          </m:sub>
        </m:sSub>
        <m:sSub>
          <m:sSubPr>
            <m:ctrlPr>
              <w:rPr>
                <w:rFonts w:ascii="Cambria Math" w:eastAsia="Times New Roman" w:hAnsi="Cambria Math" w:cs="Consolas"/>
                <w:i/>
                <w:szCs w:val="21"/>
              </w:rPr>
            </m:ctrlPr>
          </m:sSubPr>
          <m:e>
            <m:r>
              <w:rPr>
                <w:rFonts w:ascii="Cambria Math" w:eastAsia="Times New Roman" w:hAnsi="Cambria Math" w:cs="Consolas"/>
                <w:sz w:val="24"/>
                <w:szCs w:val="24"/>
              </w:rPr>
              <m:t xml:space="preserve">, </m:t>
            </m:r>
            <m:sSub>
              <m:sSubPr>
                <m:ctrlPr>
                  <w:rPr>
                    <w:rFonts w:ascii="Cambria Math" w:eastAsia="Times New Roman" w:hAnsi="Cambria Math" w:cs="Consolas"/>
                    <w:i/>
                    <w:szCs w:val="21"/>
                  </w:rPr>
                </m:ctrlPr>
              </m:sSubPr>
              <m:e>
                <m:r>
                  <w:rPr>
                    <w:rFonts w:ascii="Cambria Math" w:eastAsia="Times New Roman" w:hAnsi="Cambria Math" w:cs="Consolas"/>
                    <w:sz w:val="24"/>
                    <w:szCs w:val="24"/>
                  </w:rPr>
                  <m:t>m</m:t>
                </m:r>
              </m:e>
              <m:sub>
                <m:r>
                  <w:rPr>
                    <w:rFonts w:ascii="Cambria Math" w:eastAsia="Times New Roman" w:hAnsi="Cambria Math" w:cs="Consolas"/>
                    <w:sz w:val="24"/>
                    <w:szCs w:val="24"/>
                  </w:rPr>
                  <m:t>s,j</m:t>
                </m:r>
              </m:sub>
            </m:sSub>
            <m:r>
              <w:rPr>
                <w:rFonts w:ascii="Cambria Math" w:eastAsia="Times New Roman" w:hAnsi="Cambria Math" w:cs="Consolas"/>
                <w:sz w:val="24"/>
                <w:szCs w:val="24"/>
              </w:rPr>
              <m:t>, β</m:t>
            </m:r>
          </m:e>
          <m:sub>
            <m:r>
              <w:rPr>
                <w:rFonts w:ascii="Cambria Math" w:eastAsia="Times New Roman" w:hAnsi="Cambria Math" w:cs="Consolas"/>
                <w:sz w:val="24"/>
                <w:szCs w:val="24"/>
              </w:rPr>
              <m:t>s,j</m:t>
            </m:r>
          </m:sub>
        </m:sSub>
        <m:r>
          <w:rPr>
            <w:rFonts w:ascii="Cambria Math" w:eastAsia="Times New Roman" w:hAnsi="Cambria Math" w:cs="Consolas"/>
            <w:sz w:val="24"/>
            <w:szCs w:val="24"/>
          </w:rPr>
          <m:t xml:space="preserve">, </m:t>
        </m:r>
        <m:sSub>
          <m:sSubPr>
            <m:ctrlPr>
              <w:rPr>
                <w:rFonts w:ascii="Cambria Math" w:eastAsia="Times New Roman" w:hAnsi="Cambria Math" w:cs="Consolas"/>
                <w:i/>
                <w:szCs w:val="21"/>
              </w:rPr>
            </m:ctrlPr>
          </m:sSubPr>
          <m:e>
            <m:sSub>
              <m:sSubPr>
                <m:ctrlPr>
                  <w:rPr>
                    <w:rFonts w:ascii="Cambria Math" w:eastAsia="Times New Roman" w:hAnsi="Cambria Math" w:cs="Consolas"/>
                    <w:i/>
                    <w:szCs w:val="21"/>
                  </w:rPr>
                </m:ctrlPr>
              </m:sSubPr>
              <m:e>
                <m:r>
                  <w:rPr>
                    <w:rFonts w:ascii="Cambria Math" w:eastAsia="Times New Roman" w:hAnsi="Cambria Math" w:cs="Consolas"/>
                    <w:sz w:val="24"/>
                    <w:szCs w:val="24"/>
                  </w:rPr>
                  <m:t>q</m:t>
                </m:r>
              </m:e>
              <m:sub>
                <m:r>
                  <w:rPr>
                    <w:rFonts w:ascii="Cambria Math" w:eastAsia="Times New Roman" w:hAnsi="Cambria Math" w:cs="Consolas"/>
                    <w:sz w:val="24"/>
                    <w:szCs w:val="24"/>
                  </w:rPr>
                  <m:t>s,i</m:t>
                </m:r>
              </m:sub>
            </m:sSub>
            <m:r>
              <w:rPr>
                <w:rFonts w:ascii="Cambria Math" w:eastAsia="Times New Roman" w:hAnsi="Cambria Math" w:cs="Consolas"/>
                <w:sz w:val="24"/>
                <w:szCs w:val="24"/>
              </w:rPr>
              <m:t>,</m:t>
            </m:r>
            <m:sSub>
              <m:sSubPr>
                <m:ctrlPr>
                  <w:rPr>
                    <w:rFonts w:ascii="Cambria Math" w:eastAsia="Times New Roman" w:hAnsi="Cambria Math" w:cs="Consolas"/>
                    <w:i/>
                    <w:szCs w:val="21"/>
                  </w:rPr>
                </m:ctrlPr>
              </m:sSubPr>
              <m:e>
                <m:r>
                  <w:rPr>
                    <w:rFonts w:ascii="Cambria Math" w:eastAsia="Times New Roman" w:hAnsi="Cambria Math" w:cs="Consolas"/>
                    <w:sz w:val="24"/>
                    <w:szCs w:val="24"/>
                  </w:rPr>
                  <m:t>q</m:t>
                </m:r>
              </m:e>
              <m:sub>
                <m:r>
                  <w:rPr>
                    <w:rFonts w:ascii="Cambria Math" w:eastAsia="Times New Roman" w:hAnsi="Cambria Math" w:cs="Consolas"/>
                    <w:sz w:val="24"/>
                    <w:szCs w:val="24"/>
                  </w:rPr>
                  <m:t>s,j</m:t>
                </m:r>
              </m:sub>
            </m:sSub>
            <m:r>
              <w:rPr>
                <w:rFonts w:ascii="Cambria Math" w:eastAsia="Times New Roman" w:hAnsi="Cambria Math" w:cs="Consolas"/>
                <w:sz w:val="24"/>
                <w:szCs w:val="24"/>
              </w:rPr>
              <m:t>, β</m:t>
            </m:r>
          </m:e>
          <m:sub>
            <m:r>
              <w:rPr>
                <w:rFonts w:ascii="Cambria Math" w:eastAsia="Times New Roman" w:hAnsi="Cambria Math" w:cs="Consolas"/>
                <w:sz w:val="24"/>
                <w:szCs w:val="24"/>
              </w:rPr>
              <m:t>s,i</m:t>
            </m:r>
          </m:sub>
        </m:sSub>
        <m:r>
          <w:rPr>
            <w:rFonts w:ascii="Cambria Math" w:eastAsia="Times New Roman" w:hAnsi="Cambria Math" w:cs="Consolas"/>
            <w:szCs w:val="21"/>
          </w:rPr>
          <m:t>)</m:t>
        </m:r>
      </m:oMath>
      <w:r w:rsidRPr="00B50F1D">
        <w:rPr>
          <w:rFonts w:eastAsia="Calibri"/>
          <w:sz w:val="24"/>
          <w:szCs w:val="24"/>
        </w:rPr>
        <w:t xml:space="preserve">. We aim to determine the sign and magnitude of these relationships, which can be different in each vacancy regime. We accomplish this by estimating multiple </w:t>
      </w:r>
      <w:proofErr w:type="gramStart"/>
      <w:r w:rsidRPr="00B50F1D">
        <w:rPr>
          <w:rFonts w:eastAsia="Calibri"/>
          <w:sz w:val="24"/>
          <w:szCs w:val="24"/>
        </w:rPr>
        <w:t>regime</w:t>
      </w:r>
      <w:proofErr w:type="gramEnd"/>
      <w:r w:rsidRPr="00B50F1D">
        <w:rPr>
          <w:rFonts w:eastAsia="Calibri"/>
          <w:sz w:val="24"/>
          <w:szCs w:val="24"/>
        </w:rPr>
        <w:t xml:space="preserve">, reduced form MS-VAR models. </w:t>
      </w:r>
    </w:p>
    <w:p w14:paraId="56588540" w14:textId="77777777" w:rsidR="006B2426" w:rsidRPr="00B50F1D" w:rsidRDefault="006B2426" w:rsidP="00B50F1D">
      <w:pPr>
        <w:spacing w:after="200" w:line="276" w:lineRule="auto"/>
        <w:rPr>
          <w:rFonts w:eastAsia="Calibri"/>
          <w:b/>
          <w:sz w:val="24"/>
          <w:szCs w:val="24"/>
        </w:rPr>
      </w:pPr>
    </w:p>
    <w:p w14:paraId="7E8BC5B7" w14:textId="77777777" w:rsidR="00B50F1D" w:rsidRPr="00B50F1D" w:rsidRDefault="00B50F1D" w:rsidP="00B50F1D">
      <w:pPr>
        <w:spacing w:after="200" w:line="276" w:lineRule="auto"/>
        <w:rPr>
          <w:rFonts w:eastAsia="Calibri"/>
          <w:b/>
          <w:sz w:val="24"/>
          <w:szCs w:val="24"/>
        </w:rPr>
      </w:pPr>
      <w:r w:rsidRPr="00B50F1D">
        <w:rPr>
          <w:rFonts w:eastAsia="Calibri"/>
          <w:b/>
          <w:sz w:val="24"/>
          <w:szCs w:val="24"/>
        </w:rPr>
        <w:t>A Markov-switching Model for Vacancy Rates</w:t>
      </w:r>
    </w:p>
    <w:p w14:paraId="532D00D4" w14:textId="04DC5060" w:rsidR="00B50F1D" w:rsidRPr="00B50F1D" w:rsidRDefault="00B50F1D" w:rsidP="00B50F1D">
      <w:pPr>
        <w:spacing w:after="200" w:line="276" w:lineRule="auto"/>
        <w:ind w:firstLine="720"/>
        <w:rPr>
          <w:rFonts w:eastAsia="Calibri"/>
          <w:sz w:val="24"/>
          <w:szCs w:val="24"/>
        </w:rPr>
      </w:pPr>
      <w:r w:rsidRPr="00B50F1D">
        <w:rPr>
          <w:rFonts w:eastAsia="Times New Roman"/>
          <w:sz w:val="24"/>
        </w:rPr>
        <w:t>While we initially estimate constant-only and own-lag-only Markov-switching models to motivate the usage of regime switching, our model of interest is focused on the four U.S. Census regions. It is a reduced-form VAR model centered on a four-region generalization of equation (7)</w:t>
      </w:r>
      <w:r w:rsidRPr="00B50F1D">
        <w:rPr>
          <w:rFonts w:eastAsia="Calibri"/>
          <w:sz w:val="24"/>
          <w:szCs w:val="24"/>
        </w:rPr>
        <w:t xml:space="preserve">. The preferred parametrization of this model would involve twelve equations, one for each region’s </w:t>
      </w:r>
      <m:oMath>
        <m:r>
          <w:rPr>
            <w:rFonts w:ascii="Cambria Math" w:eastAsia="Calibri" w:hAnsi="Cambria Math"/>
          </w:rPr>
          <m:t>V</m:t>
        </m:r>
      </m:oMath>
      <w:r w:rsidRPr="00B50F1D">
        <w:rPr>
          <w:rFonts w:eastAsia="Calibri"/>
          <w:sz w:val="24"/>
          <w:szCs w:val="24"/>
        </w:rPr>
        <w:t xml:space="preserve">, </w:t>
      </w:r>
      <m:oMath>
        <m:r>
          <w:rPr>
            <w:rFonts w:ascii="Cambria Math" w:eastAsia="Calibri" w:hAnsi="Cambria Math"/>
          </w:rPr>
          <m:t>HS</m:t>
        </m:r>
      </m:oMath>
      <w:r w:rsidRPr="00B50F1D">
        <w:rPr>
          <w:rFonts w:eastAsia="Calibri"/>
          <w:sz w:val="24"/>
          <w:szCs w:val="24"/>
        </w:rPr>
        <w:t xml:space="preserve">, and </w:t>
      </w:r>
      <m:oMath>
        <m:r>
          <w:rPr>
            <w:rFonts w:ascii="Cambria Math" w:eastAsia="Calibri" w:hAnsi="Cambria Math"/>
          </w:rPr>
          <m:t>HM</m:t>
        </m:r>
      </m:oMath>
      <w:r w:rsidRPr="00B50F1D">
        <w:rPr>
          <w:rFonts w:eastAsia="Calibri"/>
          <w:sz w:val="24"/>
          <w:szCs w:val="24"/>
        </w:rPr>
        <w:t xml:space="preserve"> variables as functions of the eleven other </w:t>
      </w:r>
      <m:oMath>
        <m:r>
          <w:rPr>
            <w:rFonts w:ascii="Cambria Math" w:eastAsia="Calibri" w:hAnsi="Cambria Math"/>
          </w:rPr>
          <m:t>V</m:t>
        </m:r>
      </m:oMath>
      <w:r w:rsidRPr="00B50F1D">
        <w:rPr>
          <w:rFonts w:eastAsia="Calibri"/>
          <w:sz w:val="24"/>
          <w:szCs w:val="24"/>
        </w:rPr>
        <w:t xml:space="preserve">, </w:t>
      </w:r>
      <m:oMath>
        <m:r>
          <w:rPr>
            <w:rFonts w:ascii="Cambria Math" w:eastAsia="Calibri" w:hAnsi="Cambria Math"/>
          </w:rPr>
          <m:t>HS</m:t>
        </m:r>
      </m:oMath>
      <w:r w:rsidRPr="00B50F1D">
        <w:rPr>
          <w:rFonts w:eastAsia="Calibri"/>
          <w:sz w:val="24"/>
          <w:szCs w:val="24"/>
        </w:rPr>
        <w:t xml:space="preserve">, and </w:t>
      </w:r>
      <m:oMath>
        <m:r>
          <w:rPr>
            <w:rFonts w:ascii="Cambria Math" w:eastAsia="Calibri" w:hAnsi="Cambria Math"/>
          </w:rPr>
          <m:t>HM</m:t>
        </m:r>
      </m:oMath>
      <w:r w:rsidRPr="00B50F1D">
        <w:rPr>
          <w:rFonts w:eastAsia="Calibri"/>
          <w:sz w:val="24"/>
          <w:szCs w:val="24"/>
        </w:rPr>
        <w:t xml:space="preserve"> variables. This would allow a complete internalization of the interregional dynamics implied by equation (7). To illustrate, the equation for the South region’s vacancy rate would be the following:</w:t>
      </w:r>
    </w:p>
    <w:p w14:paraId="0085AEE5" w14:textId="195F544B" w:rsidR="00B50F1D" w:rsidRPr="00B50F1D" w:rsidRDefault="00E96C7A" w:rsidP="00B50F1D">
      <w:pPr>
        <w:spacing w:after="200" w:line="276" w:lineRule="auto"/>
        <w:rPr>
          <w:rFonts w:eastAsia="Times New Roman"/>
          <w:sz w:val="24"/>
          <w:szCs w:val="24"/>
        </w:rPr>
      </w:pPr>
      <m:oMath>
        <m:sSub>
          <m:sSubPr>
            <m:ctrlPr>
              <w:rPr>
                <w:rFonts w:ascii="Cambria Math" w:eastAsia="Calibri" w:hAnsi="Cambria Math"/>
                <w:i/>
                <w:sz w:val="24"/>
                <w:szCs w:val="24"/>
              </w:rPr>
            </m:ctrlPr>
          </m:sSubPr>
          <m:e>
            <m:d>
              <m:dPr>
                <m:ctrlPr>
                  <w:rPr>
                    <w:rFonts w:ascii="Cambria Math" w:eastAsia="Calibri" w:hAnsi="Cambria Math"/>
                    <w:i/>
                    <w:sz w:val="24"/>
                    <w:szCs w:val="24"/>
                  </w:rPr>
                </m:ctrlPr>
              </m:dPr>
              <m:e>
                <m:r>
                  <w:rPr>
                    <w:rFonts w:ascii="Cambria Math" w:eastAsia="Calibri" w:hAnsi="Cambria Math"/>
                    <w:sz w:val="24"/>
                    <w:szCs w:val="24"/>
                  </w:rPr>
                  <m:t>8</m:t>
                </m:r>
              </m:e>
            </m:d>
            <m:r>
              <w:rPr>
                <w:rFonts w:ascii="Cambria Math" w:eastAsia="Calibri" w:hAnsi="Cambria Math"/>
                <w:sz w:val="24"/>
                <w:szCs w:val="24"/>
              </w:rPr>
              <m:t xml:space="preserve"> V</m:t>
            </m:r>
          </m:e>
          <m:sub>
            <m:r>
              <w:rPr>
                <w:rFonts w:ascii="Cambria Math" w:eastAsia="Calibri" w:hAnsi="Cambria Math"/>
                <w:sz w:val="24"/>
                <w:szCs w:val="24"/>
              </w:rPr>
              <m:t>S,t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a</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V</m:t>
            </m:r>
          </m:e>
          <m:sub>
            <m:r>
              <w:rPr>
                <w:rFonts w:ascii="Cambria Math" w:eastAsia="Calibri" w:hAnsi="Cambria Math"/>
                <w:sz w:val="24"/>
                <w:szCs w:val="24"/>
              </w:rPr>
              <m:t>S</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b</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HS</m:t>
            </m:r>
          </m:e>
          <m:sub>
            <m:r>
              <w:rPr>
                <w:rFonts w:ascii="Cambria Math" w:eastAsia="Calibri" w:hAnsi="Cambria Math"/>
                <w:sz w:val="24"/>
                <w:szCs w:val="24"/>
              </w:rPr>
              <m:t>S</m:t>
            </m:r>
          </m:sub>
          <m:sup>
            <m:r>
              <w:rPr>
                <w:rFonts w:ascii="Cambria Math" w:eastAsia="Calibri" w:hAnsi="Cambria Math"/>
                <w:sz w:val="24"/>
                <w:szCs w:val="24"/>
              </w:rPr>
              <m:t>k</m:t>
            </m:r>
          </m:sup>
        </m:sSubSup>
        <m:r>
          <w:rPr>
            <w:rFonts w:ascii="Cambria Math" w:eastAsia="Calibri" w:hAnsi="Cambria Math"/>
            <w:sz w:val="24"/>
            <w:szCs w:val="24"/>
          </w:rPr>
          <m:t>+</m:t>
        </m:r>
        <m:sSubSup>
          <m:sSubSupPr>
            <m:ctrlPr>
              <w:rPr>
                <w:rFonts w:ascii="Cambria Math" w:eastAsia="Calibri" w:hAnsi="Cambria Math"/>
                <w:i/>
                <w:sz w:val="24"/>
                <w:szCs w:val="24"/>
              </w:rPr>
            </m:ctrlPr>
          </m:sSubSupPr>
          <m:e>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r>
              <w:rPr>
                <w:rFonts w:ascii="Cambria Math" w:eastAsia="Calibri" w:hAnsi="Cambria Math"/>
                <w:sz w:val="24"/>
                <w:szCs w:val="24"/>
              </w:rPr>
              <m:t>HM</m:t>
            </m:r>
          </m:e>
          <m:sub>
            <m:r>
              <w:rPr>
                <w:rFonts w:ascii="Cambria Math" w:eastAsia="Calibri" w:hAnsi="Cambria Math"/>
                <w:sz w:val="24"/>
                <w:szCs w:val="24"/>
              </w:rPr>
              <m:t>S</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d</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M</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e</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N</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f</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g</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HS</m:t>
            </m:r>
          </m:e>
          <m:sub>
            <m:r>
              <w:rPr>
                <w:rFonts w:ascii="Cambria Math" w:eastAsia="Calibri" w:hAnsi="Cambria Math"/>
                <w:sz w:val="24"/>
                <w:szCs w:val="24"/>
              </w:rPr>
              <m:t>M</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h</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HS</m:t>
            </m:r>
          </m:e>
          <m:sub>
            <m:r>
              <w:rPr>
                <w:rFonts w:ascii="Cambria Math" w:eastAsia="Calibri" w:hAnsi="Cambria Math"/>
                <w:sz w:val="24"/>
                <w:szCs w:val="24"/>
              </w:rPr>
              <m:t>N</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i</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HS</m:t>
            </m:r>
          </m:e>
          <m:sub>
            <m:r>
              <w:rPr>
                <w:rFonts w:ascii="Cambria Math" w:eastAsia="Calibri" w:hAnsi="Cambria Math"/>
                <w:sz w:val="24"/>
                <w:szCs w:val="24"/>
              </w:rPr>
              <m:t>W</m:t>
            </m:r>
          </m:sub>
          <m:sup>
            <m:r>
              <w:rPr>
                <w:rFonts w:ascii="Cambria Math" w:eastAsia="Calibri" w:hAnsi="Cambria Math"/>
                <w:sz w:val="24"/>
                <w:szCs w:val="24"/>
              </w:rPr>
              <m:t>k</m:t>
            </m:r>
          </m:sup>
        </m:sSubSup>
        <m:r>
          <w:rPr>
            <w:rFonts w:ascii="Cambria Math" w:eastAsia="Calibri" w:hAnsi="Cambria Math"/>
            <w:sz w:val="24"/>
            <w:szCs w:val="24"/>
          </w:rPr>
          <m:t>+</m:t>
        </m:r>
        <m:sSubSup>
          <m:sSubSupPr>
            <m:ctrlPr>
              <w:rPr>
                <w:rFonts w:ascii="Cambria Math" w:eastAsia="Calibri" w:hAnsi="Cambria Math"/>
                <w:i/>
                <w:sz w:val="24"/>
                <w:szCs w:val="24"/>
              </w:rPr>
            </m:ctrlPr>
          </m:sSubSupPr>
          <m:e>
            <m:sSub>
              <m:sSubPr>
                <m:ctrlPr>
                  <w:rPr>
                    <w:rFonts w:ascii="Cambria Math" w:eastAsia="Calibri" w:hAnsi="Cambria Math"/>
                    <w:i/>
                    <w:sz w:val="24"/>
                    <w:szCs w:val="24"/>
                  </w:rPr>
                </m:ctrlPr>
              </m:sSubPr>
              <m:e>
                <m:r>
                  <w:rPr>
                    <w:rFonts w:ascii="Cambria Math" w:eastAsia="Calibri" w:hAnsi="Cambria Math"/>
                    <w:sz w:val="24"/>
                    <w:szCs w:val="24"/>
                  </w:rPr>
                  <m:t>j</m:t>
                </m:r>
              </m:e>
              <m:sub>
                <m:r>
                  <w:rPr>
                    <w:rFonts w:ascii="Cambria Math" w:eastAsia="Calibri" w:hAnsi="Cambria Math"/>
                    <w:sz w:val="24"/>
                    <w:szCs w:val="24"/>
                  </w:rPr>
                  <m:t>s,t</m:t>
                </m:r>
              </m:sub>
            </m:sSub>
            <m:r>
              <w:rPr>
                <w:rFonts w:ascii="Cambria Math" w:eastAsia="Calibri" w:hAnsi="Cambria Math"/>
                <w:sz w:val="24"/>
                <w:szCs w:val="24"/>
              </w:rPr>
              <m:t>HM</m:t>
            </m:r>
          </m:e>
          <m:sub>
            <m:r>
              <w:rPr>
                <w:rFonts w:ascii="Cambria Math" w:eastAsia="Calibri" w:hAnsi="Cambria Math"/>
                <w:sz w:val="24"/>
                <w:szCs w:val="24"/>
              </w:rPr>
              <m:t>M</m:t>
            </m:r>
          </m:sub>
          <m:sup>
            <m:r>
              <w:rPr>
                <w:rFonts w:ascii="Cambria Math" w:eastAsia="Calibri" w:hAnsi="Cambria Math"/>
                <w:sz w:val="24"/>
                <w:szCs w:val="24"/>
              </w:rPr>
              <m:t>k</m:t>
            </m:r>
          </m:sup>
        </m:sSubSup>
        <m:r>
          <w:rPr>
            <w:rFonts w:ascii="Cambria Math" w:eastAsia="Calibri" w:hAnsi="Cambria Math"/>
            <w:sz w:val="24"/>
            <w:szCs w:val="24"/>
          </w:rPr>
          <m:t>+</m:t>
        </m:r>
        <m:sSubSup>
          <m:sSubSupPr>
            <m:ctrlPr>
              <w:rPr>
                <w:rFonts w:ascii="Cambria Math" w:eastAsia="Calibri" w:hAnsi="Cambria Math"/>
                <w:i/>
                <w:sz w:val="24"/>
                <w:szCs w:val="24"/>
              </w:rPr>
            </m:ctrlPr>
          </m:sSubSupPr>
          <m:e>
            <m:sSub>
              <m:sSubPr>
                <m:ctrlPr>
                  <w:rPr>
                    <w:rFonts w:ascii="Cambria Math" w:eastAsia="Calibri" w:hAnsi="Cambria Math"/>
                    <w:i/>
                    <w:sz w:val="24"/>
                    <w:szCs w:val="24"/>
                  </w:rPr>
                </m:ctrlPr>
              </m:sSubPr>
              <m:e>
                <m:r>
                  <w:rPr>
                    <w:rFonts w:ascii="Cambria Math" w:eastAsia="Calibri" w:hAnsi="Cambria Math"/>
                    <w:sz w:val="24"/>
                    <w:szCs w:val="24"/>
                  </w:rPr>
                  <m:t>k</m:t>
                </m:r>
              </m:e>
              <m:sub>
                <m:r>
                  <w:rPr>
                    <w:rFonts w:ascii="Cambria Math" w:eastAsia="Calibri" w:hAnsi="Cambria Math"/>
                    <w:sz w:val="24"/>
                    <w:szCs w:val="24"/>
                  </w:rPr>
                  <m:t>s,t</m:t>
                </m:r>
              </m:sub>
            </m:sSub>
            <m:r>
              <w:rPr>
                <w:rFonts w:ascii="Cambria Math" w:eastAsia="Calibri" w:hAnsi="Cambria Math"/>
                <w:sz w:val="24"/>
                <w:szCs w:val="24"/>
              </w:rPr>
              <m:t>HM</m:t>
            </m:r>
          </m:e>
          <m:sub>
            <m:r>
              <w:rPr>
                <w:rFonts w:ascii="Cambria Math" w:eastAsia="Calibri" w:hAnsi="Cambria Math"/>
                <w:sz w:val="24"/>
                <w:szCs w:val="24"/>
              </w:rPr>
              <m:t>N</m:t>
            </m:r>
          </m:sub>
          <m:sup>
            <m:r>
              <w:rPr>
                <w:rFonts w:ascii="Cambria Math" w:eastAsia="Calibri" w:hAnsi="Cambria Math"/>
                <w:sz w:val="24"/>
                <w:szCs w:val="24"/>
              </w:rPr>
              <m:t>k</m:t>
            </m:r>
          </m:sup>
        </m:sSubSup>
        <m:r>
          <w:rPr>
            <w:rFonts w:ascii="Cambria Math" w:eastAsia="Calibri" w:hAnsi="Cambria Math"/>
            <w:sz w:val="24"/>
            <w:szCs w:val="24"/>
          </w:rPr>
          <m:t>+</m:t>
        </m:r>
        <m:sSubSup>
          <m:sSubSupPr>
            <m:ctrlPr>
              <w:rPr>
                <w:rFonts w:ascii="Cambria Math" w:eastAsia="Calibri" w:hAnsi="Cambria Math"/>
                <w:i/>
                <w:sz w:val="24"/>
                <w:szCs w:val="24"/>
              </w:rPr>
            </m:ctrlPr>
          </m:sSubSupPr>
          <m:e>
            <m:sSub>
              <m:sSubPr>
                <m:ctrlPr>
                  <w:rPr>
                    <w:rFonts w:ascii="Cambria Math" w:eastAsia="Calibri" w:hAnsi="Cambria Math"/>
                    <w:i/>
                    <w:sz w:val="24"/>
                    <w:szCs w:val="24"/>
                  </w:rPr>
                </m:ctrlPr>
              </m:sSubPr>
              <m:e>
                <m:r>
                  <w:rPr>
                    <w:rFonts w:ascii="Cambria Math" w:eastAsia="Calibri" w:hAnsi="Cambria Math"/>
                    <w:sz w:val="24"/>
                    <w:szCs w:val="24"/>
                  </w:rPr>
                  <m:t>l</m:t>
                </m:r>
              </m:e>
              <m:sub>
                <m:r>
                  <w:rPr>
                    <w:rFonts w:ascii="Cambria Math" w:eastAsia="Calibri" w:hAnsi="Cambria Math"/>
                    <w:sz w:val="24"/>
                    <w:szCs w:val="24"/>
                  </w:rPr>
                  <m:t>s,t</m:t>
                </m:r>
              </m:sub>
            </m:sSub>
            <m:r>
              <w:rPr>
                <w:rFonts w:ascii="Cambria Math" w:eastAsia="Calibri" w:hAnsi="Cambria Math"/>
                <w:sz w:val="24"/>
                <w:szCs w:val="24"/>
              </w:rPr>
              <m:t>HM</m:t>
            </m:r>
          </m:e>
          <m:sub>
            <m:r>
              <w:rPr>
                <w:rFonts w:ascii="Cambria Math" w:eastAsia="Calibri" w:hAnsi="Cambria Math"/>
                <w:sz w:val="24"/>
                <w:szCs w:val="24"/>
              </w:rPr>
              <m:t>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ε</m:t>
            </m:r>
          </m:e>
          <m:sub>
            <m:r>
              <w:rPr>
                <w:rFonts w:ascii="Cambria Math" w:eastAsia="Calibri" w:hAnsi="Cambria Math"/>
                <w:sz w:val="24"/>
                <w:szCs w:val="24"/>
              </w:rPr>
              <m:t>S,t</m:t>
            </m:r>
          </m:sub>
        </m:sSub>
      </m:oMath>
      <w:r w:rsidR="00B50F1D" w:rsidRPr="00B50F1D">
        <w:rPr>
          <w:rFonts w:eastAsia="Times New Roman"/>
          <w:sz w:val="24"/>
          <w:szCs w:val="24"/>
        </w:rPr>
        <w:t xml:space="preserve">, </w:t>
      </w:r>
    </w:p>
    <w:p w14:paraId="23932D8F" w14:textId="1C9C29FA" w:rsidR="00B50F1D" w:rsidRPr="00B50F1D" w:rsidRDefault="00B50F1D" w:rsidP="00B50F1D">
      <w:pPr>
        <w:spacing w:after="200" w:line="276" w:lineRule="auto"/>
        <w:rPr>
          <w:rFonts w:eastAsia="Calibri"/>
          <w:sz w:val="24"/>
          <w:szCs w:val="24"/>
        </w:rPr>
      </w:pPr>
      <w:r w:rsidRPr="00B50F1D">
        <w:rPr>
          <w:rFonts w:eastAsia="Calibri"/>
          <w:sz w:val="24"/>
          <w:szCs w:val="24"/>
        </w:rPr>
        <w:lastRenderedPageBreak/>
        <w:t xml:space="preserve">where subscripts </w:t>
      </w:r>
      <m:oMath>
        <m:r>
          <w:rPr>
            <w:rFonts w:ascii="Cambria Math" w:eastAsia="Calibri" w:hAnsi="Cambria Math"/>
            <w:sz w:val="24"/>
            <w:szCs w:val="24"/>
          </w:rPr>
          <m:t>S</m:t>
        </m:r>
      </m:oMath>
      <w:r w:rsidRPr="00B50F1D">
        <w:rPr>
          <w:rFonts w:eastAsia="Calibri"/>
          <w:sz w:val="24"/>
          <w:szCs w:val="24"/>
        </w:rPr>
        <w:t xml:space="preserve">, </w:t>
      </w:r>
      <m:oMath>
        <m:r>
          <w:rPr>
            <w:rFonts w:ascii="Cambria Math" w:eastAsia="Calibri" w:hAnsi="Cambria Math"/>
            <w:sz w:val="24"/>
            <w:szCs w:val="24"/>
          </w:rPr>
          <m:t>M</m:t>
        </m:r>
      </m:oMath>
      <w:r w:rsidRPr="00B50F1D">
        <w:rPr>
          <w:rFonts w:eastAsia="Calibri"/>
          <w:sz w:val="24"/>
          <w:szCs w:val="24"/>
        </w:rPr>
        <w:t xml:space="preserve">, </w:t>
      </w:r>
      <m:oMath>
        <m:r>
          <w:rPr>
            <w:rFonts w:ascii="Cambria Math" w:eastAsia="Calibri" w:hAnsi="Cambria Math"/>
            <w:sz w:val="24"/>
            <w:szCs w:val="24"/>
          </w:rPr>
          <m:t>N</m:t>
        </m:r>
      </m:oMath>
      <w:r w:rsidRPr="00B50F1D">
        <w:rPr>
          <w:rFonts w:eastAsia="Calibri"/>
          <w:sz w:val="24"/>
          <w:szCs w:val="24"/>
        </w:rPr>
        <w:t xml:space="preserve">, and </w:t>
      </w:r>
      <m:oMath>
        <m:r>
          <w:rPr>
            <w:rFonts w:ascii="Cambria Math" w:eastAsia="Calibri" w:hAnsi="Cambria Math"/>
            <w:sz w:val="24"/>
            <w:szCs w:val="24"/>
          </w:rPr>
          <m:t>W</m:t>
        </m:r>
      </m:oMath>
      <w:r w:rsidRPr="00B50F1D">
        <w:rPr>
          <w:rFonts w:eastAsia="Calibri"/>
          <w:sz w:val="24"/>
          <w:szCs w:val="24"/>
        </w:rPr>
        <w:t xml:space="preserve"> indicate South, Midwest, Northe</w:t>
      </w:r>
      <w:proofErr w:type="spellStart"/>
      <w:r w:rsidRPr="00B50F1D">
        <w:rPr>
          <w:rFonts w:eastAsia="Calibri"/>
          <w:sz w:val="24"/>
          <w:szCs w:val="24"/>
        </w:rPr>
        <w:t>ast</w:t>
      </w:r>
      <w:proofErr w:type="spellEnd"/>
      <w:r w:rsidRPr="00B50F1D">
        <w:rPr>
          <w:rFonts w:eastAsia="Calibri"/>
          <w:sz w:val="24"/>
          <w:szCs w:val="24"/>
        </w:rPr>
        <w:t xml:space="preserve">, and West, respectively. </w:t>
      </w:r>
      <w:r w:rsidR="00784B7D">
        <w:rPr>
          <w:rFonts w:eastAsia="Calibri"/>
          <w:sz w:val="24"/>
          <w:szCs w:val="24"/>
        </w:rPr>
        <w:t>For c</w:t>
      </w:r>
      <w:r w:rsidR="006E1678">
        <w:rPr>
          <w:rFonts w:eastAsia="Calibri"/>
          <w:sz w:val="24"/>
          <w:szCs w:val="24"/>
        </w:rPr>
        <w:t>ompact notation,</w:t>
      </w:r>
      <w:r w:rsidR="00C22BA0">
        <w:rPr>
          <w:rFonts w:eastAsia="Calibri"/>
          <w:sz w:val="24"/>
          <w:szCs w:val="24"/>
        </w:rPr>
        <w:t xml:space="preserve"> we define</w:t>
      </w:r>
      <m:oMath>
        <m:sSubSup>
          <m:sSubSupPr>
            <m:ctrlPr>
              <w:rPr>
                <w:rFonts w:ascii="Cambria Math" w:eastAsia="Calibri" w:hAnsi="Cambria Math"/>
                <w:i/>
                <w:sz w:val="24"/>
              </w:rPr>
            </m:ctrlPr>
          </m:sSubSupPr>
          <m:e>
            <m:r>
              <w:rPr>
                <w:rFonts w:ascii="Cambria Math" w:eastAsia="Calibri" w:hAnsi="Cambria Math"/>
                <w:sz w:val="24"/>
                <w:szCs w:val="24"/>
              </w:rPr>
              <m:t xml:space="preserve"> V</m:t>
            </m:r>
            <m:ctrlPr>
              <w:rPr>
                <w:rFonts w:ascii="Cambria Math" w:eastAsia="Calibri" w:hAnsi="Cambria Math"/>
                <w:i/>
                <w:sz w:val="24"/>
                <w:szCs w:val="24"/>
              </w:rPr>
            </m:ctrlPr>
          </m:e>
          <m:sub>
            <m:r>
              <w:rPr>
                <w:rFonts w:ascii="Cambria Math" w:eastAsia="Calibri" w:hAnsi="Cambria Math"/>
                <w:sz w:val="24"/>
                <w:szCs w:val="24"/>
              </w:rPr>
              <m:t>S</m:t>
            </m:r>
            <m:ctrlPr>
              <w:rPr>
                <w:rFonts w:ascii="Cambria Math" w:eastAsia="Calibri" w:hAnsi="Cambria Math"/>
                <w:i/>
                <w:sz w:val="24"/>
                <w:szCs w:val="24"/>
              </w:rPr>
            </m:ctrlPr>
          </m:sub>
          <m:sup>
            <m:r>
              <w:rPr>
                <w:rFonts w:ascii="Cambria Math" w:eastAsia="Calibri" w:hAnsi="Cambria Math"/>
                <w:sz w:val="24"/>
              </w:rPr>
              <m:t>k</m:t>
            </m:r>
          </m:sup>
        </m:sSubSup>
      </m:oMath>
      <w:r w:rsidRPr="00B50F1D">
        <w:rPr>
          <w:rFonts w:eastAsia="Times New Roman"/>
          <w:sz w:val="24"/>
        </w:rPr>
        <w:t xml:space="preserve"> and </w:t>
      </w:r>
      <m:oMath>
        <m:sSub>
          <m:sSubPr>
            <m:ctrlPr>
              <w:rPr>
                <w:rFonts w:ascii="Cambria Math" w:eastAsia="Calibri" w:hAnsi="Cambria Math"/>
                <w:i/>
                <w:sz w:val="24"/>
                <w:szCs w:val="24"/>
              </w:rPr>
            </m:ctrlPr>
          </m:sSubPr>
          <m:e>
            <m:r>
              <w:rPr>
                <w:rFonts w:ascii="Cambria Math" w:eastAsia="Calibri" w:hAnsi="Cambria Math"/>
                <w:sz w:val="24"/>
                <w:szCs w:val="24"/>
              </w:rPr>
              <m:t>a</m:t>
            </m:r>
          </m:e>
          <m:sub>
            <m:r>
              <w:rPr>
                <w:rFonts w:ascii="Cambria Math" w:eastAsia="Calibri" w:hAnsi="Cambria Math"/>
                <w:sz w:val="24"/>
                <w:szCs w:val="24"/>
              </w:rPr>
              <m:t>s,t</m:t>
            </m:r>
          </m:sub>
        </m:sSub>
      </m:oMath>
      <w:r w:rsidRPr="00B50F1D">
        <w:rPr>
          <w:rFonts w:eastAsia="Times New Roman"/>
          <w:sz w:val="24"/>
          <w:szCs w:val="24"/>
        </w:rPr>
        <w:t xml:space="preserve"> </w:t>
      </w:r>
      <w:r w:rsidR="00C22BA0">
        <w:rPr>
          <w:rFonts w:eastAsia="Times New Roman"/>
          <w:sz w:val="24"/>
          <w:szCs w:val="24"/>
        </w:rPr>
        <w:t>as</w:t>
      </w:r>
      <w:r w:rsidRPr="00B50F1D">
        <w:rPr>
          <w:rFonts w:eastAsia="Times New Roman"/>
          <w:sz w:val="24"/>
        </w:rPr>
        <w:t xml:space="preserve"> the 1</w:t>
      </w:r>
      <w:r w:rsidRPr="00B50F1D">
        <w:rPr>
          <w:rFonts w:eastAsia="Times New Roman"/>
          <w:sz w:val="24"/>
          <w:vertAlign w:val="superscript"/>
        </w:rPr>
        <w:t>st</w:t>
      </w:r>
      <w:r w:rsidRPr="00B50F1D">
        <w:rPr>
          <w:rFonts w:eastAsia="Times New Roman"/>
          <w:sz w:val="24"/>
        </w:rPr>
        <w:t xml:space="preserve"> through </w:t>
      </w:r>
      <m:oMath>
        <m:r>
          <w:rPr>
            <w:rFonts w:ascii="Cambria Math" w:eastAsia="Times New Roman" w:hAnsi="Cambria Math"/>
            <w:sz w:val="24"/>
          </w:rPr>
          <m:t>k</m:t>
        </m:r>
      </m:oMath>
      <w:r w:rsidRPr="00B50F1D">
        <w:rPr>
          <w:rFonts w:eastAsia="Times New Roman"/>
          <w:sz w:val="24"/>
        </w:rPr>
        <w:t>th lags of</w:t>
      </w:r>
      <m:oMath>
        <m:sSub>
          <m:sSubPr>
            <m:ctrlPr>
              <w:rPr>
                <w:rFonts w:ascii="Cambria Math" w:eastAsia="Calibri" w:hAnsi="Cambria Math"/>
                <w:i/>
                <w:sz w:val="24"/>
              </w:rPr>
            </m:ctrlPr>
          </m:sSubPr>
          <m:e>
            <m:r>
              <w:rPr>
                <w:rFonts w:ascii="Cambria Math" w:eastAsia="Calibri" w:hAnsi="Cambria Math"/>
                <w:sz w:val="24"/>
                <w:szCs w:val="24"/>
              </w:rPr>
              <m:t xml:space="preserve"> V</m:t>
            </m:r>
          </m:e>
          <m:sub>
            <m:r>
              <w:rPr>
                <w:rFonts w:ascii="Cambria Math" w:eastAsia="Calibri" w:hAnsi="Cambria Math"/>
                <w:sz w:val="24"/>
                <w:szCs w:val="24"/>
              </w:rPr>
              <m:t>S,t</m:t>
            </m:r>
          </m:sub>
        </m:sSub>
      </m:oMath>
      <w:r w:rsidRPr="00B50F1D">
        <w:rPr>
          <w:rFonts w:eastAsia="Times New Roman"/>
          <w:sz w:val="24"/>
        </w:rPr>
        <w:t>, and the corresponding</w:t>
      </w:r>
      <w:r w:rsidRPr="00B50F1D">
        <w:rPr>
          <w:rFonts w:eastAsia="Calibri"/>
          <w:sz w:val="24"/>
          <w:szCs w:val="24"/>
        </w:rPr>
        <w:t xml:space="preserve"> </w:t>
      </w:r>
      <w:r w:rsidR="00C22BA0">
        <w:rPr>
          <w:rFonts w:eastAsia="Calibri"/>
          <w:sz w:val="24"/>
          <w:szCs w:val="24"/>
        </w:rPr>
        <w:t xml:space="preserve">coefficient </w:t>
      </w:r>
      <w:r w:rsidRPr="00B50F1D">
        <w:rPr>
          <w:rFonts w:eastAsia="Calibri"/>
          <w:sz w:val="24"/>
          <w:szCs w:val="24"/>
        </w:rPr>
        <w:t xml:space="preserve">parameter vector of length </w:t>
      </w:r>
      <m:oMath>
        <m:r>
          <w:rPr>
            <w:rFonts w:ascii="Cambria Math" w:eastAsia="Calibri" w:hAnsi="Cambria Math"/>
            <w:sz w:val="24"/>
            <w:szCs w:val="24"/>
          </w:rPr>
          <m:t>k</m:t>
        </m:r>
      </m:oMath>
      <w:r w:rsidRPr="00B50F1D">
        <w:rPr>
          <w:rFonts w:eastAsia="Calibri"/>
          <w:sz w:val="24"/>
          <w:szCs w:val="24"/>
        </w:rPr>
        <w:t xml:space="preserve">. </w:t>
      </w:r>
      <w:r w:rsidR="00C22BA0">
        <w:rPr>
          <w:rFonts w:eastAsia="Calibri"/>
          <w:sz w:val="24"/>
          <w:szCs w:val="24"/>
        </w:rPr>
        <w:t xml:space="preserve">The other variable and parameter vectors are defined similarly. </w:t>
      </w:r>
      <w:r w:rsidRPr="00B50F1D">
        <w:rPr>
          <w:rFonts w:eastAsia="Calibri"/>
          <w:sz w:val="24"/>
          <w:szCs w:val="24"/>
        </w:rPr>
        <w:t xml:space="preserve">While equation (7) implies that only one lag be included, we allow for the possibility of </w:t>
      </w:r>
      <m:oMath>
        <m:r>
          <w:rPr>
            <w:rFonts w:ascii="Cambria Math" w:eastAsia="Calibri" w:hAnsi="Cambria Math"/>
            <w:sz w:val="24"/>
            <w:szCs w:val="24"/>
          </w:rPr>
          <m:t>k&gt;1</m:t>
        </m:r>
      </m:oMath>
      <w:r w:rsidRPr="00B50F1D">
        <w:rPr>
          <w:rFonts w:eastAsia="Calibri"/>
          <w:sz w:val="24"/>
          <w:szCs w:val="24"/>
        </w:rPr>
        <w:t xml:space="preserve">, as dictated by estimation results, to deal with the possibility of housing market frictions resulting in additional lags being necessary. </w:t>
      </w:r>
    </w:p>
    <w:p w14:paraId="60477A6D" w14:textId="2E77C55D" w:rsidR="00B50F1D" w:rsidRPr="00B50F1D" w:rsidRDefault="00B50F1D" w:rsidP="00B50F1D">
      <w:pPr>
        <w:spacing w:after="200" w:line="276" w:lineRule="auto"/>
        <w:ind w:firstLine="720"/>
        <w:rPr>
          <w:rFonts w:eastAsia="Calibri"/>
          <w:b/>
          <w:sz w:val="24"/>
          <w:szCs w:val="24"/>
        </w:rPr>
      </w:pPr>
      <w:r w:rsidRPr="00B50F1D">
        <w:rPr>
          <w:rFonts w:eastAsia="Calibri"/>
          <w:sz w:val="24"/>
          <w:szCs w:val="24"/>
        </w:rPr>
        <w:t xml:space="preserve">Unfortunately, data limitations do not </w:t>
      </w:r>
      <w:r w:rsidRPr="00B50F1D">
        <w:rPr>
          <w:rFonts w:eastAsia="Times New Roman"/>
          <w:sz w:val="24"/>
          <w:szCs w:val="24"/>
        </w:rPr>
        <w:t xml:space="preserve">provide sufficient degrees of freedom to estimate all parameters. We </w:t>
      </w:r>
      <w:proofErr w:type="gramStart"/>
      <w:r w:rsidRPr="00B50F1D">
        <w:rPr>
          <w:rFonts w:eastAsia="Times New Roman"/>
          <w:sz w:val="24"/>
          <w:szCs w:val="24"/>
        </w:rPr>
        <w:t>are able to</w:t>
      </w:r>
      <w:proofErr w:type="gramEnd"/>
      <w:r w:rsidRPr="00B50F1D">
        <w:rPr>
          <w:rFonts w:eastAsia="Times New Roman"/>
          <w:sz w:val="24"/>
          <w:szCs w:val="24"/>
        </w:rPr>
        <w:t xml:space="preserve"> estimate models involving individual region vacancy measures, but with </w:t>
      </w:r>
      <m:oMath>
        <m:r>
          <w:rPr>
            <w:rFonts w:ascii="Cambria Math" w:eastAsia="Calibri" w:hAnsi="Cambria Math"/>
            <w:sz w:val="24"/>
            <w:szCs w:val="24"/>
          </w:rPr>
          <m:t>HS</m:t>
        </m:r>
      </m:oMath>
      <w:r w:rsidRPr="00B50F1D">
        <w:rPr>
          <w:rFonts w:eastAsia="Calibri"/>
          <w:sz w:val="24"/>
          <w:szCs w:val="24"/>
        </w:rPr>
        <w:t xml:space="preserve"> and </w:t>
      </w:r>
      <m:oMath>
        <m:r>
          <w:rPr>
            <w:rFonts w:ascii="Cambria Math" w:eastAsia="Calibri" w:hAnsi="Cambria Math"/>
            <w:sz w:val="24"/>
            <w:szCs w:val="24"/>
          </w:rPr>
          <m:t>HM</m:t>
        </m:r>
      </m:oMath>
      <w:r w:rsidRPr="00B50F1D">
        <w:rPr>
          <w:rFonts w:eastAsia="Times New Roman"/>
          <w:sz w:val="24"/>
          <w:szCs w:val="24"/>
        </w:rPr>
        <w:t xml:space="preserve"> aggregated to three regions at a time.</w:t>
      </w:r>
      <w:r w:rsidRPr="00B50F1D">
        <w:rPr>
          <w:rFonts w:eastAsia="Times New Roman"/>
        </w:rPr>
        <w:t xml:space="preserve"> </w:t>
      </w:r>
      <w:r w:rsidRPr="00B50F1D">
        <w:rPr>
          <w:rFonts w:eastAsia="Calibri"/>
          <w:sz w:val="24"/>
          <w:szCs w:val="24"/>
        </w:rPr>
        <w:t>We use the three-region-aggregated measures to estimate four different models, each producing an equation as close as possible to the preferred generalization of equation (7). As an example, the model oriented toward the South is parametrized as follows:</w:t>
      </w:r>
    </w:p>
    <w:p w14:paraId="313084C6" w14:textId="5F1B7710" w:rsidR="00B50F1D" w:rsidRPr="00B50F1D" w:rsidRDefault="00E96C7A" w:rsidP="00B50F1D">
      <w:pPr>
        <w:spacing w:after="200" w:line="276" w:lineRule="auto"/>
        <w:rPr>
          <w:rFonts w:eastAsia="Times New Roman"/>
          <w:sz w:val="24"/>
          <w:szCs w:val="24"/>
        </w:rPr>
      </w:pPr>
      <m:oMath>
        <m:sSub>
          <m:sSubPr>
            <m:ctrlPr>
              <w:rPr>
                <w:rFonts w:ascii="Cambria Math" w:eastAsia="Calibri" w:hAnsi="Cambria Math"/>
                <w:i/>
                <w:sz w:val="24"/>
                <w:szCs w:val="24"/>
              </w:rPr>
            </m:ctrlPr>
          </m:sSubPr>
          <m:e>
            <m:d>
              <m:dPr>
                <m:ctrlPr>
                  <w:rPr>
                    <w:rFonts w:ascii="Cambria Math" w:eastAsia="Calibri" w:hAnsi="Cambria Math"/>
                    <w:i/>
                    <w:sz w:val="24"/>
                    <w:szCs w:val="24"/>
                  </w:rPr>
                </m:ctrlPr>
              </m:dPr>
              <m:e>
                <m:r>
                  <w:rPr>
                    <w:rFonts w:ascii="Cambria Math" w:eastAsia="Calibri" w:hAnsi="Cambria Math"/>
                    <w:sz w:val="24"/>
                    <w:szCs w:val="24"/>
                  </w:rPr>
                  <m:t>9a</m:t>
                </m:r>
              </m:e>
            </m:d>
            <m:r>
              <w:rPr>
                <w:rFonts w:ascii="Cambria Math" w:eastAsia="Calibri" w:hAnsi="Cambria Math"/>
                <w:sz w:val="24"/>
                <w:szCs w:val="24"/>
              </w:rPr>
              <m:t xml:space="preserve"> V</m:t>
            </m:r>
          </m:e>
          <m:sub>
            <m:r>
              <w:rPr>
                <w:rFonts w:ascii="Cambria Math" w:eastAsia="Calibri" w:hAnsi="Cambria Math"/>
                <w:sz w:val="24"/>
                <w:szCs w:val="24"/>
              </w:rPr>
              <m:t>S,t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a</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V</m:t>
            </m:r>
          </m:e>
          <m:sub>
            <m:r>
              <w:rPr>
                <w:rFonts w:ascii="Cambria Math" w:eastAsia="Calibri" w:hAnsi="Cambria Math"/>
                <w:sz w:val="24"/>
                <w:szCs w:val="24"/>
              </w:rPr>
              <m:t>S</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b</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HS</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M</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d</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N</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e</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W</m:t>
            </m:r>
          </m:sub>
          <m:sup>
            <m:r>
              <w:rPr>
                <w:rFonts w:ascii="Cambria Math" w:eastAsia="Calibri" w:hAnsi="Cambria Math"/>
                <w:sz w:val="24"/>
                <w:szCs w:val="24"/>
              </w:rPr>
              <m:t>k</m:t>
            </m:r>
          </m:sup>
        </m:sSubSup>
        <m:r>
          <w:rPr>
            <w:rFonts w:ascii="Cambria Math" w:eastAsia="Calibri" w:hAnsi="Cambria Math"/>
            <w:sz w:val="24"/>
            <w:szCs w:val="24"/>
          </w:rPr>
          <m:t>+</m:t>
        </m:r>
        <m:sSubSup>
          <m:sSubSupPr>
            <m:ctrlPr>
              <w:rPr>
                <w:rFonts w:ascii="Cambria Math" w:eastAsia="Calibri" w:hAnsi="Cambria Math"/>
                <w:i/>
                <w:sz w:val="24"/>
                <w:szCs w:val="24"/>
              </w:rPr>
            </m:ctrlPr>
          </m:sSubSupPr>
          <m:e>
            <m:sSub>
              <m:sSubPr>
                <m:ctrlPr>
                  <w:rPr>
                    <w:rFonts w:ascii="Cambria Math" w:eastAsia="Calibri" w:hAnsi="Cambria Math"/>
                    <w:i/>
                    <w:sz w:val="24"/>
                    <w:szCs w:val="24"/>
                  </w:rPr>
                </m:ctrlPr>
              </m:sSubPr>
              <m:e>
                <m:r>
                  <w:rPr>
                    <w:rFonts w:ascii="Cambria Math" w:eastAsia="Calibri" w:hAnsi="Cambria Math"/>
                    <w:sz w:val="24"/>
                    <w:szCs w:val="24"/>
                  </w:rPr>
                  <m:t>f</m:t>
                </m:r>
              </m:e>
              <m:sub>
                <m:r>
                  <w:rPr>
                    <w:rFonts w:ascii="Cambria Math" w:eastAsia="Calibri" w:hAnsi="Cambria Math"/>
                    <w:sz w:val="24"/>
                    <w:szCs w:val="24"/>
                  </w:rPr>
                  <m:t>s,t</m:t>
                </m:r>
              </m:sub>
            </m:sSub>
            <m:r>
              <w:rPr>
                <w:rFonts w:ascii="Cambria Math" w:eastAsia="Calibri" w:hAnsi="Cambria Math"/>
                <w:sz w:val="24"/>
                <w:szCs w:val="24"/>
              </w:rPr>
              <m:t>HM</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ε</m:t>
            </m:r>
          </m:e>
          <m:sub>
            <m:r>
              <w:rPr>
                <w:rFonts w:ascii="Cambria Math" w:eastAsia="Calibri" w:hAnsi="Cambria Math"/>
                <w:sz w:val="24"/>
                <w:szCs w:val="24"/>
              </w:rPr>
              <m:t>S,t</m:t>
            </m:r>
          </m:sub>
        </m:sSub>
      </m:oMath>
      <w:r w:rsidR="00B50F1D" w:rsidRPr="00B50F1D">
        <w:rPr>
          <w:rFonts w:eastAsia="Times New Roman"/>
          <w:sz w:val="24"/>
          <w:szCs w:val="24"/>
        </w:rPr>
        <w:t xml:space="preserve"> </w:t>
      </w:r>
    </w:p>
    <w:p w14:paraId="2D626191" w14:textId="6E18A8CD" w:rsidR="00B50F1D" w:rsidRPr="00B50F1D" w:rsidRDefault="00E96C7A" w:rsidP="00B50F1D">
      <w:pPr>
        <w:spacing w:after="200" w:line="276" w:lineRule="auto"/>
        <w:rPr>
          <w:rFonts w:eastAsia="Times New Roman"/>
          <w:sz w:val="24"/>
          <w:szCs w:val="24"/>
        </w:rPr>
      </w:pPr>
      <m:oMath>
        <m:sSub>
          <m:sSubPr>
            <m:ctrlPr>
              <w:rPr>
                <w:rFonts w:ascii="Cambria Math" w:eastAsia="Calibri" w:hAnsi="Cambria Math"/>
                <w:i/>
                <w:sz w:val="24"/>
                <w:szCs w:val="24"/>
              </w:rPr>
            </m:ctrlPr>
          </m:sSubPr>
          <m:e>
            <m:d>
              <m:dPr>
                <m:ctrlPr>
                  <w:rPr>
                    <w:rFonts w:ascii="Cambria Math" w:eastAsia="Calibri" w:hAnsi="Cambria Math"/>
                    <w:i/>
                    <w:sz w:val="24"/>
                    <w:szCs w:val="24"/>
                  </w:rPr>
                </m:ctrlPr>
              </m:dPr>
              <m:e>
                <m:r>
                  <w:rPr>
                    <w:rFonts w:ascii="Cambria Math" w:eastAsia="Calibri" w:hAnsi="Cambria Math"/>
                    <w:sz w:val="24"/>
                    <w:szCs w:val="24"/>
                  </w:rPr>
                  <m:t>9b</m:t>
                </m:r>
              </m:e>
            </m:d>
            <m:r>
              <w:rPr>
                <w:rFonts w:ascii="Cambria Math" w:eastAsia="Calibri" w:hAnsi="Cambria Math"/>
                <w:sz w:val="24"/>
                <w:szCs w:val="24"/>
              </w:rPr>
              <m:t xml:space="preserve"> V</m:t>
            </m:r>
          </m:e>
          <m:sub>
            <m:r>
              <w:rPr>
                <w:rFonts w:ascii="Cambria Math" w:eastAsia="Calibri" w:hAnsi="Cambria Math"/>
                <w:sz w:val="24"/>
                <w:szCs w:val="24"/>
              </w:rPr>
              <m:t>M,t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g</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V</m:t>
            </m:r>
          </m:e>
          <m:sub>
            <m:r>
              <w:rPr>
                <w:rFonts w:ascii="Cambria Math" w:eastAsia="Calibri" w:hAnsi="Cambria Math"/>
                <w:sz w:val="24"/>
                <w:szCs w:val="24"/>
              </w:rPr>
              <m:t>S</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h</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HS</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i</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M</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j</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N</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k</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W</m:t>
            </m:r>
          </m:sub>
          <m:sup>
            <m:r>
              <w:rPr>
                <w:rFonts w:ascii="Cambria Math" w:eastAsia="Calibri" w:hAnsi="Cambria Math"/>
                <w:sz w:val="24"/>
                <w:szCs w:val="24"/>
              </w:rPr>
              <m:t>k</m:t>
            </m:r>
          </m:sup>
        </m:sSubSup>
        <m:r>
          <w:rPr>
            <w:rFonts w:ascii="Cambria Math" w:eastAsia="Calibri" w:hAnsi="Cambria Math"/>
            <w:sz w:val="24"/>
            <w:szCs w:val="24"/>
          </w:rPr>
          <m:t>+</m:t>
        </m:r>
        <m:sSubSup>
          <m:sSubSupPr>
            <m:ctrlPr>
              <w:rPr>
                <w:rFonts w:ascii="Cambria Math" w:eastAsia="Calibri" w:hAnsi="Cambria Math"/>
                <w:i/>
                <w:sz w:val="24"/>
                <w:szCs w:val="24"/>
              </w:rPr>
            </m:ctrlPr>
          </m:sSubSupPr>
          <m:e>
            <m:sSub>
              <m:sSubPr>
                <m:ctrlPr>
                  <w:rPr>
                    <w:rFonts w:ascii="Cambria Math" w:eastAsia="Calibri" w:hAnsi="Cambria Math"/>
                    <w:i/>
                    <w:sz w:val="24"/>
                    <w:szCs w:val="24"/>
                  </w:rPr>
                </m:ctrlPr>
              </m:sSubPr>
              <m:e>
                <m:r>
                  <w:rPr>
                    <w:rFonts w:ascii="Cambria Math" w:eastAsia="Calibri" w:hAnsi="Cambria Math"/>
                    <w:sz w:val="24"/>
                    <w:szCs w:val="24"/>
                  </w:rPr>
                  <m:t>l</m:t>
                </m:r>
              </m:e>
              <m:sub>
                <m:r>
                  <w:rPr>
                    <w:rFonts w:ascii="Cambria Math" w:eastAsia="Calibri" w:hAnsi="Cambria Math"/>
                    <w:sz w:val="24"/>
                    <w:szCs w:val="24"/>
                  </w:rPr>
                  <m:t>s,t</m:t>
                </m:r>
              </m:sub>
            </m:sSub>
            <m:r>
              <w:rPr>
                <w:rFonts w:ascii="Cambria Math" w:eastAsia="Calibri" w:hAnsi="Cambria Math"/>
                <w:sz w:val="24"/>
                <w:szCs w:val="24"/>
              </w:rPr>
              <m:t>HM</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ε</m:t>
            </m:r>
          </m:e>
          <m:sub>
            <m:r>
              <w:rPr>
                <w:rFonts w:ascii="Cambria Math" w:eastAsia="Calibri" w:hAnsi="Cambria Math"/>
                <w:sz w:val="24"/>
                <w:szCs w:val="24"/>
              </w:rPr>
              <m:t>M,t</m:t>
            </m:r>
          </m:sub>
        </m:sSub>
      </m:oMath>
      <w:r w:rsidR="00B50F1D" w:rsidRPr="00B50F1D">
        <w:rPr>
          <w:rFonts w:eastAsia="Times New Roman"/>
          <w:sz w:val="24"/>
          <w:szCs w:val="24"/>
        </w:rPr>
        <w:t xml:space="preserve"> </w:t>
      </w:r>
    </w:p>
    <w:p w14:paraId="3245D603" w14:textId="2E03AF42" w:rsidR="00B50F1D" w:rsidRPr="00B50F1D" w:rsidRDefault="00E96C7A" w:rsidP="00B50F1D">
      <w:pPr>
        <w:spacing w:after="200" w:line="276" w:lineRule="auto"/>
        <w:rPr>
          <w:rFonts w:eastAsia="Calibri"/>
          <w:sz w:val="24"/>
          <w:szCs w:val="24"/>
        </w:rPr>
      </w:pPr>
      <m:oMath>
        <m:sSub>
          <m:sSubPr>
            <m:ctrlPr>
              <w:rPr>
                <w:rFonts w:ascii="Cambria Math" w:eastAsia="Calibri" w:hAnsi="Cambria Math"/>
                <w:i/>
                <w:sz w:val="24"/>
                <w:szCs w:val="24"/>
              </w:rPr>
            </m:ctrlPr>
          </m:sSubPr>
          <m:e>
            <m:d>
              <m:dPr>
                <m:ctrlPr>
                  <w:rPr>
                    <w:rFonts w:ascii="Cambria Math" w:eastAsia="Calibri" w:hAnsi="Cambria Math"/>
                    <w:i/>
                    <w:sz w:val="24"/>
                    <w:szCs w:val="24"/>
                  </w:rPr>
                </m:ctrlPr>
              </m:dPr>
              <m:e>
                <m:r>
                  <w:rPr>
                    <w:rFonts w:ascii="Cambria Math" w:eastAsia="Calibri" w:hAnsi="Cambria Math"/>
                    <w:sz w:val="24"/>
                    <w:szCs w:val="24"/>
                  </w:rPr>
                  <m:t>9c</m:t>
                </m:r>
              </m:e>
            </m:d>
            <m:r>
              <w:rPr>
                <w:rFonts w:ascii="Cambria Math" w:eastAsia="Calibri" w:hAnsi="Cambria Math"/>
                <w:sz w:val="24"/>
                <w:szCs w:val="24"/>
              </w:rPr>
              <m:t xml:space="preserve"> V</m:t>
            </m:r>
          </m:e>
          <m:sub>
            <m:r>
              <w:rPr>
                <w:rFonts w:ascii="Cambria Math" w:eastAsia="Calibri" w:hAnsi="Cambria Math"/>
                <w:sz w:val="24"/>
                <w:szCs w:val="24"/>
              </w:rPr>
              <m:t>N,t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V</m:t>
            </m:r>
          </m:e>
          <m:sub>
            <m:r>
              <w:rPr>
                <w:rFonts w:ascii="Cambria Math" w:eastAsia="Calibri" w:hAnsi="Cambria Math"/>
                <w:sz w:val="24"/>
                <w:szCs w:val="24"/>
              </w:rPr>
              <m:t>S</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n</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HS</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o</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M</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p</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N</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q</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W</m:t>
            </m:r>
          </m:sub>
          <m:sup>
            <m:r>
              <w:rPr>
                <w:rFonts w:ascii="Cambria Math" w:eastAsia="Calibri" w:hAnsi="Cambria Math"/>
                <w:sz w:val="24"/>
                <w:szCs w:val="24"/>
              </w:rPr>
              <m:t>k</m:t>
            </m:r>
          </m:sup>
        </m:sSubSup>
        <m:r>
          <w:rPr>
            <w:rFonts w:ascii="Cambria Math" w:eastAsia="Calibri" w:hAnsi="Cambria Math"/>
            <w:sz w:val="24"/>
            <w:szCs w:val="24"/>
          </w:rPr>
          <m:t>+</m:t>
        </m:r>
        <m:sSubSup>
          <m:sSubSupPr>
            <m:ctrlPr>
              <w:rPr>
                <w:rFonts w:ascii="Cambria Math" w:eastAsia="Calibri" w:hAnsi="Cambria Math"/>
                <w:i/>
                <w:sz w:val="24"/>
                <w:szCs w:val="24"/>
              </w:rPr>
            </m:ctrlPr>
          </m:sSubSupPr>
          <m:e>
            <m:sSub>
              <m:sSubPr>
                <m:ctrlPr>
                  <w:rPr>
                    <w:rFonts w:ascii="Cambria Math" w:eastAsia="Calibri" w:hAnsi="Cambria Math"/>
                    <w:i/>
                    <w:sz w:val="24"/>
                    <w:szCs w:val="24"/>
                  </w:rPr>
                </m:ctrlPr>
              </m:sSubPr>
              <m:e>
                <m:r>
                  <w:rPr>
                    <w:rFonts w:ascii="Cambria Math" w:eastAsia="Calibri" w:hAnsi="Cambria Math"/>
                    <w:sz w:val="24"/>
                    <w:szCs w:val="24"/>
                  </w:rPr>
                  <m:t>r</m:t>
                </m:r>
              </m:e>
              <m:sub>
                <m:r>
                  <w:rPr>
                    <w:rFonts w:ascii="Cambria Math" w:eastAsia="Calibri" w:hAnsi="Cambria Math"/>
                    <w:sz w:val="24"/>
                    <w:szCs w:val="24"/>
                  </w:rPr>
                  <m:t>s,t</m:t>
                </m:r>
              </m:sub>
            </m:sSub>
            <m:r>
              <w:rPr>
                <w:rFonts w:ascii="Cambria Math" w:eastAsia="Calibri" w:hAnsi="Cambria Math"/>
                <w:sz w:val="24"/>
                <w:szCs w:val="24"/>
              </w:rPr>
              <m:t>HM</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ε</m:t>
            </m:r>
          </m:e>
          <m:sub>
            <m:r>
              <w:rPr>
                <w:rFonts w:ascii="Cambria Math" w:eastAsia="Calibri" w:hAnsi="Cambria Math"/>
                <w:sz w:val="24"/>
                <w:szCs w:val="24"/>
              </w:rPr>
              <m:t>N,t</m:t>
            </m:r>
          </m:sub>
        </m:sSub>
      </m:oMath>
      <w:r w:rsidR="00B50F1D" w:rsidRPr="00B50F1D">
        <w:rPr>
          <w:rFonts w:eastAsia="Calibri"/>
          <w:sz w:val="24"/>
          <w:szCs w:val="24"/>
        </w:rPr>
        <w:t xml:space="preserve"> </w:t>
      </w:r>
    </w:p>
    <w:p w14:paraId="3C2FFEDE" w14:textId="303CD7A5" w:rsidR="00B50F1D" w:rsidRPr="00B50F1D" w:rsidRDefault="00E96C7A" w:rsidP="00B50F1D">
      <w:pPr>
        <w:spacing w:after="200" w:line="276" w:lineRule="auto"/>
        <w:rPr>
          <w:rFonts w:eastAsia="Calibri"/>
          <w:sz w:val="24"/>
          <w:szCs w:val="24"/>
        </w:rPr>
      </w:pPr>
      <m:oMath>
        <m:sSub>
          <m:sSubPr>
            <m:ctrlPr>
              <w:rPr>
                <w:rFonts w:ascii="Cambria Math" w:eastAsia="Calibri" w:hAnsi="Cambria Math"/>
                <w:i/>
                <w:sz w:val="24"/>
                <w:szCs w:val="24"/>
              </w:rPr>
            </m:ctrlPr>
          </m:sSubPr>
          <m:e>
            <m:d>
              <m:dPr>
                <m:ctrlPr>
                  <w:rPr>
                    <w:rFonts w:ascii="Cambria Math" w:eastAsia="Calibri" w:hAnsi="Cambria Math"/>
                    <w:i/>
                    <w:sz w:val="24"/>
                    <w:szCs w:val="24"/>
                  </w:rPr>
                </m:ctrlPr>
              </m:dPr>
              <m:e>
                <m:r>
                  <w:rPr>
                    <w:rFonts w:ascii="Cambria Math" w:eastAsia="Calibri" w:hAnsi="Cambria Math"/>
                    <w:sz w:val="24"/>
                    <w:szCs w:val="24"/>
                  </w:rPr>
                  <m:t>9d</m:t>
                </m:r>
              </m:e>
            </m:d>
            <m:r>
              <w:rPr>
                <w:rFonts w:ascii="Cambria Math" w:eastAsia="Calibri" w:hAnsi="Cambria Math"/>
                <w:sz w:val="24"/>
                <w:szCs w:val="24"/>
              </w:rPr>
              <m:t xml:space="preserve"> V</m:t>
            </m:r>
          </m:e>
          <m:sub>
            <m:r>
              <w:rPr>
                <w:rFonts w:ascii="Cambria Math" w:eastAsia="Calibri" w:hAnsi="Cambria Math"/>
                <w:sz w:val="24"/>
                <w:szCs w:val="24"/>
              </w:rPr>
              <m:t>W,t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V</m:t>
            </m:r>
          </m:e>
          <m:sub>
            <m:r>
              <w:rPr>
                <w:rFonts w:ascii="Cambria Math" w:eastAsia="Calibri" w:hAnsi="Cambria Math"/>
                <w:sz w:val="24"/>
                <w:szCs w:val="24"/>
              </w:rPr>
              <m:t>S</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t</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HS</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u</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M</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N</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w</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W</m:t>
            </m:r>
          </m:sub>
          <m:sup>
            <m:r>
              <w:rPr>
                <w:rFonts w:ascii="Cambria Math" w:eastAsia="Calibri" w:hAnsi="Cambria Math"/>
                <w:sz w:val="24"/>
                <w:szCs w:val="24"/>
              </w:rPr>
              <m:t>k</m:t>
            </m:r>
          </m:sup>
        </m:sSubSup>
        <m:r>
          <w:rPr>
            <w:rFonts w:ascii="Cambria Math" w:eastAsia="Calibri" w:hAnsi="Cambria Math"/>
            <w:sz w:val="24"/>
            <w:szCs w:val="24"/>
          </w:rPr>
          <m:t>+</m:t>
        </m:r>
        <m:sSubSup>
          <m:sSubSupPr>
            <m:ctrlPr>
              <w:rPr>
                <w:rFonts w:ascii="Cambria Math" w:eastAsia="Calibri" w:hAnsi="Cambria Math"/>
                <w:i/>
                <w:sz w:val="24"/>
                <w:szCs w:val="24"/>
              </w:rPr>
            </m:ctrlPr>
          </m:sSubSupPr>
          <m:e>
            <m:sSub>
              <m:sSubPr>
                <m:ctrlPr>
                  <w:rPr>
                    <w:rFonts w:ascii="Cambria Math" w:eastAsia="Calibri" w:hAnsi="Cambria Math"/>
                    <w:i/>
                    <w:sz w:val="24"/>
                    <w:szCs w:val="24"/>
                  </w:rPr>
                </m:ctrlPr>
              </m:sSubPr>
              <m:e>
                <m:r>
                  <w:rPr>
                    <w:rFonts w:ascii="Cambria Math" w:eastAsia="Calibri" w:hAnsi="Cambria Math"/>
                    <w:sz w:val="24"/>
                    <w:szCs w:val="24"/>
                  </w:rPr>
                  <m:t>x</m:t>
                </m:r>
              </m:e>
              <m:sub>
                <m:r>
                  <w:rPr>
                    <w:rFonts w:ascii="Cambria Math" w:eastAsia="Calibri" w:hAnsi="Cambria Math"/>
                    <w:sz w:val="24"/>
                    <w:szCs w:val="24"/>
                  </w:rPr>
                  <m:t>s,t</m:t>
                </m:r>
              </m:sub>
            </m:sSub>
            <m:r>
              <w:rPr>
                <w:rFonts w:ascii="Cambria Math" w:eastAsia="Calibri" w:hAnsi="Cambria Math"/>
                <w:sz w:val="24"/>
                <w:szCs w:val="24"/>
              </w:rPr>
              <m:t>HM</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ε</m:t>
            </m:r>
          </m:e>
          <m:sub>
            <m:r>
              <w:rPr>
                <w:rFonts w:ascii="Cambria Math" w:eastAsia="Calibri" w:hAnsi="Cambria Math"/>
                <w:sz w:val="24"/>
                <w:szCs w:val="24"/>
              </w:rPr>
              <m:t>W,t</m:t>
            </m:r>
          </m:sub>
        </m:sSub>
      </m:oMath>
      <w:r w:rsidR="00B50F1D" w:rsidRPr="00B50F1D">
        <w:rPr>
          <w:rFonts w:eastAsia="Calibri"/>
          <w:sz w:val="24"/>
          <w:szCs w:val="24"/>
        </w:rPr>
        <w:t xml:space="preserve"> </w:t>
      </w:r>
    </w:p>
    <w:p w14:paraId="185152F5" w14:textId="5B01E089" w:rsidR="00B50F1D" w:rsidRPr="00B50F1D" w:rsidRDefault="00B50F1D" w:rsidP="00B50F1D">
      <w:pPr>
        <w:spacing w:after="200" w:line="276" w:lineRule="auto"/>
        <w:rPr>
          <w:rFonts w:eastAsia="Calibri"/>
          <w:sz w:val="24"/>
          <w:szCs w:val="24"/>
        </w:rPr>
      </w:pPr>
      <m:oMath>
        <m:r>
          <w:rPr>
            <w:rFonts w:ascii="Cambria Math" w:eastAsia="Calibri" w:hAnsi="Cambria Math"/>
            <w:sz w:val="24"/>
            <w:szCs w:val="24"/>
          </w:rPr>
          <m:t>(9e)</m:t>
        </m:r>
        <m:sSub>
          <m:sSubPr>
            <m:ctrlPr>
              <w:rPr>
                <w:rFonts w:ascii="Cambria Math" w:eastAsia="Calibri" w:hAnsi="Cambria Math"/>
                <w:i/>
                <w:sz w:val="24"/>
                <w:szCs w:val="24"/>
              </w:rPr>
            </m:ctrlPr>
          </m:sSubPr>
          <m:e>
            <m:r>
              <w:rPr>
                <w:rFonts w:ascii="Cambria Math" w:eastAsia="Calibri" w:hAnsi="Cambria Math"/>
                <w:sz w:val="24"/>
                <w:szCs w:val="24"/>
              </w:rPr>
              <m:t>HS</m:t>
            </m:r>
          </m:e>
          <m:sub>
            <m:r>
              <w:rPr>
                <w:rFonts w:ascii="Cambria Math" w:eastAsia="Calibri" w:hAnsi="Cambria Math"/>
                <w:sz w:val="24"/>
                <w:szCs w:val="24"/>
              </w:rPr>
              <m:t>MNW,t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y</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V</m:t>
            </m:r>
          </m:e>
          <m:sub>
            <m:r>
              <w:rPr>
                <w:rFonts w:ascii="Cambria Math" w:eastAsia="Calibri" w:hAnsi="Cambria Math"/>
                <w:sz w:val="24"/>
                <w:szCs w:val="24"/>
              </w:rPr>
              <m:t>S</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z</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HS</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α</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M</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N</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γ</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W</m:t>
            </m:r>
          </m:sub>
          <m:sup>
            <m:r>
              <w:rPr>
                <w:rFonts w:ascii="Cambria Math" w:eastAsia="Calibri" w:hAnsi="Cambria Math"/>
                <w:sz w:val="24"/>
                <w:szCs w:val="24"/>
              </w:rPr>
              <m:t>k</m:t>
            </m:r>
          </m:sup>
        </m:sSubSup>
        <m:r>
          <w:rPr>
            <w:rFonts w:ascii="Cambria Math" w:eastAsia="Calibri" w:hAnsi="Cambria Math"/>
            <w:sz w:val="24"/>
            <w:szCs w:val="24"/>
          </w:rPr>
          <m:t>+</m:t>
        </m:r>
        <m:sSubSup>
          <m:sSubSupPr>
            <m:ctrlPr>
              <w:rPr>
                <w:rFonts w:ascii="Cambria Math" w:eastAsia="Calibri" w:hAnsi="Cambria Math"/>
                <w:i/>
                <w:sz w:val="24"/>
                <w:szCs w:val="24"/>
              </w:rPr>
            </m:ctrlPr>
          </m:sSubSupPr>
          <m:e>
            <m:sSub>
              <m:sSubPr>
                <m:ctrlPr>
                  <w:rPr>
                    <w:rFonts w:ascii="Cambria Math" w:eastAsia="Calibri" w:hAnsi="Cambria Math"/>
                    <w:i/>
                    <w:sz w:val="24"/>
                    <w:szCs w:val="24"/>
                  </w:rPr>
                </m:ctrlPr>
              </m:sSubPr>
              <m:e>
                <m:r>
                  <w:rPr>
                    <w:rFonts w:ascii="Cambria Math" w:eastAsia="Calibri" w:hAnsi="Cambria Math"/>
                    <w:sz w:val="24"/>
                    <w:szCs w:val="24"/>
                  </w:rPr>
                  <m:t>δ</m:t>
                </m:r>
              </m:e>
              <m:sub>
                <m:r>
                  <w:rPr>
                    <w:rFonts w:ascii="Cambria Math" w:eastAsia="Calibri" w:hAnsi="Cambria Math"/>
                    <w:sz w:val="24"/>
                    <w:szCs w:val="24"/>
                  </w:rPr>
                  <m:t>s,t</m:t>
                </m:r>
              </m:sub>
            </m:sSub>
            <m:r>
              <w:rPr>
                <w:rFonts w:ascii="Cambria Math" w:eastAsia="Calibri" w:hAnsi="Cambria Math"/>
                <w:sz w:val="24"/>
                <w:szCs w:val="24"/>
              </w:rPr>
              <m:t>HM</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ε</m:t>
            </m:r>
          </m:e>
          <m:sub>
            <m:r>
              <w:rPr>
                <w:rFonts w:ascii="Cambria Math" w:eastAsia="Calibri" w:hAnsi="Cambria Math"/>
                <w:sz w:val="24"/>
                <w:szCs w:val="24"/>
              </w:rPr>
              <m:t>HS,t</m:t>
            </m:r>
          </m:sub>
        </m:sSub>
      </m:oMath>
      <w:r w:rsidRPr="00B50F1D">
        <w:rPr>
          <w:rFonts w:eastAsia="Calibri"/>
          <w:sz w:val="24"/>
          <w:szCs w:val="24"/>
        </w:rPr>
        <w:t xml:space="preserve"> </w:t>
      </w:r>
    </w:p>
    <w:p w14:paraId="02E83F59" w14:textId="6C364250" w:rsidR="00B50F1D" w:rsidRPr="00B50F1D" w:rsidRDefault="00B50F1D" w:rsidP="00B50F1D">
      <w:pPr>
        <w:spacing w:after="200" w:line="276" w:lineRule="auto"/>
        <w:rPr>
          <w:rFonts w:eastAsia="Calibri"/>
          <w:sz w:val="24"/>
          <w:szCs w:val="24"/>
        </w:rPr>
      </w:pPr>
      <m:oMath>
        <m:r>
          <w:rPr>
            <w:rFonts w:ascii="Cambria Math" w:eastAsia="Calibri" w:hAnsi="Cambria Math"/>
            <w:sz w:val="24"/>
            <w:szCs w:val="24"/>
          </w:rPr>
          <m:t>(9f)</m:t>
        </m:r>
        <m:sSub>
          <m:sSubPr>
            <m:ctrlPr>
              <w:rPr>
                <w:rFonts w:ascii="Cambria Math" w:eastAsia="Calibri" w:hAnsi="Cambria Math"/>
                <w:i/>
                <w:sz w:val="24"/>
                <w:szCs w:val="24"/>
              </w:rPr>
            </m:ctrlPr>
          </m:sSubPr>
          <m:e>
            <m:r>
              <w:rPr>
                <w:rFonts w:ascii="Cambria Math" w:eastAsia="Calibri" w:hAnsi="Cambria Math"/>
                <w:sz w:val="24"/>
                <w:szCs w:val="24"/>
              </w:rPr>
              <m:t>HM</m:t>
            </m:r>
          </m:e>
          <m:sub>
            <m:r>
              <w:rPr>
                <w:rFonts w:ascii="Cambria Math" w:eastAsia="Calibri" w:hAnsi="Cambria Math"/>
                <w:sz w:val="24"/>
                <w:szCs w:val="24"/>
              </w:rPr>
              <m:t>MNW,t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ϑ</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V</m:t>
            </m:r>
          </m:e>
          <m:sub>
            <m:r>
              <w:rPr>
                <w:rFonts w:ascii="Cambria Math" w:eastAsia="Calibri" w:hAnsi="Cambria Math"/>
                <w:sz w:val="24"/>
                <w:szCs w:val="24"/>
              </w:rPr>
              <m:t>S</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μ</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HS</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π</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M</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ρ</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N</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τ</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W</m:t>
            </m:r>
          </m:sub>
          <m:sup>
            <m:r>
              <w:rPr>
                <w:rFonts w:ascii="Cambria Math" w:eastAsia="Calibri" w:hAnsi="Cambria Math"/>
                <w:sz w:val="24"/>
                <w:szCs w:val="24"/>
              </w:rPr>
              <m:t>k</m:t>
            </m:r>
          </m:sup>
        </m:sSubSup>
        <m:r>
          <w:rPr>
            <w:rFonts w:ascii="Cambria Math" w:eastAsia="Calibri" w:hAnsi="Cambria Math"/>
            <w:sz w:val="24"/>
            <w:szCs w:val="24"/>
          </w:rPr>
          <m:t>+</m:t>
        </m:r>
        <m:sSubSup>
          <m:sSubSupPr>
            <m:ctrlPr>
              <w:rPr>
                <w:rFonts w:ascii="Cambria Math" w:eastAsia="Calibri" w:hAnsi="Cambria Math"/>
                <w:i/>
                <w:sz w:val="24"/>
                <w:szCs w:val="24"/>
              </w:rPr>
            </m:ctrlPr>
          </m:sSubSupPr>
          <m:e>
            <m:sSub>
              <m:sSubPr>
                <m:ctrlPr>
                  <w:rPr>
                    <w:rFonts w:ascii="Cambria Math" w:eastAsia="Calibri" w:hAnsi="Cambria Math"/>
                    <w:i/>
                    <w:sz w:val="24"/>
                    <w:szCs w:val="24"/>
                  </w:rPr>
                </m:ctrlPr>
              </m:sSubPr>
              <m:e>
                <m:r>
                  <w:rPr>
                    <w:rFonts w:ascii="Cambria Math" w:eastAsia="Calibri" w:hAnsi="Cambria Math"/>
                    <w:sz w:val="24"/>
                    <w:szCs w:val="24"/>
                  </w:rPr>
                  <m:t>φ</m:t>
                </m:r>
              </m:e>
              <m:sub>
                <m:r>
                  <w:rPr>
                    <w:rFonts w:ascii="Cambria Math" w:eastAsia="Calibri" w:hAnsi="Cambria Math"/>
                    <w:sz w:val="24"/>
                    <w:szCs w:val="24"/>
                  </w:rPr>
                  <m:t>s,t</m:t>
                </m:r>
              </m:sub>
            </m:sSub>
            <m:r>
              <w:rPr>
                <w:rFonts w:ascii="Cambria Math" w:eastAsia="Calibri" w:hAnsi="Cambria Math"/>
                <w:sz w:val="24"/>
                <w:szCs w:val="24"/>
              </w:rPr>
              <m:t>HM</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ε</m:t>
            </m:r>
          </m:e>
          <m:sub>
            <m:r>
              <w:rPr>
                <w:rFonts w:ascii="Cambria Math" w:eastAsia="Calibri" w:hAnsi="Cambria Math"/>
                <w:sz w:val="24"/>
                <w:szCs w:val="24"/>
              </w:rPr>
              <m:t>HM,t</m:t>
            </m:r>
          </m:sub>
        </m:sSub>
      </m:oMath>
      <w:r w:rsidRPr="00B50F1D">
        <w:rPr>
          <w:rFonts w:eastAsia="Times New Roman"/>
          <w:sz w:val="24"/>
          <w:szCs w:val="24"/>
        </w:rPr>
        <w:t>,</w:t>
      </w:r>
      <w:r w:rsidRPr="00B50F1D">
        <w:rPr>
          <w:rFonts w:eastAsia="Calibri"/>
          <w:sz w:val="24"/>
          <w:szCs w:val="24"/>
        </w:rPr>
        <w:t xml:space="preserve"> </w:t>
      </w:r>
    </w:p>
    <w:p w14:paraId="22D2F19B" w14:textId="65870CAF" w:rsidR="00B50F1D" w:rsidRPr="00B50F1D" w:rsidRDefault="00B50F1D" w:rsidP="00B50F1D">
      <w:pPr>
        <w:spacing w:after="200" w:line="276" w:lineRule="auto"/>
        <w:rPr>
          <w:rFonts w:eastAsia="Calibri"/>
          <w:sz w:val="24"/>
          <w:szCs w:val="24"/>
        </w:rPr>
      </w:pPr>
      <w:r w:rsidRPr="00B50F1D">
        <w:rPr>
          <w:rFonts w:eastAsia="Calibri"/>
          <w:sz w:val="24"/>
          <w:szCs w:val="24"/>
        </w:rPr>
        <w:t xml:space="preserve">where the subscript MNW represents the aggregated region encompassing the Midwest, Northeast, and West, or the portion of the U.S. excluding the South region. Variants of equations </w:t>
      </w:r>
      <w:r w:rsidR="004F73E4" w:rsidRPr="00B50F1D">
        <w:rPr>
          <w:rFonts w:eastAsia="Calibri"/>
          <w:sz w:val="24"/>
          <w:szCs w:val="24"/>
        </w:rPr>
        <w:t>(9a) – (9f)</w:t>
      </w:r>
      <w:r w:rsidRPr="00B50F1D">
        <w:rPr>
          <w:rFonts w:eastAsia="Calibri"/>
          <w:sz w:val="24"/>
          <w:szCs w:val="24"/>
        </w:rPr>
        <w:t xml:space="preserve"> oriented toward another region would thus incorporate </w:t>
      </w:r>
      <m:oMath>
        <m:r>
          <w:rPr>
            <w:rFonts w:ascii="Cambria Math" w:eastAsia="Calibri" w:hAnsi="Cambria Math"/>
            <w:sz w:val="24"/>
            <w:szCs w:val="24"/>
          </w:rPr>
          <m:t>HS</m:t>
        </m:r>
      </m:oMath>
      <w:r w:rsidRPr="00B50F1D">
        <w:rPr>
          <w:rFonts w:eastAsia="Times New Roman"/>
          <w:sz w:val="24"/>
          <w:szCs w:val="24"/>
        </w:rPr>
        <w:t xml:space="preserve"> and </w:t>
      </w:r>
      <m:oMath>
        <m:r>
          <w:rPr>
            <w:rFonts w:ascii="Cambria Math" w:eastAsia="Calibri" w:hAnsi="Cambria Math"/>
            <w:sz w:val="24"/>
            <w:szCs w:val="24"/>
          </w:rPr>
          <m:t>HM</m:t>
        </m:r>
      </m:oMath>
      <w:r w:rsidRPr="00B50F1D">
        <w:rPr>
          <w:rFonts w:eastAsia="Times New Roman"/>
          <w:sz w:val="24"/>
          <w:szCs w:val="24"/>
        </w:rPr>
        <w:t xml:space="preserve"> values for the portion of the U.S. excluding that region.</w:t>
      </w:r>
      <w:r w:rsidRPr="00B50F1D">
        <w:rPr>
          <w:rFonts w:eastAsia="Calibri"/>
          <w:sz w:val="24"/>
          <w:szCs w:val="24"/>
        </w:rPr>
        <w:t xml:space="preserve"> </w:t>
      </w:r>
      <w:r w:rsidR="009B06B0">
        <w:rPr>
          <w:rFonts w:eastAsia="Calibri"/>
          <w:sz w:val="24"/>
          <w:szCs w:val="24"/>
        </w:rPr>
        <w:t>Due to data limitations, e</w:t>
      </w:r>
      <w:r w:rsidRPr="00B50F1D">
        <w:rPr>
          <w:rFonts w:eastAsia="Calibri"/>
          <w:sz w:val="24"/>
          <w:szCs w:val="24"/>
        </w:rPr>
        <w:t xml:space="preserve">quation (9a) is as close as we can get to the fully generalized equation for </w:t>
      </w:r>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S,t</m:t>
            </m:r>
          </m:sub>
        </m:sSub>
      </m:oMath>
      <w:r w:rsidRPr="00B50F1D">
        <w:rPr>
          <w:rFonts w:eastAsia="Times New Roman"/>
          <w:sz w:val="24"/>
          <w:szCs w:val="24"/>
        </w:rPr>
        <w:t xml:space="preserve">, (equation (8)). In correspondence with equation (7), with the South region as region </w:t>
      </w:r>
      <m:oMath>
        <m:r>
          <w:rPr>
            <w:rFonts w:ascii="Cambria Math" w:eastAsia="Times New Roman" w:hAnsi="Cambria Math"/>
            <w:sz w:val="24"/>
            <w:szCs w:val="24"/>
          </w:rPr>
          <m:t>i</m:t>
        </m:r>
      </m:oMath>
      <w:r w:rsidRPr="00B50F1D">
        <w:rPr>
          <w:rFonts w:eastAsia="Times New Roman"/>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HS</m:t>
            </m:r>
          </m:e>
          <m:sub>
            <m:r>
              <w:rPr>
                <w:rFonts w:ascii="Cambria Math" w:eastAsia="Calibri" w:hAnsi="Cambria Math"/>
                <w:sz w:val="24"/>
                <w:szCs w:val="24"/>
              </w:rPr>
              <m:t>MNW</m:t>
            </m:r>
          </m:sub>
        </m:sSub>
      </m:oMath>
      <w:r w:rsidRPr="00B50F1D">
        <w:rPr>
          <w:rFonts w:eastAsia="Times New Roman"/>
          <w:sz w:val="24"/>
          <w:szCs w:val="24"/>
        </w:rPr>
        <w:t xml:space="preserve"> and </w:t>
      </w:r>
      <m:oMath>
        <m:sSub>
          <m:sSubPr>
            <m:ctrlPr>
              <w:rPr>
                <w:rFonts w:ascii="Cambria Math" w:eastAsia="Calibri" w:hAnsi="Cambria Math"/>
                <w:i/>
                <w:sz w:val="24"/>
                <w:szCs w:val="24"/>
              </w:rPr>
            </m:ctrlPr>
          </m:sSubPr>
          <m:e>
            <m:r>
              <w:rPr>
                <w:rFonts w:ascii="Cambria Math" w:eastAsia="Calibri" w:hAnsi="Cambria Math"/>
                <w:sz w:val="24"/>
                <w:szCs w:val="24"/>
              </w:rPr>
              <m:t>HM</m:t>
            </m:r>
          </m:e>
          <m:sub>
            <m:r>
              <w:rPr>
                <w:rFonts w:ascii="Cambria Math" w:eastAsia="Calibri" w:hAnsi="Cambria Math"/>
                <w:sz w:val="24"/>
                <w:szCs w:val="24"/>
              </w:rPr>
              <m:t>MNW</m:t>
            </m:r>
          </m:sub>
        </m:sSub>
      </m:oMath>
      <w:r w:rsidRPr="00B50F1D">
        <w:rPr>
          <w:rFonts w:eastAsia="Times New Roman"/>
          <w:sz w:val="24"/>
          <w:szCs w:val="24"/>
        </w:rPr>
        <w:t xml:space="preserve"> are the appropriate aggregated </w:t>
      </w:r>
      <m:oMath>
        <m:sSub>
          <m:sSubPr>
            <m:ctrlPr>
              <w:rPr>
                <w:rFonts w:ascii="Cambria Math" w:eastAsia="Calibri" w:hAnsi="Cambria Math"/>
                <w:i/>
                <w:sz w:val="24"/>
                <w:szCs w:val="24"/>
              </w:rPr>
            </m:ctrlPr>
          </m:sSubPr>
          <m:e>
            <m:r>
              <w:rPr>
                <w:rFonts w:ascii="Cambria Math" w:eastAsia="Calibri" w:hAnsi="Cambria Math"/>
                <w:sz w:val="24"/>
                <w:szCs w:val="24"/>
              </w:rPr>
              <m:t>HS</m:t>
            </m:r>
          </m:e>
          <m:sub>
            <m:r>
              <w:rPr>
                <w:rFonts w:ascii="Cambria Math" w:eastAsia="Calibri" w:hAnsi="Cambria Math"/>
                <w:sz w:val="24"/>
                <w:szCs w:val="24"/>
              </w:rPr>
              <m:t>j</m:t>
            </m:r>
          </m:sub>
        </m:sSub>
      </m:oMath>
      <w:r w:rsidRPr="00B50F1D">
        <w:rPr>
          <w:rFonts w:eastAsia="Times New Roman"/>
          <w:sz w:val="24"/>
          <w:szCs w:val="24"/>
        </w:rPr>
        <w:t xml:space="preserve"> and </w:t>
      </w:r>
      <m:oMath>
        <m:sSub>
          <m:sSubPr>
            <m:ctrlPr>
              <w:rPr>
                <w:rFonts w:ascii="Cambria Math" w:eastAsia="Calibri" w:hAnsi="Cambria Math"/>
                <w:i/>
                <w:sz w:val="24"/>
                <w:szCs w:val="24"/>
              </w:rPr>
            </m:ctrlPr>
          </m:sSubPr>
          <m:e>
            <m:r>
              <w:rPr>
                <w:rFonts w:ascii="Cambria Math" w:eastAsia="Calibri" w:hAnsi="Cambria Math"/>
                <w:sz w:val="24"/>
                <w:szCs w:val="24"/>
              </w:rPr>
              <m:t>HM</m:t>
            </m:r>
          </m:e>
          <m:sub>
            <m:r>
              <w:rPr>
                <w:rFonts w:ascii="Cambria Math" w:eastAsia="Calibri" w:hAnsi="Cambria Math"/>
                <w:sz w:val="24"/>
                <w:szCs w:val="24"/>
              </w:rPr>
              <m:t>j</m:t>
            </m:r>
          </m:sub>
        </m:sSub>
      </m:oMath>
      <w:r w:rsidRPr="00B50F1D">
        <w:rPr>
          <w:rFonts w:eastAsia="Times New Roman"/>
          <w:sz w:val="24"/>
          <w:szCs w:val="24"/>
        </w:rPr>
        <w:t xml:space="preserve">. While each multiple-equation model estimated will only have one equation of significant interest to us, it is important to note that central to the estimation of any switching model is the estimation of vectors of probabilities for being in a given regime across the sample period. These regime probability vectors would likely be </w:t>
      </w:r>
      <w:proofErr w:type="gramStart"/>
      <w:r w:rsidRPr="00B50F1D">
        <w:rPr>
          <w:rFonts w:eastAsia="Times New Roman"/>
          <w:sz w:val="24"/>
          <w:szCs w:val="24"/>
        </w:rPr>
        <w:t>very different</w:t>
      </w:r>
      <w:proofErr w:type="gramEnd"/>
      <w:r w:rsidRPr="00B50F1D">
        <w:rPr>
          <w:rFonts w:eastAsia="Times New Roman"/>
          <w:sz w:val="24"/>
          <w:szCs w:val="24"/>
        </w:rPr>
        <w:t xml:space="preserve"> if we attempted to estimate only each model’s equation of interest in a single-equation model, given that key model dynamics would not be internal to the estimation. </w:t>
      </w:r>
    </w:p>
    <w:p w14:paraId="118B8A9A" w14:textId="77777777"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lastRenderedPageBreak/>
        <w:t>In terms of our theoretical model in (7), the parameters in (9a), in a one-lag model, correspond to those in (7) as follows:</w:t>
      </w:r>
    </w:p>
    <w:p w14:paraId="3150DE68" w14:textId="77777777" w:rsidR="00B50F1D" w:rsidRPr="00B50F1D" w:rsidRDefault="00E96C7A" w:rsidP="00B50F1D">
      <w:pPr>
        <w:spacing w:after="200" w:line="276" w:lineRule="auto"/>
        <w:rPr>
          <w:rFonts w:eastAsia="Times New Roman"/>
          <w:sz w:val="24"/>
          <w:szCs w:val="24"/>
        </w:rPr>
      </w:pPr>
      <m:oMathPara>
        <m:oMath>
          <m:sSub>
            <m:sSubPr>
              <m:ctrlPr>
                <w:rPr>
                  <w:rFonts w:ascii="Cambria Math" w:eastAsia="Calibri" w:hAnsi="Cambria Math"/>
                  <w:i/>
                  <w:sz w:val="24"/>
                  <w:szCs w:val="24"/>
                </w:rPr>
              </m:ctrlPr>
            </m:sSubPr>
            <m:e>
              <m:r>
                <w:rPr>
                  <w:rFonts w:ascii="Cambria Math" w:eastAsia="Calibri" w:hAnsi="Cambria Math"/>
                  <w:sz w:val="24"/>
                  <w:szCs w:val="24"/>
                </w:rPr>
                <m:t>a</m:t>
              </m:r>
            </m:e>
            <m:sub>
              <m:r>
                <w:rPr>
                  <w:rFonts w:ascii="Cambria Math" w:eastAsia="Calibri" w:hAnsi="Cambria Math"/>
                  <w:sz w:val="24"/>
                  <w:szCs w:val="24"/>
                </w:rPr>
                <m:t>s,t</m:t>
              </m:r>
            </m:sub>
          </m:sSub>
          <m:r>
            <w:rPr>
              <w:rFonts w:ascii="Cambria Math" w:eastAsia="Calibri" w:hAnsi="Cambria Math"/>
              <w:sz w:val="24"/>
              <w:szCs w:val="24"/>
            </w:rPr>
            <m:t>≈</m:t>
          </m:r>
          <m:d>
            <m:dPr>
              <m:begChr m:val="["/>
              <m:endChr m:val="]"/>
              <m:ctrlPr>
                <w:rPr>
                  <w:rFonts w:ascii="Cambria Math" w:eastAsia="Calibri" w:hAnsi="Cambria Math"/>
                  <w:i/>
                  <w:sz w:val="24"/>
                  <w:szCs w:val="24"/>
                </w:rPr>
              </m:ctrlPr>
            </m:dPr>
            <m:e>
              <m:f>
                <m:fPr>
                  <m:ctrlPr>
                    <w:rPr>
                      <w:rFonts w:ascii="Cambria Math" w:eastAsia="Calibri" w:hAnsi="Cambria Math"/>
                      <w:i/>
                      <w:sz w:val="24"/>
                      <w:szCs w:val="24"/>
                    </w:rPr>
                  </m:ctrlPr>
                </m:fPr>
                <m:num>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s,S</m:t>
                      </m:r>
                    </m:sub>
                  </m:sSub>
                  <m:r>
                    <w:rPr>
                      <w:rFonts w:ascii="Cambria Math" w:eastAsia="Calibri" w:hAnsi="Cambria Math"/>
                      <w:sz w:val="24"/>
                      <w:szCs w:val="24"/>
                    </w:rPr>
                    <m:t>-1+</m:t>
                  </m:r>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s,MNW</m:t>
                      </m:r>
                    </m:sub>
                  </m:sSub>
                  <m:d>
                    <m:dPr>
                      <m:ctrlPr>
                        <w:rPr>
                          <w:rFonts w:ascii="Cambria Math" w:eastAsia="Calibri" w:hAnsi="Cambria Math"/>
                          <w:i/>
                          <w:sz w:val="24"/>
                          <w:szCs w:val="24"/>
                        </w:rPr>
                      </m:ctrlPr>
                    </m:dPr>
                    <m:e>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s,S</m:t>
                          </m:r>
                        </m:sub>
                      </m:sSub>
                      <m:r>
                        <w:rPr>
                          <w:rFonts w:ascii="Cambria Math" w:eastAsia="Calibri" w:hAnsi="Cambria Math"/>
                          <w:sz w:val="24"/>
                          <w:szCs w:val="24"/>
                        </w:rPr>
                        <m:t>-1</m:t>
                      </m:r>
                    </m:e>
                  </m:d>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s,S</m:t>
                      </m:r>
                    </m:sub>
                  </m:sSub>
                  <m:sSub>
                    <m:sSubPr>
                      <m:ctrlPr>
                        <w:rPr>
                          <w:rFonts w:ascii="Cambria Math" w:eastAsia="Calibri" w:hAnsi="Cambria Math"/>
                          <w:i/>
                          <w:sz w:val="24"/>
                          <w:szCs w:val="24"/>
                        </w:rPr>
                      </m:ctrlPr>
                    </m:sSubPr>
                    <m:e>
                      <m:r>
                        <w:rPr>
                          <w:rFonts w:ascii="Cambria Math" w:eastAsia="Calibri" w:hAnsi="Cambria Math"/>
                          <w:sz w:val="24"/>
                          <w:szCs w:val="24"/>
                        </w:rPr>
                        <m:t>q</m:t>
                      </m:r>
                    </m:e>
                    <m:sub>
                      <m:r>
                        <w:rPr>
                          <w:rFonts w:ascii="Cambria Math" w:eastAsia="Calibri" w:hAnsi="Cambria Math"/>
                          <w:sz w:val="24"/>
                          <w:szCs w:val="24"/>
                        </w:rPr>
                        <m:t>s,S</m:t>
                      </m:r>
                    </m:sub>
                  </m:sSub>
                </m:num>
                <m:den>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s,S</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q</m:t>
                      </m:r>
                    </m:e>
                    <m:sub>
                      <m:r>
                        <w:rPr>
                          <w:rFonts w:ascii="Cambria Math" w:eastAsia="Calibri" w:hAnsi="Cambria Math"/>
                          <w:sz w:val="24"/>
                          <w:szCs w:val="24"/>
                        </w:rPr>
                        <m:t>s,S</m:t>
                      </m:r>
                    </m:sub>
                  </m:sSub>
                  <m:r>
                    <w:rPr>
                      <w:rFonts w:ascii="Cambria Math" w:eastAsia="Calibri" w:hAnsi="Cambria Math"/>
                      <w:sz w:val="24"/>
                      <w:szCs w:val="24"/>
                    </w:rPr>
                    <m:t>-1)</m:t>
                  </m:r>
                </m:den>
              </m:f>
            </m:e>
          </m:d>
          <m:r>
            <w:rPr>
              <w:rFonts w:ascii="Cambria Math" w:eastAsia="Calibri" w:hAnsi="Cambria Math"/>
              <w:sz w:val="24"/>
              <w:szCs w:val="24"/>
            </w:rPr>
            <m:t xml:space="preserve"> </m:t>
          </m:r>
        </m:oMath>
      </m:oMathPara>
    </w:p>
    <w:p w14:paraId="067118EC" w14:textId="77777777" w:rsidR="00B50F1D" w:rsidRPr="00B50F1D" w:rsidRDefault="00E96C7A" w:rsidP="00B50F1D">
      <w:pPr>
        <w:spacing w:after="200" w:line="276" w:lineRule="auto"/>
        <w:rPr>
          <w:rFonts w:eastAsia="Times New Roman"/>
          <w:sz w:val="24"/>
          <w:szCs w:val="24"/>
        </w:rPr>
      </w:pPr>
      <m:oMathPara>
        <m:oMath>
          <m:sSub>
            <m:sSubPr>
              <m:ctrlPr>
                <w:rPr>
                  <w:rFonts w:ascii="Cambria Math" w:eastAsia="Calibri" w:hAnsi="Cambria Math"/>
                  <w:i/>
                  <w:sz w:val="24"/>
                  <w:szCs w:val="24"/>
                </w:rPr>
              </m:ctrlPr>
            </m:sSubPr>
            <m:e>
              <m:r>
                <w:rPr>
                  <w:rFonts w:ascii="Cambria Math" w:eastAsia="Calibri" w:hAnsi="Cambria Math"/>
                  <w:sz w:val="24"/>
                  <w:szCs w:val="24"/>
                </w:rPr>
                <m:t>b</m:t>
              </m:r>
            </m:e>
            <m:sub>
              <m:r>
                <w:rPr>
                  <w:rFonts w:ascii="Cambria Math" w:eastAsia="Calibri" w:hAnsi="Cambria Math"/>
                  <w:sz w:val="24"/>
                  <w:szCs w:val="24"/>
                </w:rPr>
                <m:t>s,t</m:t>
              </m:r>
            </m:sub>
          </m:sSub>
          <m:r>
            <w:rPr>
              <w:rFonts w:ascii="Cambria Math" w:eastAsia="Calibri" w:hAnsi="Cambria Math"/>
              <w:sz w:val="24"/>
              <w:szCs w:val="24"/>
            </w:rPr>
            <m:t xml:space="preserve">≈ </m:t>
          </m:r>
          <m:d>
            <m:dPr>
              <m:begChr m:val="["/>
              <m:endChr m:val="]"/>
              <m:ctrlPr>
                <w:rPr>
                  <w:rFonts w:ascii="Cambria Math" w:eastAsia="Calibri" w:hAnsi="Cambria Math"/>
                  <w:i/>
                  <w:sz w:val="24"/>
                  <w:szCs w:val="24"/>
                </w:rPr>
              </m:ctrlPr>
            </m:dPr>
            <m:e>
              <m:f>
                <m:fPr>
                  <m:ctrlPr>
                    <w:rPr>
                      <w:rFonts w:ascii="Cambria Math" w:eastAsia="Calibri" w:hAnsi="Cambria Math"/>
                      <w:i/>
                      <w:sz w:val="24"/>
                      <w:szCs w:val="24"/>
                    </w:rPr>
                  </m:ctrlPr>
                </m:fPr>
                <m:num>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s,MNW</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s,S</m:t>
                      </m:r>
                    </m:sub>
                  </m:sSub>
                  <m:r>
                    <w:rPr>
                      <w:rFonts w:ascii="Cambria Math" w:eastAsia="Calibri" w:hAnsi="Cambria Math"/>
                      <w:sz w:val="24"/>
                      <w:szCs w:val="24"/>
                    </w:rPr>
                    <m:t>-1)</m:t>
                  </m:r>
                </m:num>
                <m:den>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s,S</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q</m:t>
                      </m:r>
                    </m:e>
                    <m:sub>
                      <m:r>
                        <w:rPr>
                          <w:rFonts w:ascii="Cambria Math" w:eastAsia="Calibri" w:hAnsi="Cambria Math"/>
                          <w:sz w:val="24"/>
                          <w:szCs w:val="24"/>
                        </w:rPr>
                        <m:t>s,S</m:t>
                      </m:r>
                    </m:sub>
                  </m:sSub>
                  <m:r>
                    <w:rPr>
                      <w:rFonts w:ascii="Cambria Math" w:eastAsia="Calibri" w:hAnsi="Cambria Math"/>
                      <w:sz w:val="24"/>
                      <w:szCs w:val="24"/>
                    </w:rPr>
                    <m:t>-1)</m:t>
                  </m:r>
                </m:den>
              </m:f>
            </m:e>
          </m:d>
        </m:oMath>
      </m:oMathPara>
    </w:p>
    <w:p w14:paraId="3BD5C0BE" w14:textId="77777777" w:rsidR="00B50F1D" w:rsidRPr="00B50F1D" w:rsidRDefault="00E96C7A" w:rsidP="00B50F1D">
      <w:pPr>
        <w:spacing w:after="200" w:line="276" w:lineRule="auto"/>
        <w:rPr>
          <w:rFonts w:eastAsia="Times New Roman"/>
          <w:sz w:val="24"/>
          <w:szCs w:val="24"/>
        </w:rPr>
      </w:pPr>
      <m:oMathPara>
        <m:oMath>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r>
            <w:rPr>
              <w:rFonts w:ascii="Cambria Math" w:eastAsia="Calibri" w:hAnsi="Cambria Math"/>
              <w:sz w:val="24"/>
              <w:szCs w:val="24"/>
            </w:rPr>
            <m:t xml:space="preserve">≈ </m:t>
          </m:r>
          <m:d>
            <m:dPr>
              <m:begChr m:val="["/>
              <m:endChr m:val="]"/>
              <m:ctrlPr>
                <w:rPr>
                  <w:rFonts w:ascii="Cambria Math" w:eastAsia="Calibri" w:hAnsi="Cambria Math"/>
                  <w:i/>
                  <w:sz w:val="24"/>
                  <w:szCs w:val="24"/>
                </w:rPr>
              </m:ctrlPr>
            </m:dPr>
            <m:e>
              <m:f>
                <m:fPr>
                  <m:ctrlPr>
                    <w:rPr>
                      <w:rFonts w:ascii="Cambria Math" w:eastAsia="Calibri" w:hAnsi="Cambria Math"/>
                      <w:i/>
                      <w:sz w:val="24"/>
                      <w:szCs w:val="24"/>
                    </w:rPr>
                  </m:ctrlPr>
                </m:fPr>
                <m:num>
                  <m:sSub>
                    <m:sSubPr>
                      <m:ctrlPr>
                        <w:rPr>
                          <w:rFonts w:ascii="Cambria Math" w:eastAsia="Calibri" w:hAnsi="Cambria Math"/>
                          <w:i/>
                          <w:sz w:val="24"/>
                          <w:szCs w:val="24"/>
                        </w:rPr>
                      </m:ctrlPr>
                    </m:sSubPr>
                    <m:e>
                      <m:r>
                        <w:rPr>
                          <w:rFonts w:ascii="Cambria Math" w:eastAsia="Calibri" w:hAnsi="Cambria Math"/>
                          <w:sz w:val="24"/>
                          <w:szCs w:val="24"/>
                        </w:rPr>
                        <m:t>β</m:t>
                      </m:r>
                    </m:e>
                    <m:sub>
                      <m:sSub>
                        <m:sSubPr>
                          <m:ctrlPr>
                            <w:rPr>
                              <w:rFonts w:ascii="Cambria Math" w:eastAsia="Calibri" w:hAnsi="Cambria Math"/>
                              <w:i/>
                              <w:sz w:val="24"/>
                              <w:szCs w:val="24"/>
                            </w:rPr>
                          </m:ctrlPr>
                        </m:sSubPr>
                        <m:e>
                          <m:r>
                            <w:rPr>
                              <w:rFonts w:ascii="Cambria Math" w:eastAsia="Calibri" w:hAnsi="Cambria Math"/>
                              <w:sz w:val="24"/>
                              <w:szCs w:val="24"/>
                            </w:rPr>
                            <m:t>s,S</m:t>
                          </m:r>
                        </m:e>
                        <m:sub>
                          <m:r>
                            <w:rPr>
                              <w:rFonts w:ascii="Cambria Math" w:eastAsia="Calibri" w:hAnsi="Cambria Math"/>
                              <w:sz w:val="24"/>
                              <w:szCs w:val="24"/>
                            </w:rPr>
                            <m:t>M</m:t>
                          </m:r>
                        </m:sub>
                      </m:sSub>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β</m:t>
                      </m:r>
                    </m:e>
                    <m:sub>
                      <m:sSub>
                        <m:sSubPr>
                          <m:ctrlPr>
                            <w:rPr>
                              <w:rFonts w:ascii="Cambria Math" w:eastAsia="Calibri" w:hAnsi="Cambria Math"/>
                              <w:i/>
                              <w:sz w:val="24"/>
                              <w:szCs w:val="24"/>
                            </w:rPr>
                          </m:ctrlPr>
                        </m:sSubPr>
                        <m:e>
                          <m:r>
                            <w:rPr>
                              <w:rFonts w:ascii="Cambria Math" w:eastAsia="Calibri" w:hAnsi="Cambria Math"/>
                              <w:sz w:val="24"/>
                              <w:szCs w:val="24"/>
                            </w:rPr>
                            <m:t>s,S</m:t>
                          </m:r>
                        </m:e>
                        <m:sub>
                          <m:r>
                            <w:rPr>
                              <w:rFonts w:ascii="Cambria Math" w:eastAsia="Calibri" w:hAnsi="Cambria Math"/>
                              <w:sz w:val="24"/>
                              <w:szCs w:val="24"/>
                            </w:rPr>
                            <m:t>M</m:t>
                          </m:r>
                        </m:sub>
                      </m:sSub>
                    </m:sub>
                  </m:sSub>
                  <m:r>
                    <w:rPr>
                      <w:rFonts w:ascii="Cambria Math" w:eastAsia="Calibri" w:hAnsi="Cambria Math"/>
                      <w:sz w:val="24"/>
                      <w:szCs w:val="24"/>
                    </w:rPr>
                    <m:t>-1)</m:t>
                  </m:r>
                </m:num>
                <m:den>
                  <m:sSub>
                    <m:sSubPr>
                      <m:ctrlPr>
                        <w:rPr>
                          <w:rFonts w:ascii="Cambria Math" w:eastAsia="Calibri" w:hAnsi="Cambria Math"/>
                          <w:i/>
                          <w:sz w:val="24"/>
                          <w:szCs w:val="24"/>
                        </w:rPr>
                      </m:ctrlPr>
                    </m:sSubPr>
                    <m:e>
                      <m:r>
                        <w:rPr>
                          <w:rFonts w:ascii="Cambria Math" w:eastAsia="Calibri" w:hAnsi="Cambria Math"/>
                          <w:sz w:val="24"/>
                          <w:szCs w:val="24"/>
                        </w:rPr>
                        <m:t>(β</m:t>
                      </m:r>
                    </m:e>
                    <m:sub>
                      <m:sSub>
                        <m:sSubPr>
                          <m:ctrlPr>
                            <w:rPr>
                              <w:rFonts w:ascii="Cambria Math" w:eastAsia="Calibri" w:hAnsi="Cambria Math"/>
                              <w:i/>
                              <w:sz w:val="24"/>
                              <w:szCs w:val="24"/>
                            </w:rPr>
                          </m:ctrlPr>
                        </m:sSubPr>
                        <m:e>
                          <m:r>
                            <w:rPr>
                              <w:rFonts w:ascii="Cambria Math" w:eastAsia="Calibri" w:hAnsi="Cambria Math"/>
                              <w:sz w:val="24"/>
                              <w:szCs w:val="24"/>
                            </w:rPr>
                            <m:t>s,S</m:t>
                          </m:r>
                        </m:e>
                        <m:sub>
                          <m:r>
                            <w:rPr>
                              <w:rFonts w:ascii="Cambria Math" w:eastAsia="Calibri" w:hAnsi="Cambria Math"/>
                              <w:sz w:val="24"/>
                              <w:szCs w:val="24"/>
                            </w:rPr>
                            <m:t>M</m:t>
                          </m:r>
                        </m:sub>
                      </m:sSub>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q</m:t>
                      </m:r>
                    </m:e>
                    <m:sub>
                      <m:sSub>
                        <m:sSubPr>
                          <m:ctrlPr>
                            <w:rPr>
                              <w:rFonts w:ascii="Cambria Math" w:eastAsia="Calibri" w:hAnsi="Cambria Math"/>
                              <w:i/>
                              <w:sz w:val="24"/>
                              <w:szCs w:val="24"/>
                            </w:rPr>
                          </m:ctrlPr>
                        </m:sSubPr>
                        <m:e>
                          <m:r>
                            <w:rPr>
                              <w:rFonts w:ascii="Cambria Math" w:eastAsia="Calibri" w:hAnsi="Cambria Math"/>
                              <w:sz w:val="24"/>
                              <w:szCs w:val="24"/>
                            </w:rPr>
                            <m:t>s,S</m:t>
                          </m:r>
                        </m:e>
                        <m:sub>
                          <m:r>
                            <w:rPr>
                              <w:rFonts w:ascii="Cambria Math" w:eastAsia="Calibri" w:hAnsi="Cambria Math"/>
                              <w:sz w:val="24"/>
                              <w:szCs w:val="24"/>
                            </w:rPr>
                            <m:t>M</m:t>
                          </m:r>
                        </m:sub>
                      </m:sSub>
                    </m:sub>
                  </m:sSub>
                  <m:r>
                    <w:rPr>
                      <w:rFonts w:ascii="Cambria Math" w:eastAsia="Calibri" w:hAnsi="Cambria Math"/>
                      <w:sz w:val="24"/>
                      <w:szCs w:val="24"/>
                    </w:rPr>
                    <m:t>-1)</m:t>
                  </m:r>
                </m:den>
              </m:f>
            </m:e>
          </m:d>
        </m:oMath>
      </m:oMathPara>
    </w:p>
    <w:p w14:paraId="12501CE8" w14:textId="77777777" w:rsidR="00B50F1D" w:rsidRPr="00B50F1D" w:rsidRDefault="00E96C7A" w:rsidP="00B50F1D">
      <w:pPr>
        <w:spacing w:after="200" w:line="276" w:lineRule="auto"/>
        <w:rPr>
          <w:rFonts w:eastAsia="Times New Roman"/>
          <w:sz w:val="24"/>
          <w:szCs w:val="24"/>
        </w:rPr>
      </w:pPr>
      <m:oMathPara>
        <m:oMath>
          <m:sSub>
            <m:sSubPr>
              <m:ctrlPr>
                <w:rPr>
                  <w:rFonts w:ascii="Cambria Math" w:eastAsia="Calibri" w:hAnsi="Cambria Math"/>
                  <w:i/>
                  <w:sz w:val="24"/>
                  <w:szCs w:val="24"/>
                </w:rPr>
              </m:ctrlPr>
            </m:sSubPr>
            <m:e>
              <m:r>
                <w:rPr>
                  <w:rFonts w:ascii="Cambria Math" w:eastAsia="Calibri" w:hAnsi="Cambria Math"/>
                  <w:sz w:val="24"/>
                  <w:szCs w:val="24"/>
                </w:rPr>
                <m:t>d</m:t>
              </m:r>
            </m:e>
            <m:sub>
              <m:r>
                <w:rPr>
                  <w:rFonts w:ascii="Cambria Math" w:eastAsia="Calibri" w:hAnsi="Cambria Math"/>
                  <w:sz w:val="24"/>
                  <w:szCs w:val="24"/>
                </w:rPr>
                <m:t>s,t</m:t>
              </m:r>
            </m:sub>
          </m:sSub>
          <m:r>
            <w:rPr>
              <w:rFonts w:ascii="Cambria Math" w:eastAsia="Calibri" w:hAnsi="Cambria Math"/>
              <w:sz w:val="24"/>
              <w:szCs w:val="24"/>
            </w:rPr>
            <m:t xml:space="preserve">≈ </m:t>
          </m:r>
          <m:d>
            <m:dPr>
              <m:begChr m:val="["/>
              <m:endChr m:val="]"/>
              <m:ctrlPr>
                <w:rPr>
                  <w:rFonts w:ascii="Cambria Math" w:eastAsia="Calibri" w:hAnsi="Cambria Math"/>
                  <w:i/>
                  <w:sz w:val="24"/>
                  <w:szCs w:val="24"/>
                </w:rPr>
              </m:ctrlPr>
            </m:dPr>
            <m:e>
              <m:f>
                <m:fPr>
                  <m:ctrlPr>
                    <w:rPr>
                      <w:rFonts w:ascii="Cambria Math" w:eastAsia="Calibri" w:hAnsi="Cambria Math"/>
                      <w:i/>
                      <w:sz w:val="24"/>
                      <w:szCs w:val="24"/>
                    </w:rPr>
                  </m:ctrlPr>
                </m:fPr>
                <m:num>
                  <m:sSub>
                    <m:sSubPr>
                      <m:ctrlPr>
                        <w:rPr>
                          <w:rFonts w:ascii="Cambria Math" w:eastAsia="Calibri" w:hAnsi="Cambria Math"/>
                          <w:i/>
                          <w:sz w:val="24"/>
                          <w:szCs w:val="24"/>
                        </w:rPr>
                      </m:ctrlPr>
                    </m:sSubPr>
                    <m:e>
                      <m:r>
                        <w:rPr>
                          <w:rFonts w:ascii="Cambria Math" w:eastAsia="Calibri" w:hAnsi="Cambria Math"/>
                          <w:sz w:val="24"/>
                          <w:szCs w:val="24"/>
                        </w:rPr>
                        <m:t>β</m:t>
                      </m:r>
                    </m:e>
                    <m:sub>
                      <m:sSub>
                        <m:sSubPr>
                          <m:ctrlPr>
                            <w:rPr>
                              <w:rFonts w:ascii="Cambria Math" w:eastAsia="Calibri" w:hAnsi="Cambria Math"/>
                              <w:i/>
                              <w:sz w:val="24"/>
                              <w:szCs w:val="24"/>
                            </w:rPr>
                          </m:ctrlPr>
                        </m:sSubPr>
                        <m:e>
                          <m:r>
                            <w:rPr>
                              <w:rFonts w:ascii="Cambria Math" w:eastAsia="Calibri" w:hAnsi="Cambria Math"/>
                              <w:sz w:val="24"/>
                              <w:szCs w:val="24"/>
                            </w:rPr>
                            <m:t>s,S</m:t>
                          </m:r>
                        </m:e>
                        <m:sub>
                          <m:r>
                            <w:rPr>
                              <w:rFonts w:ascii="Cambria Math" w:eastAsia="Calibri" w:hAnsi="Cambria Math"/>
                              <w:sz w:val="24"/>
                              <w:szCs w:val="24"/>
                            </w:rPr>
                            <m:t>N</m:t>
                          </m:r>
                        </m:sub>
                      </m:sSub>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β</m:t>
                      </m:r>
                    </m:e>
                    <m:sub>
                      <m:sSub>
                        <m:sSubPr>
                          <m:ctrlPr>
                            <w:rPr>
                              <w:rFonts w:ascii="Cambria Math" w:eastAsia="Calibri" w:hAnsi="Cambria Math"/>
                              <w:i/>
                              <w:sz w:val="24"/>
                              <w:szCs w:val="24"/>
                            </w:rPr>
                          </m:ctrlPr>
                        </m:sSubPr>
                        <m:e>
                          <m:r>
                            <w:rPr>
                              <w:rFonts w:ascii="Cambria Math" w:eastAsia="Calibri" w:hAnsi="Cambria Math"/>
                              <w:sz w:val="24"/>
                              <w:szCs w:val="24"/>
                            </w:rPr>
                            <m:t>s,S</m:t>
                          </m:r>
                        </m:e>
                        <m:sub>
                          <m:r>
                            <w:rPr>
                              <w:rFonts w:ascii="Cambria Math" w:eastAsia="Calibri" w:hAnsi="Cambria Math"/>
                              <w:sz w:val="24"/>
                              <w:szCs w:val="24"/>
                            </w:rPr>
                            <m:t>N</m:t>
                          </m:r>
                        </m:sub>
                      </m:sSub>
                    </m:sub>
                  </m:sSub>
                  <m:r>
                    <w:rPr>
                      <w:rFonts w:ascii="Cambria Math" w:eastAsia="Calibri" w:hAnsi="Cambria Math"/>
                      <w:sz w:val="24"/>
                      <w:szCs w:val="24"/>
                    </w:rPr>
                    <m:t>-1)</m:t>
                  </m:r>
                </m:num>
                <m:den>
                  <m:sSub>
                    <m:sSubPr>
                      <m:ctrlPr>
                        <w:rPr>
                          <w:rFonts w:ascii="Cambria Math" w:eastAsia="Calibri" w:hAnsi="Cambria Math"/>
                          <w:i/>
                          <w:sz w:val="24"/>
                          <w:szCs w:val="24"/>
                        </w:rPr>
                      </m:ctrlPr>
                    </m:sSubPr>
                    <m:e>
                      <m:r>
                        <w:rPr>
                          <w:rFonts w:ascii="Cambria Math" w:eastAsia="Calibri" w:hAnsi="Cambria Math"/>
                          <w:sz w:val="24"/>
                          <w:szCs w:val="24"/>
                        </w:rPr>
                        <m:t>(β</m:t>
                      </m:r>
                    </m:e>
                    <m:sub>
                      <m:sSub>
                        <m:sSubPr>
                          <m:ctrlPr>
                            <w:rPr>
                              <w:rFonts w:ascii="Cambria Math" w:eastAsia="Calibri" w:hAnsi="Cambria Math"/>
                              <w:i/>
                              <w:sz w:val="24"/>
                              <w:szCs w:val="24"/>
                            </w:rPr>
                          </m:ctrlPr>
                        </m:sSubPr>
                        <m:e>
                          <m:r>
                            <w:rPr>
                              <w:rFonts w:ascii="Cambria Math" w:eastAsia="Calibri" w:hAnsi="Cambria Math"/>
                              <w:sz w:val="24"/>
                              <w:szCs w:val="24"/>
                            </w:rPr>
                            <m:t>s,S</m:t>
                          </m:r>
                        </m:e>
                        <m:sub>
                          <m:r>
                            <w:rPr>
                              <w:rFonts w:ascii="Cambria Math" w:eastAsia="Calibri" w:hAnsi="Cambria Math"/>
                              <w:sz w:val="24"/>
                              <w:szCs w:val="24"/>
                            </w:rPr>
                            <m:t>N</m:t>
                          </m:r>
                        </m:sub>
                      </m:sSub>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q</m:t>
                      </m:r>
                    </m:e>
                    <m:sub>
                      <m:sSub>
                        <m:sSubPr>
                          <m:ctrlPr>
                            <w:rPr>
                              <w:rFonts w:ascii="Cambria Math" w:eastAsia="Calibri" w:hAnsi="Cambria Math"/>
                              <w:i/>
                              <w:sz w:val="24"/>
                              <w:szCs w:val="24"/>
                            </w:rPr>
                          </m:ctrlPr>
                        </m:sSubPr>
                        <m:e>
                          <m:r>
                            <w:rPr>
                              <w:rFonts w:ascii="Cambria Math" w:eastAsia="Calibri" w:hAnsi="Cambria Math"/>
                              <w:sz w:val="24"/>
                              <w:szCs w:val="24"/>
                            </w:rPr>
                            <m:t>s,S</m:t>
                          </m:r>
                        </m:e>
                        <m:sub>
                          <m:r>
                            <w:rPr>
                              <w:rFonts w:ascii="Cambria Math" w:eastAsia="Calibri" w:hAnsi="Cambria Math"/>
                              <w:sz w:val="24"/>
                              <w:szCs w:val="24"/>
                            </w:rPr>
                            <m:t>N</m:t>
                          </m:r>
                        </m:sub>
                      </m:sSub>
                    </m:sub>
                  </m:sSub>
                  <m:r>
                    <w:rPr>
                      <w:rFonts w:ascii="Cambria Math" w:eastAsia="Calibri" w:hAnsi="Cambria Math"/>
                      <w:sz w:val="24"/>
                      <w:szCs w:val="24"/>
                    </w:rPr>
                    <m:t>-1)</m:t>
                  </m:r>
                </m:den>
              </m:f>
            </m:e>
          </m:d>
        </m:oMath>
      </m:oMathPara>
    </w:p>
    <w:p w14:paraId="2671A8A1" w14:textId="77777777" w:rsidR="00B50F1D" w:rsidRPr="00B50F1D" w:rsidRDefault="00E96C7A" w:rsidP="00B50F1D">
      <w:pPr>
        <w:spacing w:after="200" w:line="276" w:lineRule="auto"/>
        <w:rPr>
          <w:rFonts w:eastAsia="Times New Roman"/>
          <w:sz w:val="24"/>
          <w:szCs w:val="24"/>
        </w:rPr>
      </w:pPr>
      <m:oMathPara>
        <m:oMath>
          <m:sSub>
            <m:sSubPr>
              <m:ctrlPr>
                <w:rPr>
                  <w:rFonts w:ascii="Cambria Math" w:eastAsia="Calibri" w:hAnsi="Cambria Math"/>
                  <w:i/>
                  <w:sz w:val="24"/>
                  <w:szCs w:val="24"/>
                </w:rPr>
              </m:ctrlPr>
            </m:sSubPr>
            <m:e>
              <m:r>
                <w:rPr>
                  <w:rFonts w:ascii="Cambria Math" w:eastAsia="Calibri" w:hAnsi="Cambria Math"/>
                  <w:sz w:val="24"/>
                  <w:szCs w:val="24"/>
                </w:rPr>
                <m:t>e</m:t>
              </m:r>
            </m:e>
            <m:sub>
              <m:r>
                <w:rPr>
                  <w:rFonts w:ascii="Cambria Math" w:eastAsia="Calibri" w:hAnsi="Cambria Math"/>
                  <w:sz w:val="24"/>
                  <w:szCs w:val="24"/>
                </w:rPr>
                <m:t>s,t</m:t>
              </m:r>
            </m:sub>
          </m:sSub>
          <m:r>
            <w:rPr>
              <w:rFonts w:ascii="Cambria Math" w:eastAsia="Calibri" w:hAnsi="Cambria Math"/>
              <w:sz w:val="24"/>
              <w:szCs w:val="24"/>
            </w:rPr>
            <m:t xml:space="preserve">≈ </m:t>
          </m:r>
          <m:d>
            <m:dPr>
              <m:begChr m:val="["/>
              <m:endChr m:val="]"/>
              <m:ctrlPr>
                <w:rPr>
                  <w:rFonts w:ascii="Cambria Math" w:eastAsia="Calibri" w:hAnsi="Cambria Math"/>
                  <w:i/>
                  <w:sz w:val="24"/>
                  <w:szCs w:val="24"/>
                </w:rPr>
              </m:ctrlPr>
            </m:dPr>
            <m:e>
              <m:f>
                <m:fPr>
                  <m:ctrlPr>
                    <w:rPr>
                      <w:rFonts w:ascii="Cambria Math" w:eastAsia="Calibri" w:hAnsi="Cambria Math"/>
                      <w:i/>
                      <w:sz w:val="24"/>
                      <w:szCs w:val="24"/>
                    </w:rPr>
                  </m:ctrlPr>
                </m:fPr>
                <m:num>
                  <m:sSub>
                    <m:sSubPr>
                      <m:ctrlPr>
                        <w:rPr>
                          <w:rFonts w:ascii="Cambria Math" w:eastAsia="Calibri" w:hAnsi="Cambria Math"/>
                          <w:i/>
                          <w:sz w:val="24"/>
                          <w:szCs w:val="24"/>
                        </w:rPr>
                      </m:ctrlPr>
                    </m:sSubPr>
                    <m:e>
                      <m:r>
                        <w:rPr>
                          <w:rFonts w:ascii="Cambria Math" w:eastAsia="Calibri" w:hAnsi="Cambria Math"/>
                          <w:sz w:val="24"/>
                          <w:szCs w:val="24"/>
                        </w:rPr>
                        <m:t>β</m:t>
                      </m:r>
                    </m:e>
                    <m:sub>
                      <m:sSub>
                        <m:sSubPr>
                          <m:ctrlPr>
                            <w:rPr>
                              <w:rFonts w:ascii="Cambria Math" w:eastAsia="Calibri" w:hAnsi="Cambria Math"/>
                              <w:i/>
                              <w:sz w:val="24"/>
                              <w:szCs w:val="24"/>
                            </w:rPr>
                          </m:ctrlPr>
                        </m:sSubPr>
                        <m:e>
                          <m:r>
                            <w:rPr>
                              <w:rFonts w:ascii="Cambria Math" w:eastAsia="Calibri" w:hAnsi="Cambria Math"/>
                              <w:sz w:val="24"/>
                              <w:szCs w:val="24"/>
                            </w:rPr>
                            <m:t>s,S</m:t>
                          </m:r>
                        </m:e>
                        <m:sub>
                          <m:r>
                            <w:rPr>
                              <w:rFonts w:ascii="Cambria Math" w:eastAsia="Calibri" w:hAnsi="Cambria Math"/>
                              <w:sz w:val="24"/>
                              <w:szCs w:val="24"/>
                            </w:rPr>
                            <m:t>W</m:t>
                          </m:r>
                        </m:sub>
                      </m:sSub>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β</m:t>
                      </m:r>
                    </m:e>
                    <m:sub>
                      <m:sSub>
                        <m:sSubPr>
                          <m:ctrlPr>
                            <w:rPr>
                              <w:rFonts w:ascii="Cambria Math" w:eastAsia="Calibri" w:hAnsi="Cambria Math"/>
                              <w:i/>
                              <w:sz w:val="24"/>
                              <w:szCs w:val="24"/>
                            </w:rPr>
                          </m:ctrlPr>
                        </m:sSubPr>
                        <m:e>
                          <m:r>
                            <w:rPr>
                              <w:rFonts w:ascii="Cambria Math" w:eastAsia="Calibri" w:hAnsi="Cambria Math"/>
                              <w:sz w:val="24"/>
                              <w:szCs w:val="24"/>
                            </w:rPr>
                            <m:t>s,S</m:t>
                          </m:r>
                        </m:e>
                        <m:sub>
                          <m:r>
                            <w:rPr>
                              <w:rFonts w:ascii="Cambria Math" w:eastAsia="Calibri" w:hAnsi="Cambria Math"/>
                              <w:sz w:val="24"/>
                              <w:szCs w:val="24"/>
                            </w:rPr>
                            <m:t>W</m:t>
                          </m:r>
                        </m:sub>
                      </m:sSub>
                    </m:sub>
                  </m:sSub>
                  <m:r>
                    <w:rPr>
                      <w:rFonts w:ascii="Cambria Math" w:eastAsia="Calibri" w:hAnsi="Cambria Math"/>
                      <w:sz w:val="24"/>
                      <w:szCs w:val="24"/>
                    </w:rPr>
                    <m:t>-1)</m:t>
                  </m:r>
                </m:num>
                <m:den>
                  <m:sSub>
                    <m:sSubPr>
                      <m:ctrlPr>
                        <w:rPr>
                          <w:rFonts w:ascii="Cambria Math" w:eastAsia="Calibri" w:hAnsi="Cambria Math"/>
                          <w:i/>
                          <w:sz w:val="24"/>
                          <w:szCs w:val="24"/>
                        </w:rPr>
                      </m:ctrlPr>
                    </m:sSubPr>
                    <m:e>
                      <m:r>
                        <w:rPr>
                          <w:rFonts w:ascii="Cambria Math" w:eastAsia="Calibri" w:hAnsi="Cambria Math"/>
                          <w:sz w:val="24"/>
                          <w:szCs w:val="24"/>
                        </w:rPr>
                        <m:t>(β</m:t>
                      </m:r>
                    </m:e>
                    <m:sub>
                      <m:sSub>
                        <m:sSubPr>
                          <m:ctrlPr>
                            <w:rPr>
                              <w:rFonts w:ascii="Cambria Math" w:eastAsia="Calibri" w:hAnsi="Cambria Math"/>
                              <w:i/>
                              <w:sz w:val="24"/>
                              <w:szCs w:val="24"/>
                            </w:rPr>
                          </m:ctrlPr>
                        </m:sSubPr>
                        <m:e>
                          <m:r>
                            <w:rPr>
                              <w:rFonts w:ascii="Cambria Math" w:eastAsia="Calibri" w:hAnsi="Cambria Math"/>
                              <w:sz w:val="24"/>
                              <w:szCs w:val="24"/>
                            </w:rPr>
                            <m:t>s,S</m:t>
                          </m:r>
                        </m:e>
                        <m:sub>
                          <m:r>
                            <w:rPr>
                              <w:rFonts w:ascii="Cambria Math" w:eastAsia="Calibri" w:hAnsi="Cambria Math"/>
                              <w:sz w:val="24"/>
                              <w:szCs w:val="24"/>
                            </w:rPr>
                            <m:t>W</m:t>
                          </m:r>
                        </m:sub>
                      </m:sSub>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q</m:t>
                      </m:r>
                    </m:e>
                    <m:sub>
                      <m:sSub>
                        <m:sSubPr>
                          <m:ctrlPr>
                            <w:rPr>
                              <w:rFonts w:ascii="Cambria Math" w:eastAsia="Calibri" w:hAnsi="Cambria Math"/>
                              <w:i/>
                              <w:sz w:val="24"/>
                              <w:szCs w:val="24"/>
                            </w:rPr>
                          </m:ctrlPr>
                        </m:sSubPr>
                        <m:e>
                          <m:r>
                            <w:rPr>
                              <w:rFonts w:ascii="Cambria Math" w:eastAsia="Calibri" w:hAnsi="Cambria Math"/>
                              <w:sz w:val="24"/>
                              <w:szCs w:val="24"/>
                            </w:rPr>
                            <m:t>s,S</m:t>
                          </m:r>
                        </m:e>
                        <m:sub>
                          <m:r>
                            <w:rPr>
                              <w:rFonts w:ascii="Cambria Math" w:eastAsia="Calibri" w:hAnsi="Cambria Math"/>
                              <w:sz w:val="24"/>
                              <w:szCs w:val="24"/>
                            </w:rPr>
                            <m:t>W</m:t>
                          </m:r>
                        </m:sub>
                      </m:sSub>
                    </m:sub>
                  </m:sSub>
                  <m:r>
                    <w:rPr>
                      <w:rFonts w:ascii="Cambria Math" w:eastAsia="Calibri" w:hAnsi="Cambria Math"/>
                      <w:sz w:val="24"/>
                      <w:szCs w:val="24"/>
                    </w:rPr>
                    <m:t>-1)</m:t>
                  </m:r>
                </m:den>
              </m:f>
            </m:e>
          </m:d>
        </m:oMath>
      </m:oMathPara>
    </w:p>
    <w:p w14:paraId="715EF2BD" w14:textId="77777777" w:rsidR="00B50F1D" w:rsidRPr="00B50F1D" w:rsidRDefault="00E96C7A" w:rsidP="00B50F1D">
      <w:pPr>
        <w:spacing w:after="200" w:line="276" w:lineRule="auto"/>
        <w:rPr>
          <w:rFonts w:eastAsia="Times New Roman"/>
          <w:sz w:val="24"/>
          <w:szCs w:val="24"/>
        </w:rPr>
      </w:pPr>
      <m:oMathPara>
        <m:oMath>
          <m:sSub>
            <m:sSubPr>
              <m:ctrlPr>
                <w:rPr>
                  <w:rFonts w:ascii="Cambria Math" w:eastAsia="Calibri" w:hAnsi="Cambria Math"/>
                  <w:i/>
                  <w:sz w:val="24"/>
                  <w:szCs w:val="24"/>
                </w:rPr>
              </m:ctrlPr>
            </m:sSubPr>
            <m:e>
              <m:r>
                <w:rPr>
                  <w:rFonts w:ascii="Cambria Math" w:eastAsia="Calibri" w:hAnsi="Cambria Math"/>
                  <w:sz w:val="24"/>
                  <w:szCs w:val="24"/>
                </w:rPr>
                <m:t>f</m:t>
              </m:r>
            </m:e>
            <m:sub>
              <m:r>
                <w:rPr>
                  <w:rFonts w:ascii="Cambria Math" w:eastAsia="Calibri" w:hAnsi="Cambria Math"/>
                  <w:sz w:val="24"/>
                  <w:szCs w:val="24"/>
                </w:rPr>
                <m:t>s,t</m:t>
              </m:r>
            </m:sub>
          </m:sSub>
          <m:r>
            <w:rPr>
              <w:rFonts w:ascii="Cambria Math" w:eastAsia="Calibri" w:hAnsi="Cambria Math"/>
              <w:sz w:val="24"/>
              <w:szCs w:val="24"/>
            </w:rPr>
            <m:t xml:space="preserve">≈ </m:t>
          </m:r>
          <m:d>
            <m:dPr>
              <m:begChr m:val="["/>
              <m:endChr m:val="]"/>
              <m:ctrlPr>
                <w:rPr>
                  <w:rFonts w:ascii="Cambria Math" w:eastAsia="Calibri" w:hAnsi="Cambria Math"/>
                  <w:i/>
                  <w:sz w:val="24"/>
                  <w:szCs w:val="24"/>
                </w:rPr>
              </m:ctrlPr>
            </m:dPr>
            <m:e>
              <m:f>
                <m:fPr>
                  <m:ctrlPr>
                    <w:rPr>
                      <w:rFonts w:ascii="Cambria Math" w:eastAsia="Calibri" w:hAnsi="Cambria Math"/>
                      <w:i/>
                      <w:sz w:val="24"/>
                      <w:szCs w:val="24"/>
                    </w:rPr>
                  </m:ctrlPr>
                </m:fPr>
                <m:num>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s,S</m:t>
                      </m:r>
                    </m:sub>
                  </m:sSub>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s,MNW</m:t>
                      </m:r>
                    </m:sub>
                  </m:sSub>
                </m:num>
                <m:den>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s,S</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q</m:t>
                      </m:r>
                    </m:e>
                    <m:sub>
                      <m:r>
                        <w:rPr>
                          <w:rFonts w:ascii="Cambria Math" w:eastAsia="Calibri" w:hAnsi="Cambria Math"/>
                          <w:sz w:val="24"/>
                          <w:szCs w:val="24"/>
                        </w:rPr>
                        <m:t>s,S</m:t>
                      </m:r>
                    </m:sub>
                  </m:sSub>
                  <m:r>
                    <w:rPr>
                      <w:rFonts w:ascii="Cambria Math" w:eastAsia="Calibri" w:hAnsi="Cambria Math"/>
                      <w:sz w:val="24"/>
                      <w:szCs w:val="24"/>
                    </w:rPr>
                    <m:t>-1)</m:t>
                  </m:r>
                </m:den>
              </m:f>
            </m:e>
          </m:d>
          <m:r>
            <w:rPr>
              <w:rFonts w:ascii="Cambria Math" w:eastAsia="Calibri" w:hAnsi="Cambria Math"/>
              <w:sz w:val="24"/>
              <w:szCs w:val="24"/>
            </w:rPr>
            <m:t xml:space="preserve"> ,</m:t>
          </m:r>
        </m:oMath>
      </m:oMathPara>
    </w:p>
    <w:p w14:paraId="62933D16" w14:textId="77777777" w:rsidR="00B50F1D" w:rsidRPr="00B50F1D" w:rsidRDefault="00B50F1D" w:rsidP="00B50F1D">
      <w:pPr>
        <w:spacing w:after="200" w:line="276" w:lineRule="auto"/>
        <w:rPr>
          <w:rFonts w:eastAsia="Times New Roman"/>
          <w:sz w:val="24"/>
          <w:szCs w:val="24"/>
        </w:rPr>
      </w:pPr>
    </w:p>
    <w:p w14:paraId="459B5BB8" w14:textId="2EDEB9F7" w:rsidR="00B50F1D" w:rsidRPr="00B50F1D" w:rsidRDefault="00B50F1D" w:rsidP="00B50F1D">
      <w:pPr>
        <w:spacing w:after="200" w:line="276" w:lineRule="auto"/>
        <w:rPr>
          <w:rFonts w:eastAsia="Calibri"/>
          <w:sz w:val="24"/>
          <w:szCs w:val="24"/>
        </w:rPr>
      </w:pPr>
      <w:r w:rsidRPr="00B50F1D">
        <w:rPr>
          <w:rFonts w:eastAsia="Calibri"/>
          <w:sz w:val="24"/>
          <w:szCs w:val="24"/>
        </w:rPr>
        <w:t xml:space="preserve">where, as examples of notation, </w:t>
      </w:r>
      <m:oMath>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s,S</m:t>
            </m:r>
          </m:sub>
        </m:sSub>
      </m:oMath>
      <w:r w:rsidRPr="00B50F1D">
        <w:rPr>
          <w:rFonts w:eastAsia="Times New Roman"/>
          <w:sz w:val="24"/>
          <w:szCs w:val="24"/>
        </w:rPr>
        <w:t xml:space="preserve"> is the transition rate from preferring the South to preferring the rest of the country, and</w:t>
      </w:r>
      <w:r w:rsidRPr="00B50F1D">
        <w:rPr>
          <w:rFonts w:eastAsia="Calibri"/>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β</m:t>
            </m:r>
          </m:e>
          <m:sub>
            <m:sSub>
              <m:sSubPr>
                <m:ctrlPr>
                  <w:rPr>
                    <w:rFonts w:ascii="Cambria Math" w:eastAsia="Calibri" w:hAnsi="Cambria Math"/>
                    <w:i/>
                    <w:sz w:val="24"/>
                    <w:szCs w:val="24"/>
                  </w:rPr>
                </m:ctrlPr>
              </m:sSubPr>
              <m:e>
                <m:r>
                  <w:rPr>
                    <w:rFonts w:ascii="Cambria Math" w:eastAsia="Calibri" w:hAnsi="Cambria Math"/>
                    <w:sz w:val="24"/>
                    <w:szCs w:val="24"/>
                  </w:rPr>
                  <m:t>s,S</m:t>
                </m:r>
              </m:e>
              <m:sub>
                <m:r>
                  <w:rPr>
                    <w:rFonts w:ascii="Cambria Math" w:eastAsia="Calibri" w:hAnsi="Cambria Math"/>
                    <w:sz w:val="24"/>
                    <w:szCs w:val="24"/>
                  </w:rPr>
                  <m:t>M</m:t>
                </m:r>
              </m:sub>
            </m:sSub>
          </m:sub>
        </m:sSub>
      </m:oMath>
      <w:r w:rsidRPr="00B50F1D">
        <w:rPr>
          <w:rFonts w:eastAsia="Times New Roman"/>
          <w:sz w:val="24"/>
          <w:szCs w:val="24"/>
        </w:rPr>
        <w:t xml:space="preserve"> is the transition rate from preferring the South to preferring the Midwest. </w:t>
      </w:r>
      <w:r w:rsidR="003901B1">
        <w:rPr>
          <w:rFonts w:eastAsia="Times New Roman"/>
          <w:sz w:val="24"/>
          <w:szCs w:val="24"/>
        </w:rPr>
        <w:t>Based on our previous discussion,</w:t>
      </w:r>
      <w:r w:rsidR="00E42411">
        <w:rPr>
          <w:rFonts w:eastAsia="Times New Roman"/>
          <w:sz w:val="24"/>
          <w:szCs w:val="24"/>
        </w:rPr>
        <w:t xml:space="preserve"> the sign of</w:t>
      </w:r>
      <w:r w:rsidR="003901B1">
        <w:rPr>
          <w:rFonts w:eastAsia="Times New Roman"/>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a</m:t>
            </m:r>
          </m:e>
          <m:sub>
            <m:r>
              <w:rPr>
                <w:rFonts w:ascii="Cambria Math" w:eastAsia="Calibri" w:hAnsi="Cambria Math"/>
                <w:sz w:val="24"/>
                <w:szCs w:val="24"/>
              </w:rPr>
              <m:t>s,t</m:t>
            </m:r>
          </m:sub>
        </m:sSub>
      </m:oMath>
      <w:r w:rsidR="003901B1">
        <w:rPr>
          <w:rFonts w:eastAsia="Times New Roman"/>
          <w:sz w:val="24"/>
          <w:szCs w:val="24"/>
        </w:rPr>
        <w:t xml:space="preserve"> is indeterminate, while</w:t>
      </w:r>
      <w:r w:rsidR="00E42411">
        <w:rPr>
          <w:rFonts w:eastAsia="Times New Roman"/>
          <w:sz w:val="24"/>
          <w:szCs w:val="24"/>
        </w:rPr>
        <w:t xml:space="preserve"> the signs of</w:t>
      </w:r>
      <w:r w:rsidR="003901B1">
        <w:rPr>
          <w:rFonts w:eastAsia="Times New Roman"/>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b</m:t>
            </m:r>
          </m:e>
          <m:sub>
            <m:r>
              <w:rPr>
                <w:rFonts w:ascii="Cambria Math" w:eastAsia="Calibri" w:hAnsi="Cambria Math"/>
                <w:sz w:val="24"/>
                <w:szCs w:val="24"/>
              </w:rPr>
              <m:t>s,t</m:t>
            </m:r>
          </m:sub>
        </m:sSub>
      </m:oMath>
      <w:r w:rsidR="003901B1">
        <w:rPr>
          <w:rFonts w:eastAsia="Times New Roman"/>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oMath>
      <w:r w:rsidR="003901B1">
        <w:rPr>
          <w:rFonts w:eastAsia="Times New Roman"/>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d</m:t>
            </m:r>
          </m:e>
          <m:sub>
            <m:r>
              <w:rPr>
                <w:rFonts w:ascii="Cambria Math" w:eastAsia="Calibri" w:hAnsi="Cambria Math"/>
                <w:sz w:val="24"/>
                <w:szCs w:val="24"/>
              </w:rPr>
              <m:t>s,t</m:t>
            </m:r>
          </m:sub>
        </m:sSub>
      </m:oMath>
      <w:r w:rsidR="003901B1">
        <w:rPr>
          <w:rFonts w:eastAsia="Times New Roman"/>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e</m:t>
            </m:r>
          </m:e>
          <m:sub>
            <m:r>
              <w:rPr>
                <w:rFonts w:ascii="Cambria Math" w:eastAsia="Calibri" w:hAnsi="Cambria Math"/>
                <w:sz w:val="24"/>
                <w:szCs w:val="24"/>
              </w:rPr>
              <m:t>s,t</m:t>
            </m:r>
          </m:sub>
        </m:sSub>
      </m:oMath>
      <w:r w:rsidR="003901B1">
        <w:rPr>
          <w:rFonts w:eastAsia="Times New Roman"/>
          <w:sz w:val="24"/>
          <w:szCs w:val="24"/>
        </w:rPr>
        <w:t xml:space="preserve"> and </w:t>
      </w:r>
      <m:oMath>
        <m:sSub>
          <m:sSubPr>
            <m:ctrlPr>
              <w:rPr>
                <w:rFonts w:ascii="Cambria Math" w:eastAsia="Calibri" w:hAnsi="Cambria Math"/>
                <w:i/>
                <w:sz w:val="24"/>
                <w:szCs w:val="24"/>
              </w:rPr>
            </m:ctrlPr>
          </m:sSubPr>
          <m:e>
            <m:r>
              <w:rPr>
                <w:rFonts w:ascii="Cambria Math" w:eastAsia="Calibri" w:hAnsi="Cambria Math"/>
                <w:sz w:val="24"/>
                <w:szCs w:val="24"/>
              </w:rPr>
              <m:t>f</m:t>
            </m:r>
          </m:e>
          <m:sub>
            <m:r>
              <w:rPr>
                <w:rFonts w:ascii="Cambria Math" w:eastAsia="Calibri" w:hAnsi="Cambria Math"/>
                <w:sz w:val="24"/>
                <w:szCs w:val="24"/>
              </w:rPr>
              <m:t>s,t</m:t>
            </m:r>
          </m:sub>
        </m:sSub>
        <m:r>
          <w:rPr>
            <w:rFonts w:ascii="Cambria Math" w:eastAsia="Calibri" w:hAnsi="Cambria Math"/>
            <w:sz w:val="24"/>
            <w:szCs w:val="24"/>
          </w:rPr>
          <m:t xml:space="preserve"> </m:t>
        </m:r>
      </m:oMath>
      <w:r w:rsidR="003901B1">
        <w:rPr>
          <w:rFonts w:eastAsia="Times New Roman"/>
          <w:sz w:val="24"/>
          <w:szCs w:val="24"/>
        </w:rPr>
        <w:t>are positive.</w:t>
      </w:r>
    </w:p>
    <w:p w14:paraId="68131CD5" w14:textId="77777777" w:rsidR="00295D16" w:rsidRDefault="00295D16" w:rsidP="00B50F1D">
      <w:pPr>
        <w:rPr>
          <w:rFonts w:eastAsia="Calibri"/>
          <w:b/>
          <w:sz w:val="24"/>
          <w:szCs w:val="24"/>
        </w:rPr>
      </w:pPr>
    </w:p>
    <w:p w14:paraId="3732D84F" w14:textId="17CE800C" w:rsidR="00B50F1D" w:rsidRPr="00B50F1D" w:rsidRDefault="00B50F1D" w:rsidP="00B50F1D">
      <w:pPr>
        <w:rPr>
          <w:rFonts w:eastAsia="Calibri"/>
          <w:sz w:val="24"/>
          <w:szCs w:val="24"/>
        </w:rPr>
      </w:pPr>
      <w:r w:rsidRPr="00B50F1D">
        <w:rPr>
          <w:rFonts w:eastAsia="Calibri"/>
          <w:b/>
          <w:sz w:val="24"/>
          <w:szCs w:val="24"/>
        </w:rPr>
        <w:t>Data and Estimation Procedure</w:t>
      </w:r>
    </w:p>
    <w:p w14:paraId="6B6D1954" w14:textId="4EF87696" w:rsidR="00F66C89" w:rsidRDefault="00F66C89" w:rsidP="00F66C89">
      <w:pPr>
        <w:spacing w:after="200" w:line="276" w:lineRule="auto"/>
        <w:ind w:firstLine="720"/>
        <w:rPr>
          <w:rFonts w:eastAsia="Calibri"/>
          <w:sz w:val="24"/>
          <w:szCs w:val="24"/>
        </w:rPr>
      </w:pPr>
      <w:r>
        <w:rPr>
          <w:rFonts w:eastAsia="Calibri"/>
          <w:sz w:val="24"/>
          <w:szCs w:val="24"/>
        </w:rPr>
        <w:t>We will first consider variations to the model outlined in equations</w:t>
      </w:r>
      <w:r w:rsidRPr="00B50F1D">
        <w:rPr>
          <w:rFonts w:eastAsia="Calibri"/>
          <w:sz w:val="24"/>
          <w:szCs w:val="24"/>
        </w:rPr>
        <w:t xml:space="preserve"> </w:t>
      </w:r>
      <w:r w:rsidR="004F73E4" w:rsidRPr="00B50F1D">
        <w:rPr>
          <w:rFonts w:eastAsia="Calibri"/>
          <w:sz w:val="24"/>
          <w:szCs w:val="24"/>
        </w:rPr>
        <w:t>(9a) – (9f)</w:t>
      </w:r>
      <w:r w:rsidR="004F73E4" w:rsidRPr="00B50F1D" w:rsidDel="004F73E4">
        <w:rPr>
          <w:rFonts w:eastAsia="Calibri"/>
          <w:sz w:val="24"/>
          <w:szCs w:val="24"/>
        </w:rPr>
        <w:t xml:space="preserve"> </w:t>
      </w:r>
      <w:r>
        <w:rPr>
          <w:rFonts w:eastAsia="Calibri"/>
          <w:sz w:val="24"/>
          <w:szCs w:val="24"/>
        </w:rPr>
        <w:t xml:space="preserve">which do not consider regional spillovers, but rather looks at the univariate time-series dynamics of vacancies at the national level. </w:t>
      </w:r>
      <w:r w:rsidR="002B0FEC">
        <w:rPr>
          <w:rFonts w:eastAsia="Calibri"/>
          <w:sz w:val="24"/>
          <w:szCs w:val="24"/>
        </w:rPr>
        <w:t>T</w:t>
      </w:r>
      <w:r>
        <w:rPr>
          <w:rFonts w:eastAsia="Calibri"/>
          <w:sz w:val="24"/>
          <w:szCs w:val="24"/>
        </w:rPr>
        <w:t>o estimate th</w:t>
      </w:r>
      <w:r w:rsidR="00C55D06">
        <w:rPr>
          <w:rFonts w:eastAsia="Calibri"/>
          <w:sz w:val="24"/>
          <w:szCs w:val="24"/>
        </w:rPr>
        <w:t>is</w:t>
      </w:r>
      <w:r>
        <w:rPr>
          <w:rFonts w:eastAsia="Calibri"/>
          <w:sz w:val="24"/>
          <w:szCs w:val="24"/>
        </w:rPr>
        <w:t xml:space="preserve"> national model, we only need data on national vacancies. We opt to use the vacancy rate rather than the raw number of vacancies due to the measure’s tractability and common usage as a housing market indicator. The vacancy rate data comes from the U.S. Census Bureau and is</w:t>
      </w:r>
      <w:r w:rsidR="00A17DD1">
        <w:rPr>
          <w:rFonts w:eastAsia="Calibri"/>
          <w:sz w:val="24"/>
          <w:szCs w:val="24"/>
        </w:rPr>
        <w:t xml:space="preserve"> a</w:t>
      </w:r>
      <w:r>
        <w:rPr>
          <w:rFonts w:eastAsia="Calibri"/>
          <w:sz w:val="24"/>
          <w:szCs w:val="24"/>
        </w:rPr>
        <w:t xml:space="preserve">t a quarterly frequency from </w:t>
      </w:r>
      <w:proofErr w:type="gramStart"/>
      <w:r>
        <w:rPr>
          <w:rFonts w:eastAsia="Calibri"/>
          <w:sz w:val="24"/>
          <w:szCs w:val="24"/>
        </w:rPr>
        <w:t>1956:Q</w:t>
      </w:r>
      <w:proofErr w:type="gramEnd"/>
      <w:r>
        <w:rPr>
          <w:rFonts w:eastAsia="Calibri"/>
          <w:sz w:val="24"/>
          <w:szCs w:val="24"/>
        </w:rPr>
        <w:t>1 through 2019:Q3. Note that we use the homeowner vacancy rate, which is the proportion of homeowner inventory that is vacant for sale. To eliminate seasonal trends, we seasonally</w:t>
      </w:r>
      <w:r w:rsidR="002B0FEC">
        <w:rPr>
          <w:rFonts w:eastAsia="Calibri"/>
          <w:sz w:val="24"/>
          <w:szCs w:val="24"/>
        </w:rPr>
        <w:t xml:space="preserve"> </w:t>
      </w:r>
      <w:r>
        <w:rPr>
          <w:rFonts w:eastAsia="Calibri"/>
          <w:sz w:val="24"/>
          <w:szCs w:val="24"/>
        </w:rPr>
        <w:t xml:space="preserve">adjust the vacancy rate data using the standard X-13 ARIMA method </w:t>
      </w:r>
      <w:r w:rsidR="00863D96">
        <w:rPr>
          <w:rFonts w:eastAsia="Calibri"/>
          <w:sz w:val="24"/>
          <w:szCs w:val="24"/>
        </w:rPr>
        <w:t>publicly</w:t>
      </w:r>
      <w:r>
        <w:rPr>
          <w:rFonts w:eastAsia="Calibri"/>
          <w:sz w:val="24"/>
          <w:szCs w:val="24"/>
        </w:rPr>
        <w:t xml:space="preserve"> available from the Census.</w:t>
      </w:r>
    </w:p>
    <w:p w14:paraId="537189B3" w14:textId="09B82E3E" w:rsidR="00F66C89" w:rsidRDefault="00F66C89" w:rsidP="00F66C89">
      <w:pPr>
        <w:spacing w:after="200" w:line="276" w:lineRule="auto"/>
        <w:ind w:firstLine="720"/>
        <w:rPr>
          <w:rFonts w:eastAsia="Calibri"/>
          <w:sz w:val="24"/>
          <w:szCs w:val="24"/>
        </w:rPr>
      </w:pPr>
      <w:r>
        <w:rPr>
          <w:rFonts w:eastAsia="Calibri"/>
          <w:sz w:val="24"/>
          <w:szCs w:val="24"/>
        </w:rPr>
        <w:t>To</w:t>
      </w:r>
      <w:r w:rsidRPr="00B50F1D">
        <w:rPr>
          <w:rFonts w:eastAsia="Calibri"/>
          <w:sz w:val="24"/>
          <w:szCs w:val="24"/>
        </w:rPr>
        <w:t xml:space="preserve"> estimate </w:t>
      </w:r>
      <w:r>
        <w:rPr>
          <w:rFonts w:eastAsia="Calibri"/>
          <w:sz w:val="24"/>
          <w:szCs w:val="24"/>
        </w:rPr>
        <w:t>the regional variants of the model outlined in equations</w:t>
      </w:r>
      <w:r w:rsidRPr="00B50F1D">
        <w:rPr>
          <w:rFonts w:eastAsia="Calibri"/>
          <w:sz w:val="24"/>
          <w:szCs w:val="24"/>
        </w:rPr>
        <w:t xml:space="preserve"> </w:t>
      </w:r>
      <w:r w:rsidR="004F73E4" w:rsidRPr="00B50F1D">
        <w:rPr>
          <w:rFonts w:eastAsia="Calibri"/>
          <w:sz w:val="24"/>
          <w:szCs w:val="24"/>
        </w:rPr>
        <w:t>(9a) – (9f)</w:t>
      </w:r>
      <w:r>
        <w:rPr>
          <w:rFonts w:eastAsia="Calibri"/>
          <w:sz w:val="24"/>
          <w:szCs w:val="24"/>
        </w:rPr>
        <w:t>, we need regional data on: (</w:t>
      </w:r>
      <w:proofErr w:type="spellStart"/>
      <w:r>
        <w:rPr>
          <w:rFonts w:eastAsia="Calibri"/>
          <w:sz w:val="24"/>
          <w:szCs w:val="24"/>
        </w:rPr>
        <w:t>i</w:t>
      </w:r>
      <w:proofErr w:type="spellEnd"/>
      <w:r>
        <w:rPr>
          <w:rFonts w:eastAsia="Calibri"/>
          <w:sz w:val="24"/>
          <w:szCs w:val="24"/>
        </w:rPr>
        <w:t>) vacancies</w:t>
      </w:r>
      <w:r w:rsidR="002B0FEC">
        <w:rPr>
          <w:rFonts w:eastAsia="Calibri"/>
          <w:sz w:val="24"/>
          <w:szCs w:val="24"/>
        </w:rPr>
        <w:t>,</w:t>
      </w:r>
      <w:r>
        <w:rPr>
          <w:rFonts w:eastAsia="Calibri"/>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i,t</m:t>
            </m:r>
          </m:sub>
        </m:sSub>
      </m:oMath>
      <w:r>
        <w:rPr>
          <w:rFonts w:eastAsia="Calibri"/>
          <w:sz w:val="24"/>
          <w:szCs w:val="24"/>
        </w:rPr>
        <w:t>, (ii) households who would like to migrate out</w:t>
      </w:r>
      <w:r w:rsidR="00C0525E">
        <w:rPr>
          <w:rFonts w:eastAsia="Calibri"/>
          <w:sz w:val="24"/>
          <w:szCs w:val="24"/>
        </w:rPr>
        <w:t xml:space="preserve"> of region </w:t>
      </w:r>
      <w:proofErr w:type="spellStart"/>
      <w:r w:rsidR="00C0525E">
        <w:rPr>
          <w:rFonts w:eastAsia="Calibri"/>
          <w:sz w:val="24"/>
          <w:szCs w:val="24"/>
        </w:rPr>
        <w:t>i</w:t>
      </w:r>
      <w:proofErr w:type="spellEnd"/>
      <w:r w:rsidR="002B0FEC">
        <w:rPr>
          <w:rFonts w:eastAsia="Calibri"/>
          <w:sz w:val="24"/>
          <w:szCs w:val="24"/>
        </w:rPr>
        <w:t>,</w:t>
      </w:r>
      <w:r>
        <w:rPr>
          <w:rFonts w:eastAsia="Calibri"/>
          <w:sz w:val="24"/>
          <w:szCs w:val="24"/>
        </w:rPr>
        <w:t xml:space="preserve"> </w:t>
      </w:r>
      <m:oMath>
        <m:r>
          <w:rPr>
            <w:rFonts w:ascii="Cambria Math" w:eastAsia="Calibri" w:hAnsi="Cambria Math"/>
            <w:sz w:val="24"/>
            <w:szCs w:val="24"/>
          </w:rPr>
          <w:lastRenderedPageBreak/>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j,t</m:t>
            </m:r>
          </m:sub>
        </m:sSub>
      </m:oMath>
      <w:r>
        <w:rPr>
          <w:rFonts w:eastAsia="Calibri"/>
          <w:sz w:val="24"/>
          <w:szCs w:val="24"/>
        </w:rPr>
        <w:t>, and (iii) household</w:t>
      </w:r>
      <w:r w:rsidR="0072778B">
        <w:rPr>
          <w:rFonts w:eastAsia="Calibri"/>
          <w:sz w:val="24"/>
          <w:szCs w:val="24"/>
        </w:rPr>
        <w:t>s</w:t>
      </w:r>
      <w:r>
        <w:rPr>
          <w:rFonts w:eastAsia="Calibri"/>
          <w:sz w:val="24"/>
          <w:szCs w:val="24"/>
        </w:rPr>
        <w:t xml:space="preserve"> who would </w:t>
      </w:r>
      <w:r w:rsidR="0072778B">
        <w:rPr>
          <w:rFonts w:eastAsia="Calibri"/>
          <w:sz w:val="24"/>
          <w:szCs w:val="24"/>
        </w:rPr>
        <w:t xml:space="preserve">not </w:t>
      </w:r>
      <w:r>
        <w:rPr>
          <w:rFonts w:eastAsia="Calibri"/>
          <w:sz w:val="24"/>
          <w:szCs w:val="24"/>
        </w:rPr>
        <w:t>like to migrate in</w:t>
      </w:r>
      <w:r w:rsidR="00C0525E">
        <w:rPr>
          <w:rFonts w:eastAsia="Calibri"/>
          <w:sz w:val="24"/>
          <w:szCs w:val="24"/>
        </w:rPr>
        <w:t xml:space="preserve">to region </w:t>
      </w:r>
      <w:proofErr w:type="spellStart"/>
      <w:r w:rsidR="00C0525E">
        <w:rPr>
          <w:rFonts w:eastAsia="Calibri"/>
          <w:sz w:val="24"/>
          <w:szCs w:val="24"/>
        </w:rPr>
        <w:t>i</w:t>
      </w:r>
      <w:proofErr w:type="spellEnd"/>
      <w:r w:rsidR="002B0FEC">
        <w:rPr>
          <w:rFonts w:eastAsia="Calibri"/>
          <w:sz w:val="24"/>
          <w:szCs w:val="24"/>
        </w:rPr>
        <w:t>,</w:t>
      </w:r>
      <w:r>
        <w:rPr>
          <w:rFonts w:eastAsia="Calibri"/>
          <w:sz w:val="24"/>
          <w:szCs w:val="24"/>
        </w:rPr>
        <w:t xml:space="preserve">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j,t</m:t>
            </m:r>
          </m:sub>
        </m:sSub>
      </m:oMath>
      <w:r>
        <w:rPr>
          <w:rFonts w:eastAsia="Calibri"/>
          <w:sz w:val="24"/>
          <w:szCs w:val="24"/>
        </w:rPr>
        <w:t>. Due to data limitations at the MSA level,</w:t>
      </w:r>
      <w:r w:rsidR="00387C76">
        <w:rPr>
          <w:rFonts w:eastAsia="Calibri"/>
          <w:sz w:val="24"/>
          <w:szCs w:val="24"/>
        </w:rPr>
        <w:t xml:space="preserve"> as well as the large numbers of </w:t>
      </w:r>
      <w:r w:rsidR="007C774B">
        <w:rPr>
          <w:rFonts w:eastAsia="Calibri"/>
          <w:sz w:val="24"/>
          <w:szCs w:val="24"/>
        </w:rPr>
        <w:t>parameters that would need to be estimated at the MSA level,</w:t>
      </w:r>
      <w:r>
        <w:rPr>
          <w:rFonts w:eastAsia="Calibri"/>
          <w:sz w:val="24"/>
          <w:szCs w:val="24"/>
        </w:rPr>
        <w:t xml:space="preserve"> we choose to focus on the four regions of the United States outlined by the Census: South, Northeast, Midwest, and West. As with the national data, we use the homeowner vacancy rate for each region in place of the actual number of vacancies. This regional vacancy rate data is from the Census for </w:t>
      </w:r>
      <w:proofErr w:type="gramStart"/>
      <w:r>
        <w:rPr>
          <w:rFonts w:eastAsia="Calibri"/>
          <w:sz w:val="24"/>
          <w:szCs w:val="24"/>
        </w:rPr>
        <w:t>1956:Q</w:t>
      </w:r>
      <w:proofErr w:type="gramEnd"/>
      <w:r>
        <w:rPr>
          <w:rFonts w:eastAsia="Calibri"/>
          <w:sz w:val="24"/>
          <w:szCs w:val="24"/>
        </w:rPr>
        <w:t>1 through 2019:Q3</w:t>
      </w:r>
      <w:r w:rsidR="00F84BD8">
        <w:rPr>
          <w:rFonts w:eastAsia="Calibri"/>
          <w:sz w:val="24"/>
          <w:szCs w:val="24"/>
        </w:rPr>
        <w:t>;</w:t>
      </w:r>
      <w:r>
        <w:rPr>
          <w:rFonts w:eastAsia="Calibri"/>
          <w:sz w:val="24"/>
          <w:szCs w:val="24"/>
        </w:rPr>
        <w:t xml:space="preserve"> however</w:t>
      </w:r>
      <w:r w:rsidR="009C710A">
        <w:rPr>
          <w:rFonts w:eastAsia="Calibri"/>
          <w:sz w:val="24"/>
          <w:szCs w:val="24"/>
        </w:rPr>
        <w:t>,</w:t>
      </w:r>
      <w:r>
        <w:rPr>
          <w:rFonts w:eastAsia="Calibri"/>
          <w:sz w:val="24"/>
          <w:szCs w:val="24"/>
        </w:rPr>
        <w:t xml:space="preserve"> we must again seasonally-adjust the data using the standard X-13 method.</w:t>
      </w:r>
    </w:p>
    <w:p w14:paraId="45BC7E4E" w14:textId="238F98D6" w:rsidR="00F66C89" w:rsidRDefault="00F66C89" w:rsidP="00F66C89">
      <w:pPr>
        <w:spacing w:after="200" w:line="276" w:lineRule="auto"/>
        <w:ind w:firstLine="720"/>
        <w:rPr>
          <w:rFonts w:eastAsia="Calibri"/>
          <w:sz w:val="24"/>
          <w:szCs w:val="24"/>
        </w:rPr>
      </w:pPr>
      <w:r>
        <w:rPr>
          <w:rFonts w:eastAsia="Calibri"/>
          <w:sz w:val="24"/>
          <w:szCs w:val="24"/>
        </w:rPr>
        <w:t xml:space="preserve">Direct measures of the migration variables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j,t</m:t>
            </m:r>
          </m:sub>
        </m:sSub>
      </m:oMath>
      <w:r>
        <w:rPr>
          <w:rFonts w:eastAsia="Calibri"/>
          <w:sz w:val="24"/>
          <w:szCs w:val="24"/>
        </w:rPr>
        <w:t xml:space="preserve"> and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j,t</m:t>
            </m:r>
          </m:sub>
        </m:sSub>
      </m:oMath>
      <w:r>
        <w:rPr>
          <w:rFonts w:eastAsia="Calibri"/>
          <w:sz w:val="24"/>
          <w:szCs w:val="24"/>
        </w:rPr>
        <w:t xml:space="preserve"> are not readily available and must be constructed. </w:t>
      </w:r>
      <w:r w:rsidRPr="0000700B">
        <w:rPr>
          <w:rFonts w:eastAsia="Calibri"/>
          <w:sz w:val="24"/>
          <w:szCs w:val="24"/>
        </w:rPr>
        <w:t xml:space="preserve">Recall that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j,t</m:t>
            </m:r>
          </m:sub>
        </m:sSub>
      </m:oMath>
      <w:r w:rsidRPr="0000700B">
        <w:rPr>
          <w:rFonts w:eastAsia="Calibri"/>
          <w:sz w:val="24"/>
          <w:szCs w:val="24"/>
        </w:rPr>
        <w:t xml:space="preserve"> measures the number of home-owning househo</w:t>
      </w:r>
      <w:proofErr w:type="spellStart"/>
      <w:r w:rsidRPr="0000700B">
        <w:rPr>
          <w:rFonts w:eastAsia="Calibri"/>
          <w:sz w:val="24"/>
          <w:szCs w:val="24"/>
        </w:rPr>
        <w:t>lds</w:t>
      </w:r>
      <w:proofErr w:type="spellEnd"/>
      <w:r w:rsidRPr="0000700B">
        <w:rPr>
          <w:rFonts w:eastAsia="Calibri"/>
          <w:sz w:val="24"/>
          <w:szCs w:val="24"/>
        </w:rPr>
        <w:t xml:space="preserve"> (unhappily) living outside of region </w:t>
      </w:r>
      <m:oMath>
        <m:r>
          <w:rPr>
            <w:rFonts w:ascii="Cambria Math" w:eastAsia="Calibri" w:hAnsi="Cambria Math"/>
            <w:sz w:val="24"/>
            <w:szCs w:val="24"/>
          </w:rPr>
          <m:t>j</m:t>
        </m:r>
      </m:oMath>
      <w:r w:rsidRPr="0000700B">
        <w:rPr>
          <w:rFonts w:eastAsia="Calibri"/>
          <w:sz w:val="24"/>
          <w:szCs w:val="24"/>
        </w:rPr>
        <w:t xml:space="preserve"> that would like to migrate to region </w:t>
      </w:r>
      <m:oMath>
        <m:r>
          <w:rPr>
            <w:rFonts w:ascii="Cambria Math" w:eastAsia="Calibri" w:hAnsi="Cambria Math"/>
            <w:sz w:val="24"/>
            <w:szCs w:val="24"/>
          </w:rPr>
          <m:t>j</m:t>
        </m:r>
      </m:oMath>
      <w:r w:rsidRPr="0000700B">
        <w:rPr>
          <w:rFonts w:eastAsia="Calibri"/>
          <w:sz w:val="24"/>
          <w:szCs w:val="24"/>
        </w:rPr>
        <w:t xml:space="preserve"> at </w:t>
      </w:r>
      <w:proofErr w:type="gramStart"/>
      <w:r w:rsidRPr="0000700B">
        <w:rPr>
          <w:rFonts w:eastAsia="Calibri"/>
          <w:sz w:val="24"/>
          <w:szCs w:val="24"/>
        </w:rPr>
        <w:t>time period</w:t>
      </w:r>
      <w:proofErr w:type="gramEnd"/>
      <w:r w:rsidRPr="0000700B">
        <w:rPr>
          <w:rFonts w:eastAsia="Calibri"/>
          <w:sz w:val="24"/>
          <w:szCs w:val="24"/>
        </w:rPr>
        <w:t xml:space="preserve"> </w:t>
      </w:r>
      <m:oMath>
        <m:r>
          <w:rPr>
            <w:rFonts w:ascii="Cambria Math" w:eastAsia="Calibri" w:hAnsi="Cambria Math"/>
            <w:sz w:val="24"/>
            <w:szCs w:val="24"/>
          </w:rPr>
          <m:t>t</m:t>
        </m:r>
      </m:oMath>
      <w:r w:rsidRPr="0000700B">
        <w:rPr>
          <w:rFonts w:eastAsia="Calibri"/>
          <w:sz w:val="24"/>
          <w:szCs w:val="24"/>
        </w:rPr>
        <w:t>.</w:t>
      </w:r>
      <w:r>
        <w:rPr>
          <w:rFonts w:eastAsia="Calibri"/>
          <w:sz w:val="24"/>
          <w:szCs w:val="24"/>
        </w:rPr>
        <w:t xml:space="preserve"> To begin constructing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j,t</m:t>
            </m:r>
          </m:sub>
        </m:sSub>
      </m:oMath>
      <w:r>
        <w:rPr>
          <w:rFonts w:eastAsia="Calibri"/>
          <w:sz w:val="24"/>
          <w:szCs w:val="24"/>
        </w:rPr>
        <w:t xml:space="preserve">, we use the number of individuals that actually leave region </w:t>
      </w:r>
      <m:oMath>
        <m:r>
          <w:rPr>
            <w:rFonts w:ascii="Cambria Math" w:eastAsia="Calibri" w:hAnsi="Cambria Math"/>
            <w:sz w:val="24"/>
            <w:szCs w:val="24"/>
          </w:rPr>
          <m:t>i</m:t>
        </m:r>
      </m:oMath>
      <w:r>
        <w:rPr>
          <w:rFonts w:eastAsia="Calibri"/>
          <w:sz w:val="24"/>
          <w:szCs w:val="24"/>
        </w:rPr>
        <w:t xml:space="preserve"> at time </w:t>
      </w:r>
      <m:oMath>
        <m:r>
          <w:rPr>
            <w:rFonts w:ascii="Cambria Math" w:eastAsia="Calibri" w:hAnsi="Cambria Math"/>
            <w:sz w:val="24"/>
            <w:szCs w:val="24"/>
          </w:rPr>
          <m:t>t+1</m:t>
        </m:r>
      </m:oMath>
      <w:r>
        <w:rPr>
          <w:rFonts w:eastAsia="Calibri"/>
          <w:sz w:val="24"/>
          <w:szCs w:val="24"/>
        </w:rPr>
        <w:t xml:space="preserve">, </w:t>
      </w:r>
      <m:oMath>
        <m:r>
          <w:rPr>
            <w:rFonts w:ascii="Cambria Math" w:eastAsia="Calibri" w:hAnsi="Cambria Math"/>
            <w:sz w:val="24"/>
            <w:szCs w:val="24"/>
          </w:rPr>
          <m:t>M</m:t>
        </m:r>
        <m:sSub>
          <m:sSubPr>
            <m:ctrlPr>
              <w:rPr>
                <w:rFonts w:ascii="Cambria Math" w:eastAsia="Calibri" w:hAnsi="Cambria Math"/>
                <w:i/>
                <w:sz w:val="24"/>
                <w:szCs w:val="24"/>
              </w:rPr>
            </m:ctrlPr>
          </m:sSubPr>
          <m:e>
            <m:r>
              <w:rPr>
                <w:rFonts w:ascii="Cambria Math" w:eastAsia="Calibri" w:hAnsi="Cambria Math"/>
                <w:sz w:val="24"/>
                <w:szCs w:val="24"/>
              </w:rPr>
              <m:t>O</m:t>
            </m:r>
          </m:e>
          <m:sub>
            <m:r>
              <w:rPr>
                <w:rFonts w:ascii="Cambria Math" w:eastAsia="Calibri" w:hAnsi="Cambria Math"/>
                <w:sz w:val="24"/>
                <w:szCs w:val="24"/>
              </w:rPr>
              <m:t>t+1</m:t>
            </m:r>
          </m:sub>
        </m:sSub>
      </m:oMath>
      <w:r>
        <w:rPr>
          <w:rFonts w:eastAsia="Calibri"/>
          <w:sz w:val="24"/>
          <w:szCs w:val="24"/>
        </w:rPr>
        <w:t xml:space="preserve">, to capture those people </w:t>
      </w:r>
      <w:r w:rsidRPr="00EB696F">
        <w:rPr>
          <w:rFonts w:eastAsia="Calibri"/>
          <w:i/>
          <w:sz w:val="24"/>
          <w:szCs w:val="24"/>
        </w:rPr>
        <w:t>desiring</w:t>
      </w:r>
      <w:r>
        <w:rPr>
          <w:rFonts w:eastAsia="Calibri"/>
          <w:sz w:val="24"/>
          <w:szCs w:val="24"/>
        </w:rPr>
        <w:t xml:space="preserve"> to leave region </w:t>
      </w:r>
      <m:oMath>
        <m:r>
          <w:rPr>
            <w:rFonts w:ascii="Cambria Math" w:eastAsia="Calibri" w:hAnsi="Cambria Math"/>
            <w:sz w:val="24"/>
            <w:szCs w:val="24"/>
          </w:rPr>
          <m:t>i</m:t>
        </m:r>
      </m:oMath>
      <w:r>
        <w:rPr>
          <w:rFonts w:eastAsia="Calibri"/>
          <w:sz w:val="24"/>
          <w:szCs w:val="24"/>
        </w:rPr>
        <w:t xml:space="preserve"> at time </w:t>
      </w:r>
      <m:oMath>
        <m:r>
          <w:rPr>
            <w:rFonts w:ascii="Cambria Math" w:eastAsia="Calibri" w:hAnsi="Cambria Math"/>
            <w:sz w:val="24"/>
            <w:szCs w:val="24"/>
          </w:rPr>
          <m:t>t</m:t>
        </m:r>
      </m:oMath>
      <w:r>
        <w:rPr>
          <w:rFonts w:eastAsia="Calibri"/>
          <w:sz w:val="24"/>
          <w:szCs w:val="24"/>
        </w:rPr>
        <w:t xml:space="preserve">. </w:t>
      </w:r>
      <w:r w:rsidR="002B0FEC">
        <w:rPr>
          <w:rFonts w:eastAsia="Calibri"/>
          <w:sz w:val="24"/>
          <w:szCs w:val="24"/>
        </w:rPr>
        <w:t>T</w:t>
      </w:r>
      <w:r>
        <w:rPr>
          <w:rFonts w:eastAsia="Calibri"/>
          <w:sz w:val="24"/>
          <w:szCs w:val="24"/>
        </w:rPr>
        <w:t>o ge</w:t>
      </w:r>
      <w:r w:rsidR="002B0FEC">
        <w:rPr>
          <w:rFonts w:eastAsia="Calibri"/>
          <w:sz w:val="24"/>
          <w:szCs w:val="24"/>
        </w:rPr>
        <w:t>nerate</w:t>
      </w:r>
      <w:r>
        <w:rPr>
          <w:rFonts w:eastAsia="Calibri"/>
          <w:sz w:val="24"/>
          <w:szCs w:val="24"/>
        </w:rPr>
        <w:t xml:space="preserve"> the number of households that migrated out, we divide this measure of outmigration in number of individuals by the average number of individuals per household at time </w:t>
      </w:r>
      <m:oMath>
        <m:r>
          <w:rPr>
            <w:rFonts w:ascii="Cambria Math" w:eastAsia="Calibri" w:hAnsi="Cambria Math"/>
            <w:sz w:val="24"/>
            <w:szCs w:val="24"/>
          </w:rPr>
          <m:t>t</m:t>
        </m:r>
      </m:oMath>
      <w:r>
        <w:rPr>
          <w:rFonts w:eastAsia="Calibri"/>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F</m:t>
            </m:r>
          </m:e>
          <m:sub>
            <m:r>
              <w:rPr>
                <w:rFonts w:ascii="Cambria Math" w:eastAsia="Calibri" w:hAnsi="Cambria Math"/>
                <w:sz w:val="24"/>
                <w:szCs w:val="24"/>
              </w:rPr>
              <m:t>i,t</m:t>
            </m:r>
          </m:sub>
        </m:sSub>
      </m:oMath>
      <w:r>
        <w:rPr>
          <w:rFonts w:eastAsia="Calibri"/>
          <w:sz w:val="24"/>
          <w:szCs w:val="24"/>
        </w:rPr>
        <w:t xml:space="preserve">. Finally, we multiply this measure of outmigration in number of households by the homeownership rate in region </w:t>
      </w:r>
      <m:oMath>
        <m:r>
          <w:rPr>
            <w:rFonts w:ascii="Cambria Math" w:eastAsia="Calibri" w:hAnsi="Cambria Math"/>
            <w:sz w:val="24"/>
            <w:szCs w:val="24"/>
          </w:rPr>
          <m:t>i</m:t>
        </m:r>
      </m:oMath>
      <w:r>
        <w:rPr>
          <w:rFonts w:eastAsia="Calibri"/>
          <w:sz w:val="24"/>
          <w:szCs w:val="24"/>
        </w:rPr>
        <w:t xml:space="preserve"> at time </w:t>
      </w:r>
      <m:oMath>
        <m:r>
          <w:rPr>
            <w:rFonts w:ascii="Cambria Math" w:eastAsia="Calibri" w:hAnsi="Cambria Math"/>
            <w:sz w:val="24"/>
            <w:szCs w:val="24"/>
          </w:rPr>
          <m:t>t</m:t>
        </m:r>
      </m:oMath>
      <w:r>
        <w:rPr>
          <w:rFonts w:eastAsia="Calibri"/>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H</m:t>
            </m:r>
          </m:e>
          <m:sub>
            <m:r>
              <w:rPr>
                <w:rFonts w:ascii="Cambria Math" w:eastAsia="Calibri" w:hAnsi="Cambria Math"/>
                <w:sz w:val="24"/>
                <w:szCs w:val="24"/>
              </w:rPr>
              <m:t>i,t</m:t>
            </m:r>
          </m:sub>
        </m:sSub>
      </m:oMath>
      <w:r>
        <w:rPr>
          <w:rFonts w:eastAsia="Calibri"/>
          <w:sz w:val="24"/>
          <w:szCs w:val="24"/>
        </w:rPr>
        <w:t xml:space="preserve">, to get the number of home-owning households that actually migrated out at </w:t>
      </w:r>
      <m:oMath>
        <m:r>
          <w:rPr>
            <w:rFonts w:ascii="Cambria Math" w:eastAsia="Calibri" w:hAnsi="Cambria Math"/>
            <w:sz w:val="24"/>
            <w:szCs w:val="24"/>
          </w:rPr>
          <m:t>t+1</m:t>
        </m:r>
      </m:oMath>
      <w:r>
        <w:rPr>
          <w:rFonts w:eastAsia="Calibri"/>
          <w:sz w:val="24"/>
          <w:szCs w:val="24"/>
        </w:rPr>
        <w:t xml:space="preserve">. Explicitly, we use this measure to proxy the number of households wanting to leave region </w:t>
      </w:r>
      <m:oMath>
        <m:r>
          <w:rPr>
            <w:rFonts w:ascii="Cambria Math" w:eastAsia="Calibri" w:hAnsi="Cambria Math"/>
            <w:sz w:val="24"/>
            <w:szCs w:val="24"/>
          </w:rPr>
          <m:t>i</m:t>
        </m:r>
      </m:oMath>
      <w:r>
        <w:rPr>
          <w:rFonts w:eastAsia="Calibri"/>
          <w:sz w:val="24"/>
          <w:szCs w:val="24"/>
        </w:rPr>
        <w:t xml:space="preserve"> at time </w:t>
      </w:r>
      <m:oMath>
        <m:r>
          <w:rPr>
            <w:rFonts w:ascii="Cambria Math" w:eastAsia="Calibri" w:hAnsi="Cambria Math"/>
            <w:sz w:val="24"/>
            <w:szCs w:val="24"/>
          </w:rPr>
          <m:t>t</m:t>
        </m:r>
      </m:oMath>
      <w:r>
        <w:rPr>
          <w:rFonts w:eastAsia="Calibri"/>
          <w:sz w:val="24"/>
          <w:szCs w:val="24"/>
        </w:rPr>
        <w:t xml:space="preserve"> by:</w:t>
      </w:r>
    </w:p>
    <w:p w14:paraId="6B464DDA" w14:textId="77777777" w:rsidR="00F66C89" w:rsidRDefault="00F66C89" w:rsidP="00F66C89">
      <w:pPr>
        <w:spacing w:after="200" w:line="276" w:lineRule="auto"/>
        <w:ind w:firstLine="720"/>
        <w:rPr>
          <w:rFonts w:eastAsia="Times New Roman"/>
          <w:sz w:val="24"/>
          <w:szCs w:val="24"/>
        </w:rPr>
      </w:pPr>
      <w:r>
        <w:rPr>
          <w:rFonts w:eastAsia="Calibri"/>
          <w:sz w:val="24"/>
          <w:szCs w:val="24"/>
        </w:rPr>
        <w:t xml:space="preserve"> </w:t>
      </w:r>
      <w:r w:rsidRPr="00B50F1D">
        <w:rPr>
          <w:rFonts w:eastAsia="Times New Roman"/>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HS</m:t>
            </m:r>
          </m:e>
          <m:sub>
            <m:r>
              <w:rPr>
                <w:rFonts w:ascii="Cambria Math" w:eastAsia="Calibri" w:hAnsi="Cambria Math"/>
                <w:sz w:val="24"/>
                <w:szCs w:val="24"/>
              </w:rPr>
              <m:t>j,t</m:t>
            </m:r>
          </m:sub>
        </m:sSub>
        <m:r>
          <w:rPr>
            <w:rFonts w:ascii="Cambria Math" w:eastAsia="Calibri"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MO</m:t>
                </m:r>
              </m:e>
              <m:sub>
                <m:r>
                  <w:rPr>
                    <w:rFonts w:ascii="Cambria Math" w:eastAsia="Times New Roman" w:hAnsi="Cambria Math"/>
                    <w:sz w:val="24"/>
                    <w:szCs w:val="24"/>
                  </w:rPr>
                  <m:t>i,t+1</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i,t</m:t>
                </m:r>
              </m:sub>
            </m:sSub>
          </m:den>
        </m:f>
        <m:sSub>
          <m:sSubPr>
            <m:ctrlPr>
              <w:rPr>
                <w:rFonts w:ascii="Cambria Math" w:eastAsia="Times New Roman" w:hAnsi="Cambria Math"/>
                <w:i/>
                <w:sz w:val="24"/>
                <w:szCs w:val="24"/>
              </w:rPr>
            </m:ctrlPr>
          </m:sSubPr>
          <m:e>
            <m:r>
              <w:rPr>
                <w:rFonts w:ascii="Cambria Math" w:eastAsia="Times New Roman" w:hAnsi="Cambria Math"/>
                <w:sz w:val="24"/>
                <w:szCs w:val="24"/>
              </w:rPr>
              <m:t>×H</m:t>
            </m:r>
          </m:e>
          <m:sub>
            <m:r>
              <w:rPr>
                <w:rFonts w:ascii="Cambria Math" w:eastAsia="Times New Roman" w:hAnsi="Cambria Math"/>
                <w:sz w:val="24"/>
                <w:szCs w:val="24"/>
              </w:rPr>
              <m:t>i,t</m:t>
            </m:r>
          </m:sub>
        </m:sSub>
      </m:oMath>
      <w:r>
        <w:rPr>
          <w:rFonts w:eastAsia="Times New Roman"/>
          <w:sz w:val="24"/>
          <w:szCs w:val="24"/>
        </w:rPr>
        <w:t xml:space="preserve"> .</w:t>
      </w:r>
    </w:p>
    <w:p w14:paraId="220E70CD" w14:textId="56E70F20" w:rsidR="002B0FEC" w:rsidRDefault="00F66C89" w:rsidP="00F66C89">
      <w:pPr>
        <w:spacing w:after="200" w:line="276" w:lineRule="auto"/>
        <w:rPr>
          <w:rFonts w:eastAsia="Times New Roman"/>
          <w:sz w:val="24"/>
          <w:szCs w:val="24"/>
        </w:rPr>
      </w:pPr>
      <w:r>
        <w:rPr>
          <w:rFonts w:eastAsia="Times New Roman"/>
          <w:sz w:val="24"/>
          <w:szCs w:val="24"/>
        </w:rPr>
        <w:t>Note that the last part of this calculation implicitly assumes that preferences for homeownership are reflected in the homeownership rate in the region the household left, which is necessary since measures of the percentage of migrating households who are homeowners are not directly available.</w:t>
      </w:r>
    </w:p>
    <w:p w14:paraId="03258408" w14:textId="67EACE27" w:rsidR="00F66C89" w:rsidRDefault="00F66C89" w:rsidP="00586BBD">
      <w:pPr>
        <w:spacing w:after="200" w:line="276" w:lineRule="auto"/>
        <w:ind w:firstLine="720"/>
        <w:rPr>
          <w:rFonts w:eastAsia="Times New Roman"/>
          <w:sz w:val="24"/>
          <w:szCs w:val="24"/>
        </w:rPr>
      </w:pPr>
      <w:r>
        <w:rPr>
          <w:rFonts w:eastAsia="Times New Roman"/>
          <w:sz w:val="24"/>
          <w:szCs w:val="24"/>
        </w:rPr>
        <w:t>Regional data on outmigration (</w:t>
      </w:r>
      <m:oMath>
        <m:r>
          <w:rPr>
            <w:rFonts w:ascii="Cambria Math" w:eastAsia="Times New Roman" w:hAnsi="Cambria Math"/>
            <w:sz w:val="24"/>
            <w:szCs w:val="24"/>
          </w:rPr>
          <m:t>M</m:t>
        </m:r>
        <m:sSub>
          <m:sSubPr>
            <m:ctrlPr>
              <w:rPr>
                <w:rFonts w:ascii="Cambria Math" w:eastAsia="Times New Roman" w:hAnsi="Cambria Math"/>
                <w:i/>
                <w:sz w:val="24"/>
                <w:szCs w:val="24"/>
              </w:rPr>
            </m:ctrlPr>
          </m:sSubPr>
          <m:e>
            <m:r>
              <w:rPr>
                <w:rFonts w:ascii="Cambria Math" w:eastAsia="Times New Roman" w:hAnsi="Cambria Math"/>
                <w:sz w:val="24"/>
                <w:szCs w:val="24"/>
              </w:rPr>
              <m:t>O</m:t>
            </m:r>
          </m:e>
          <m:sub>
            <m:r>
              <w:rPr>
                <w:rFonts w:ascii="Cambria Math" w:eastAsia="Times New Roman" w:hAnsi="Cambria Math"/>
                <w:sz w:val="24"/>
                <w:szCs w:val="24"/>
              </w:rPr>
              <m:t>i</m:t>
            </m:r>
          </m:sub>
        </m:sSub>
      </m:oMath>
      <w:r>
        <w:rPr>
          <w:rFonts w:eastAsia="Times New Roman"/>
          <w:sz w:val="24"/>
          <w:szCs w:val="24"/>
        </w:rPr>
        <w:t>), average household size (</w:t>
      </w:r>
      <m:oMath>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i</m:t>
            </m:r>
          </m:sub>
        </m:sSub>
      </m:oMath>
      <w:r>
        <w:rPr>
          <w:rFonts w:eastAsia="Times New Roman"/>
          <w:sz w:val="24"/>
          <w:szCs w:val="24"/>
        </w:rPr>
        <w:t>), and the homeownership rate (</w:t>
      </w:r>
      <m:oMath>
        <m:sSub>
          <m:sSubPr>
            <m:ctrlPr>
              <w:rPr>
                <w:rFonts w:ascii="Cambria Math" w:eastAsia="Times New Roman" w:hAnsi="Cambria Math"/>
                <w:i/>
                <w:sz w:val="24"/>
                <w:szCs w:val="24"/>
              </w:rPr>
            </m:ctrlPr>
          </m:sSubPr>
          <m:e>
            <m:r>
              <w:rPr>
                <w:rFonts w:ascii="Cambria Math" w:eastAsia="Times New Roman" w:hAnsi="Cambria Math"/>
                <w:sz w:val="24"/>
                <w:szCs w:val="24"/>
              </w:rPr>
              <m:t>H</m:t>
            </m:r>
          </m:e>
          <m:sub>
            <m:r>
              <w:rPr>
                <w:rFonts w:ascii="Cambria Math" w:eastAsia="Times New Roman" w:hAnsi="Cambria Math"/>
                <w:sz w:val="24"/>
                <w:szCs w:val="24"/>
              </w:rPr>
              <m:t>i</m:t>
            </m:r>
          </m:sub>
        </m:sSub>
      </m:oMath>
      <w:r>
        <w:rPr>
          <w:rFonts w:eastAsia="Times New Roman"/>
          <w:sz w:val="24"/>
          <w:szCs w:val="24"/>
        </w:rPr>
        <w:t xml:space="preserve">) are all available from the Census. Some of the data is only available at a yearly frequency. </w:t>
      </w:r>
      <w:r w:rsidR="002B0FEC">
        <w:rPr>
          <w:rFonts w:eastAsia="Times New Roman"/>
          <w:sz w:val="24"/>
          <w:szCs w:val="24"/>
        </w:rPr>
        <w:t>T</w:t>
      </w:r>
      <w:r>
        <w:rPr>
          <w:rFonts w:eastAsia="Times New Roman"/>
          <w:sz w:val="24"/>
          <w:szCs w:val="24"/>
        </w:rPr>
        <w:t xml:space="preserve">o retain information in the quarterly data, we interpolate any annual data evenly across its respective four quarters. Since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j,t</m:t>
            </m:r>
          </m:sub>
        </m:sSub>
      </m:oMath>
      <w:r>
        <w:rPr>
          <w:rFonts w:eastAsia="Times New Roman"/>
          <w:sz w:val="24"/>
          <w:szCs w:val="24"/>
        </w:rPr>
        <w:t xml:space="preserve"> is a count variable rather than a rate, we detrend the data in addition to seasonally adjusting it. We also normalize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j,t</m:t>
            </m:r>
          </m:sub>
        </m:sSub>
      </m:oMath>
      <w:r>
        <w:rPr>
          <w:rFonts w:eastAsia="Times New Roman"/>
          <w:sz w:val="24"/>
          <w:szCs w:val="24"/>
        </w:rPr>
        <w:t xml:space="preserve"> to be mean zero and unit variance to ease interpretation of the impulse response functions outputted from the MS-VAR.</w:t>
      </w:r>
    </w:p>
    <w:p w14:paraId="5146E6AB" w14:textId="3DD80897" w:rsidR="00F66C89" w:rsidRDefault="00F66C89" w:rsidP="00F66C89">
      <w:pPr>
        <w:spacing w:after="200" w:line="276" w:lineRule="auto"/>
        <w:rPr>
          <w:rFonts w:eastAsia="Times New Roman"/>
          <w:sz w:val="24"/>
          <w:szCs w:val="24"/>
        </w:rPr>
      </w:pPr>
      <w:r>
        <w:rPr>
          <w:rFonts w:eastAsia="Times New Roman"/>
          <w:sz w:val="24"/>
          <w:szCs w:val="24"/>
        </w:rPr>
        <w:tab/>
      </w:r>
      <w:r w:rsidRPr="0000700B">
        <w:rPr>
          <w:rFonts w:eastAsia="Times New Roman"/>
          <w:sz w:val="24"/>
          <w:szCs w:val="24"/>
        </w:rPr>
        <w:t xml:space="preserve">To measure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M</m:t>
            </m:r>
          </m:e>
          <m:sub>
            <m:r>
              <w:rPr>
                <w:rFonts w:ascii="Cambria Math" w:eastAsia="Times New Roman" w:hAnsi="Cambria Math"/>
                <w:sz w:val="24"/>
                <w:szCs w:val="24"/>
              </w:rPr>
              <m:t>j,t</m:t>
            </m:r>
          </m:sub>
        </m:sSub>
      </m:oMath>
      <w:r w:rsidRPr="0000700B">
        <w:rPr>
          <w:rFonts w:eastAsia="Times New Roman"/>
          <w:sz w:val="24"/>
          <w:szCs w:val="24"/>
        </w:rPr>
        <w:t xml:space="preserve">, we need to capture the number of households who are happily living in region </w:t>
      </w:r>
      <m:oMath>
        <m:r>
          <w:rPr>
            <w:rFonts w:ascii="Cambria Math" w:eastAsia="Times New Roman" w:hAnsi="Cambria Math"/>
            <w:sz w:val="24"/>
            <w:szCs w:val="24"/>
          </w:rPr>
          <m:t>j</m:t>
        </m:r>
      </m:oMath>
      <w:r w:rsidRPr="0000700B">
        <w:rPr>
          <w:rFonts w:eastAsia="Times New Roman"/>
          <w:sz w:val="24"/>
          <w:szCs w:val="24"/>
        </w:rPr>
        <w:t xml:space="preserve"> at time </w:t>
      </w:r>
      <m:oMath>
        <m:r>
          <w:rPr>
            <w:rFonts w:ascii="Cambria Math" w:eastAsia="Times New Roman" w:hAnsi="Cambria Math"/>
            <w:sz w:val="24"/>
            <w:szCs w:val="24"/>
          </w:rPr>
          <m:t>t</m:t>
        </m:r>
      </m:oMath>
      <w:r w:rsidRPr="0000700B">
        <w:rPr>
          <w:rFonts w:eastAsia="Times New Roman"/>
          <w:sz w:val="24"/>
          <w:szCs w:val="24"/>
        </w:rPr>
        <w:t xml:space="preserve"> and do not desire to migrate out.</w:t>
      </w:r>
      <w:r>
        <w:rPr>
          <w:rFonts w:eastAsia="Times New Roman"/>
          <w:sz w:val="24"/>
          <w:szCs w:val="24"/>
        </w:rPr>
        <w:t xml:space="preserve"> We begin with the total number of households in region </w:t>
      </w:r>
      <m:oMath>
        <m:r>
          <w:rPr>
            <w:rFonts w:ascii="Cambria Math" w:eastAsia="Times New Roman" w:hAnsi="Cambria Math"/>
            <w:sz w:val="24"/>
            <w:szCs w:val="24"/>
          </w:rPr>
          <m:t>j</m:t>
        </m:r>
      </m:oMath>
      <w:r>
        <w:rPr>
          <w:rFonts w:eastAsia="Times New Roman"/>
          <w:sz w:val="24"/>
          <w:szCs w:val="24"/>
        </w:rPr>
        <w:t xml:space="preserve"> who owned a home at time </w:t>
      </w:r>
      <m:oMath>
        <m:r>
          <w:rPr>
            <w:rFonts w:ascii="Cambria Math" w:eastAsia="Times New Roman" w:hAnsi="Cambria Math"/>
            <w:sz w:val="24"/>
            <w:szCs w:val="24"/>
          </w:rPr>
          <m:t>t</m:t>
        </m:r>
      </m:oMath>
      <w:r>
        <w:rPr>
          <w:rFonts w:eastAsia="Times New Roman"/>
          <w:sz w:val="24"/>
          <w:szCs w:val="24"/>
        </w:rPr>
        <w:t xml:space="preserve">,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N</m:t>
            </m:r>
          </m:e>
          <m:sub>
            <m:r>
              <w:rPr>
                <w:rFonts w:ascii="Cambria Math" w:eastAsia="Times New Roman" w:hAnsi="Cambria Math"/>
                <w:sz w:val="24"/>
                <w:szCs w:val="24"/>
              </w:rPr>
              <m:t>j,t</m:t>
            </m:r>
          </m:sub>
        </m:sSub>
      </m:oMath>
      <w:r>
        <w:rPr>
          <w:rFonts w:eastAsia="Times New Roman"/>
          <w:sz w:val="24"/>
          <w:szCs w:val="24"/>
        </w:rPr>
        <w:t xml:space="preserve">. We then subtract from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N</m:t>
            </m:r>
          </m:e>
          <m:sub>
            <m:r>
              <w:rPr>
                <w:rFonts w:ascii="Cambria Math" w:eastAsia="Times New Roman" w:hAnsi="Cambria Math"/>
                <w:sz w:val="24"/>
                <w:szCs w:val="24"/>
              </w:rPr>
              <m:t>j,t</m:t>
            </m:r>
          </m:sub>
        </m:sSub>
      </m:oMath>
      <w:r>
        <w:rPr>
          <w:rFonts w:eastAsia="Times New Roman"/>
          <w:sz w:val="24"/>
          <w:szCs w:val="24"/>
        </w:rPr>
        <w:t xml:space="preserve"> the number of households living in region </w:t>
      </w:r>
      <m:oMath>
        <m:r>
          <w:rPr>
            <w:rFonts w:ascii="Cambria Math" w:eastAsia="Times New Roman" w:hAnsi="Cambria Math"/>
            <w:sz w:val="24"/>
            <w:szCs w:val="24"/>
          </w:rPr>
          <m:t>j</m:t>
        </m:r>
      </m:oMath>
      <w:r>
        <w:rPr>
          <w:rFonts w:eastAsia="Times New Roman"/>
          <w:sz w:val="24"/>
          <w:szCs w:val="24"/>
        </w:rPr>
        <w:t xml:space="preserve"> with a vacant home in region </w:t>
      </w:r>
      <m:oMath>
        <m:r>
          <w:rPr>
            <w:rFonts w:ascii="Cambria Math" w:eastAsia="Times New Roman" w:hAnsi="Cambria Math"/>
            <w:sz w:val="24"/>
            <w:szCs w:val="24"/>
          </w:rPr>
          <m:t>i</m:t>
        </m:r>
      </m:oMath>
      <w:r>
        <w:rPr>
          <w:rFonts w:eastAsia="Times New Roman"/>
          <w:sz w:val="24"/>
          <w:szCs w:val="24"/>
        </w:rPr>
        <w:t xml:space="preserve">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D</m:t>
            </m:r>
          </m:e>
          <m:sub>
            <m:r>
              <w:rPr>
                <w:rFonts w:ascii="Cambria Math" w:eastAsia="Times New Roman" w:hAnsi="Cambria Math"/>
                <w:sz w:val="24"/>
                <w:szCs w:val="24"/>
              </w:rPr>
              <m:t>j,t</m:t>
            </m:r>
          </m:sub>
        </m:sSub>
      </m:oMath>
      <w:r>
        <w:rPr>
          <w:rFonts w:eastAsia="Times New Roman"/>
          <w:sz w:val="24"/>
          <w:szCs w:val="24"/>
        </w:rPr>
        <w:t>) and the number of household</w:t>
      </w:r>
      <w:r w:rsidR="00151681">
        <w:rPr>
          <w:rFonts w:eastAsia="Times New Roman"/>
          <w:sz w:val="24"/>
          <w:szCs w:val="24"/>
        </w:rPr>
        <w:t>s</w:t>
      </w:r>
      <w:r>
        <w:rPr>
          <w:rFonts w:eastAsia="Times New Roman"/>
          <w:sz w:val="24"/>
          <w:szCs w:val="24"/>
        </w:rPr>
        <w:t xml:space="preserve"> living in region </w:t>
      </w:r>
      <m:oMath>
        <m:r>
          <w:rPr>
            <w:rFonts w:ascii="Cambria Math" w:eastAsia="Times New Roman" w:hAnsi="Cambria Math"/>
            <w:sz w:val="24"/>
            <w:szCs w:val="24"/>
          </w:rPr>
          <m:t>j</m:t>
        </m:r>
      </m:oMath>
      <w:r>
        <w:rPr>
          <w:rFonts w:eastAsia="Times New Roman"/>
          <w:sz w:val="24"/>
          <w:szCs w:val="24"/>
        </w:rPr>
        <w:t xml:space="preserve"> who want to live in region </w:t>
      </w:r>
      <m:oMath>
        <m:r>
          <w:rPr>
            <w:rFonts w:ascii="Cambria Math" w:eastAsia="Times New Roman" w:hAnsi="Cambria Math"/>
            <w:sz w:val="24"/>
            <w:szCs w:val="24"/>
          </w:rPr>
          <m:t>i</m:t>
        </m:r>
      </m:oMath>
      <w:r>
        <w:rPr>
          <w:rFonts w:eastAsia="Times New Roman"/>
          <w:sz w:val="24"/>
          <w:szCs w:val="24"/>
        </w:rPr>
        <w:t xml:space="preserve">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i,t</m:t>
            </m:r>
          </m:sub>
        </m:sSub>
      </m:oMath>
      <w:r>
        <w:rPr>
          <w:rFonts w:eastAsia="Times New Roman"/>
          <w:sz w:val="24"/>
          <w:szCs w:val="24"/>
        </w:rPr>
        <w:t xml:space="preserve">). To proxy for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D</m:t>
            </m:r>
          </m:e>
          <m:sub>
            <m:r>
              <w:rPr>
                <w:rFonts w:ascii="Cambria Math" w:eastAsia="Times New Roman" w:hAnsi="Cambria Math"/>
                <w:sz w:val="24"/>
                <w:szCs w:val="24"/>
              </w:rPr>
              <m:t>j,t</m:t>
            </m:r>
          </m:sub>
        </m:sSub>
      </m:oMath>
      <w:r>
        <w:rPr>
          <w:rFonts w:eastAsia="Times New Roman"/>
          <w:sz w:val="24"/>
          <w:szCs w:val="24"/>
        </w:rPr>
        <w:t xml:space="preserve">, we use </w:t>
      </w:r>
      <w:r>
        <w:rPr>
          <w:rFonts w:eastAsia="Times New Roman"/>
          <w:sz w:val="24"/>
          <w:szCs w:val="24"/>
        </w:rPr>
        <w:lastRenderedPageBreak/>
        <w:t xml:space="preserve">the outmigration of individuals from region </w:t>
      </w:r>
      <m:oMath>
        <m:r>
          <w:rPr>
            <w:rFonts w:ascii="Cambria Math" w:eastAsia="Times New Roman" w:hAnsi="Cambria Math"/>
            <w:sz w:val="24"/>
            <w:szCs w:val="24"/>
          </w:rPr>
          <m:t>i</m:t>
        </m:r>
      </m:oMath>
      <w:r>
        <w:rPr>
          <w:rFonts w:eastAsia="Times New Roman"/>
          <w:sz w:val="24"/>
          <w:szCs w:val="24"/>
        </w:rPr>
        <w:t xml:space="preserve"> at time </w:t>
      </w:r>
      <m:oMath>
        <m:r>
          <w:rPr>
            <w:rFonts w:ascii="Cambria Math" w:eastAsia="Times New Roman" w:hAnsi="Cambria Math"/>
            <w:sz w:val="24"/>
            <w:szCs w:val="24"/>
          </w:rPr>
          <m:t>t</m:t>
        </m:r>
      </m:oMath>
      <w:r>
        <w:rPr>
          <w:rFonts w:eastAsia="Times New Roman"/>
          <w:sz w:val="24"/>
          <w:szCs w:val="24"/>
        </w:rPr>
        <w:t xml:space="preserve"> (</w:t>
      </w:r>
      <m:oMath>
        <m:r>
          <w:rPr>
            <w:rFonts w:ascii="Cambria Math" w:eastAsia="Times New Roman" w:hAnsi="Cambria Math"/>
            <w:sz w:val="24"/>
            <w:szCs w:val="24"/>
          </w:rPr>
          <m:t>M</m:t>
        </m:r>
        <m:sSub>
          <m:sSubPr>
            <m:ctrlPr>
              <w:rPr>
                <w:rFonts w:ascii="Cambria Math" w:eastAsia="Times New Roman" w:hAnsi="Cambria Math"/>
                <w:i/>
                <w:sz w:val="24"/>
                <w:szCs w:val="24"/>
              </w:rPr>
            </m:ctrlPr>
          </m:sSubPr>
          <m:e>
            <m:r>
              <w:rPr>
                <w:rFonts w:ascii="Cambria Math" w:eastAsia="Times New Roman" w:hAnsi="Cambria Math"/>
                <w:sz w:val="24"/>
                <w:szCs w:val="24"/>
              </w:rPr>
              <m:t>O</m:t>
            </m:r>
          </m:e>
          <m:sub>
            <m:r>
              <w:rPr>
                <w:rFonts w:ascii="Cambria Math" w:eastAsia="Times New Roman" w:hAnsi="Cambria Math"/>
                <w:sz w:val="24"/>
                <w:szCs w:val="24"/>
              </w:rPr>
              <m:t>i,t</m:t>
            </m:r>
          </m:sub>
        </m:sSub>
      </m:oMath>
      <w:r>
        <w:rPr>
          <w:rFonts w:eastAsia="Times New Roman"/>
          <w:sz w:val="24"/>
          <w:szCs w:val="24"/>
        </w:rPr>
        <w:t xml:space="preserve">) divided by average household size in region </w:t>
      </w:r>
      <m:oMath>
        <m:r>
          <w:rPr>
            <w:rFonts w:ascii="Cambria Math" w:eastAsia="Times New Roman" w:hAnsi="Cambria Math"/>
            <w:sz w:val="24"/>
            <w:szCs w:val="24"/>
          </w:rPr>
          <m:t>i</m:t>
        </m:r>
      </m:oMath>
      <w:r>
        <w:rPr>
          <w:rFonts w:eastAsia="Times New Roman"/>
          <w:sz w:val="24"/>
          <w:szCs w:val="24"/>
        </w:rPr>
        <w:t xml:space="preserve"> at time </w:t>
      </w:r>
      <m:oMath>
        <m:r>
          <w:rPr>
            <w:rFonts w:ascii="Cambria Math" w:eastAsia="Times New Roman" w:hAnsi="Cambria Math"/>
            <w:sz w:val="24"/>
            <w:szCs w:val="24"/>
          </w:rPr>
          <m:t>t-1</m:t>
        </m:r>
      </m:oMath>
      <w:r>
        <w:rPr>
          <w:rFonts w:eastAsia="Times New Roman"/>
          <w:sz w:val="24"/>
          <w:szCs w:val="24"/>
        </w:rPr>
        <w:t xml:space="preserve"> (</w:t>
      </w:r>
      <m:oMath>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i,t-1</m:t>
            </m:r>
          </m:sub>
        </m:sSub>
        <m:r>
          <w:rPr>
            <w:rFonts w:ascii="Cambria Math" w:eastAsia="Times New Roman" w:hAnsi="Cambria Math"/>
            <w:sz w:val="24"/>
            <w:szCs w:val="24"/>
          </w:rPr>
          <m:t>)</m:t>
        </m:r>
      </m:oMath>
      <w:r>
        <w:rPr>
          <w:rFonts w:eastAsia="Times New Roman"/>
          <w:sz w:val="24"/>
          <w:szCs w:val="24"/>
        </w:rPr>
        <w:t xml:space="preserve"> and multiplied by the homeownership rate in region </w:t>
      </w:r>
      <m:oMath>
        <m:r>
          <w:rPr>
            <w:rFonts w:ascii="Cambria Math" w:eastAsia="Times New Roman" w:hAnsi="Cambria Math"/>
            <w:sz w:val="24"/>
            <w:szCs w:val="24"/>
          </w:rPr>
          <m:t>i</m:t>
        </m:r>
      </m:oMath>
      <w:r>
        <w:rPr>
          <w:rFonts w:eastAsia="Times New Roman"/>
          <w:sz w:val="24"/>
          <w:szCs w:val="24"/>
        </w:rPr>
        <w:t xml:space="preserve"> at time </w:t>
      </w:r>
      <m:oMath>
        <m:r>
          <w:rPr>
            <w:rFonts w:ascii="Cambria Math" w:eastAsia="Times New Roman" w:hAnsi="Cambria Math"/>
            <w:sz w:val="24"/>
            <w:szCs w:val="24"/>
          </w:rPr>
          <m:t>t,</m:t>
        </m:r>
      </m:oMath>
      <w:r>
        <w:rPr>
          <w:rFonts w:eastAsia="Times New Roman"/>
          <w:sz w:val="24"/>
          <w:szCs w:val="24"/>
        </w:rPr>
        <w:t xml:space="preserve"> (</w:t>
      </w:r>
      <m:oMath>
        <m:sSub>
          <m:sSubPr>
            <m:ctrlPr>
              <w:rPr>
                <w:rFonts w:ascii="Cambria Math" w:eastAsia="Times New Roman" w:hAnsi="Cambria Math"/>
                <w:i/>
                <w:sz w:val="24"/>
                <w:szCs w:val="24"/>
              </w:rPr>
            </m:ctrlPr>
          </m:sSubPr>
          <m:e>
            <m:r>
              <w:rPr>
                <w:rFonts w:ascii="Cambria Math" w:eastAsia="Times New Roman" w:hAnsi="Cambria Math"/>
                <w:sz w:val="24"/>
                <w:szCs w:val="24"/>
              </w:rPr>
              <m:t>H</m:t>
            </m:r>
          </m:e>
          <m:sub>
            <m:r>
              <w:rPr>
                <w:rFonts w:ascii="Cambria Math" w:eastAsia="Times New Roman" w:hAnsi="Cambria Math"/>
                <w:sz w:val="24"/>
                <w:szCs w:val="24"/>
              </w:rPr>
              <m:t>i,t-1</m:t>
            </m:r>
          </m:sub>
        </m:sSub>
        <m:r>
          <w:rPr>
            <w:rFonts w:ascii="Cambria Math" w:eastAsia="Times New Roman" w:hAnsi="Cambria Math"/>
            <w:sz w:val="24"/>
            <w:szCs w:val="24"/>
          </w:rPr>
          <m:t>)</m:t>
        </m:r>
      </m:oMath>
      <w:r>
        <w:rPr>
          <w:rFonts w:eastAsia="Times New Roman"/>
          <w:sz w:val="24"/>
          <w:szCs w:val="24"/>
        </w:rPr>
        <w:t xml:space="preserve">. Intuitively, this proxy measures the number of home-owning households who migrated into region </w:t>
      </w:r>
      <m:oMath>
        <m:r>
          <w:rPr>
            <w:rFonts w:ascii="Cambria Math" w:eastAsia="Times New Roman" w:hAnsi="Cambria Math"/>
            <w:sz w:val="24"/>
            <w:szCs w:val="24"/>
          </w:rPr>
          <m:t>j</m:t>
        </m:r>
      </m:oMath>
      <w:r>
        <w:rPr>
          <w:rFonts w:eastAsia="Times New Roman"/>
          <w:sz w:val="24"/>
          <w:szCs w:val="24"/>
        </w:rPr>
        <w:t xml:space="preserve"> the previous period and thus are relatively more likely to have a vacant home in region </w:t>
      </w:r>
      <m:oMath>
        <m:r>
          <w:rPr>
            <w:rFonts w:ascii="Cambria Math" w:eastAsia="Times New Roman" w:hAnsi="Cambria Math"/>
            <w:sz w:val="24"/>
            <w:szCs w:val="24"/>
          </w:rPr>
          <m:t>i</m:t>
        </m:r>
      </m:oMath>
      <w:r>
        <w:rPr>
          <w:rFonts w:eastAsia="Times New Roman"/>
          <w:sz w:val="24"/>
          <w:szCs w:val="24"/>
        </w:rPr>
        <w:t xml:space="preserve">. Since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i,t</m:t>
            </m:r>
          </m:sub>
        </m:sSub>
      </m:oMath>
      <w:r>
        <w:rPr>
          <w:rFonts w:eastAsia="Times New Roman"/>
          <w:sz w:val="24"/>
          <w:szCs w:val="24"/>
        </w:rPr>
        <w:t xml:space="preserve"> captures households across three regions (i.e., households outside region </w:t>
      </w:r>
      <m:oMath>
        <m:r>
          <w:rPr>
            <w:rFonts w:ascii="Cambria Math" w:eastAsia="Times New Roman" w:hAnsi="Cambria Math"/>
            <w:sz w:val="24"/>
            <w:szCs w:val="24"/>
          </w:rPr>
          <m:t>i</m:t>
        </m:r>
      </m:oMath>
      <w:r>
        <w:rPr>
          <w:rFonts w:eastAsia="Times New Roman"/>
          <w:sz w:val="24"/>
          <w:szCs w:val="24"/>
        </w:rPr>
        <w:t xml:space="preserve"> who wish to move to region </w:t>
      </w:r>
      <m:oMath>
        <m:r>
          <w:rPr>
            <w:rFonts w:ascii="Cambria Math" w:eastAsia="Times New Roman" w:hAnsi="Cambria Math"/>
            <w:sz w:val="24"/>
            <w:szCs w:val="24"/>
          </w:rPr>
          <m:t>i</m:t>
        </m:r>
      </m:oMath>
      <w:r>
        <w:rPr>
          <w:rFonts w:eastAsia="Times New Roman"/>
          <w:sz w:val="24"/>
          <w:szCs w:val="24"/>
        </w:rPr>
        <w:t xml:space="preserve">), we need to adapt the proxy outlined in the previous paragraph used for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j,t</m:t>
            </m:r>
          </m:sub>
        </m:sSub>
      </m:oMath>
      <w:r>
        <w:rPr>
          <w:rFonts w:eastAsia="Times New Roman"/>
          <w:sz w:val="24"/>
          <w:szCs w:val="24"/>
        </w:rPr>
        <w:t xml:space="preserve">. For similar reasons as before, we use the number of individuals that migrated into region </w:t>
      </w:r>
      <m:oMath>
        <m:r>
          <w:rPr>
            <w:rFonts w:ascii="Cambria Math" w:eastAsia="Times New Roman" w:hAnsi="Cambria Math"/>
            <w:sz w:val="24"/>
            <w:szCs w:val="24"/>
          </w:rPr>
          <m:t>i</m:t>
        </m:r>
      </m:oMath>
      <w:r>
        <w:rPr>
          <w:rFonts w:eastAsia="Times New Roman"/>
          <w:sz w:val="24"/>
          <w:szCs w:val="24"/>
        </w:rPr>
        <w:t xml:space="preserve"> at time </w:t>
      </w:r>
      <m:oMath>
        <m:r>
          <w:rPr>
            <w:rFonts w:ascii="Cambria Math" w:eastAsia="Times New Roman" w:hAnsi="Cambria Math"/>
            <w:sz w:val="24"/>
            <w:szCs w:val="24"/>
          </w:rPr>
          <m:t>t+1</m:t>
        </m:r>
      </m:oMath>
      <w:r>
        <w:rPr>
          <w:rFonts w:eastAsia="Times New Roman"/>
          <w:sz w:val="24"/>
          <w:szCs w:val="24"/>
        </w:rPr>
        <w:t xml:space="preserve">, </w:t>
      </w:r>
      <m:oMath>
        <m:r>
          <w:rPr>
            <w:rFonts w:ascii="Cambria Math" w:eastAsia="Times New Roman" w:hAnsi="Cambria Math"/>
            <w:sz w:val="24"/>
            <w:szCs w:val="24"/>
          </w:rPr>
          <m:t>M</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i,t+1</m:t>
            </m:r>
          </m:sub>
        </m:sSub>
      </m:oMath>
      <w:r>
        <w:rPr>
          <w:rFonts w:eastAsia="Times New Roman"/>
          <w:sz w:val="24"/>
          <w:szCs w:val="24"/>
        </w:rPr>
        <w:t xml:space="preserve"> to capture those individuals that wished to leave region </w:t>
      </w:r>
      <m:oMath>
        <m:r>
          <w:rPr>
            <w:rFonts w:ascii="Cambria Math" w:eastAsia="Times New Roman" w:hAnsi="Cambria Math"/>
            <w:sz w:val="24"/>
            <w:szCs w:val="24"/>
          </w:rPr>
          <m:t>j</m:t>
        </m:r>
      </m:oMath>
      <w:r>
        <w:rPr>
          <w:rFonts w:eastAsia="Times New Roman"/>
          <w:sz w:val="24"/>
          <w:szCs w:val="24"/>
        </w:rPr>
        <w:t xml:space="preserve"> at time </w:t>
      </w:r>
      <m:oMath>
        <m:r>
          <w:rPr>
            <w:rFonts w:ascii="Cambria Math" w:eastAsia="Times New Roman" w:hAnsi="Cambria Math"/>
            <w:sz w:val="24"/>
            <w:szCs w:val="24"/>
          </w:rPr>
          <m:t>t</m:t>
        </m:r>
      </m:oMath>
      <w:r>
        <w:rPr>
          <w:rFonts w:eastAsia="Times New Roman"/>
          <w:sz w:val="24"/>
          <w:szCs w:val="24"/>
        </w:rPr>
        <w:t xml:space="preserve">. We convert this to number of households by dividing </w:t>
      </w:r>
      <m:oMath>
        <m:r>
          <w:rPr>
            <w:rFonts w:ascii="Cambria Math" w:eastAsia="Times New Roman" w:hAnsi="Cambria Math"/>
            <w:sz w:val="24"/>
            <w:szCs w:val="24"/>
          </w:rPr>
          <m:t>M</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i,t+1</m:t>
            </m:r>
          </m:sub>
        </m:sSub>
      </m:oMath>
      <w:r>
        <w:rPr>
          <w:rFonts w:eastAsia="Times New Roman"/>
          <w:sz w:val="24"/>
          <w:szCs w:val="24"/>
        </w:rPr>
        <w:t xml:space="preserve"> by </w:t>
      </w:r>
      <m:oMath>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j,t</m:t>
            </m:r>
          </m:sub>
        </m:sSub>
      </m:oMath>
      <w:r>
        <w:rPr>
          <w:rFonts w:eastAsia="Times New Roman"/>
          <w:sz w:val="24"/>
          <w:szCs w:val="24"/>
        </w:rPr>
        <w:t xml:space="preserve">, which is the </w:t>
      </w:r>
      <w:r w:rsidRPr="00A43DBD">
        <w:rPr>
          <w:rFonts w:eastAsia="Times New Roman"/>
          <w:sz w:val="24"/>
          <w:szCs w:val="24"/>
        </w:rPr>
        <w:t xml:space="preserve">owner-occupied-household-weighted average number of individuals per household across the </w:t>
      </w:r>
      <w:r>
        <w:rPr>
          <w:rFonts w:eastAsia="Times New Roman"/>
          <w:sz w:val="24"/>
          <w:szCs w:val="24"/>
        </w:rPr>
        <w:t xml:space="preserve">other </w:t>
      </w:r>
      <w:r w:rsidRPr="00A43DBD">
        <w:rPr>
          <w:rFonts w:eastAsia="Times New Roman"/>
          <w:sz w:val="24"/>
          <w:szCs w:val="24"/>
        </w:rPr>
        <w:t>three Census re</w:t>
      </w:r>
      <w:r>
        <w:rPr>
          <w:rFonts w:eastAsia="Times New Roman"/>
          <w:sz w:val="24"/>
          <w:szCs w:val="24"/>
        </w:rPr>
        <w:t xml:space="preserve">gions (i.e., all other regions besides region </w:t>
      </w:r>
      <m:oMath>
        <m:r>
          <w:rPr>
            <w:rFonts w:ascii="Cambria Math" w:eastAsia="Times New Roman" w:hAnsi="Cambria Math"/>
            <w:sz w:val="24"/>
            <w:szCs w:val="24"/>
          </w:rPr>
          <m:t>i</m:t>
        </m:r>
      </m:oMath>
      <w:r>
        <w:rPr>
          <w:rFonts w:eastAsia="Times New Roman"/>
          <w:sz w:val="24"/>
          <w:szCs w:val="24"/>
        </w:rPr>
        <w:t xml:space="preserve">). Finally, we multiply this number of outmigration households by </w:t>
      </w:r>
      <m:oMath>
        <m:sSub>
          <m:sSubPr>
            <m:ctrlPr>
              <w:rPr>
                <w:rFonts w:ascii="Cambria Math" w:eastAsia="Times New Roman" w:hAnsi="Cambria Math"/>
                <w:i/>
                <w:sz w:val="24"/>
                <w:szCs w:val="24"/>
              </w:rPr>
            </m:ctrlPr>
          </m:sSubPr>
          <m:e>
            <m:r>
              <w:rPr>
                <w:rFonts w:ascii="Cambria Math" w:eastAsia="Times New Roman" w:hAnsi="Cambria Math"/>
                <w:sz w:val="24"/>
                <w:szCs w:val="24"/>
              </w:rPr>
              <m:t>H</m:t>
            </m:r>
          </m:e>
          <m:sub>
            <m:r>
              <w:rPr>
                <w:rFonts w:ascii="Cambria Math" w:eastAsia="Times New Roman" w:hAnsi="Cambria Math"/>
                <w:sz w:val="24"/>
                <w:szCs w:val="24"/>
              </w:rPr>
              <m:t>j,t</m:t>
            </m:r>
          </m:sub>
        </m:sSub>
      </m:oMath>
      <w:r>
        <w:rPr>
          <w:rFonts w:eastAsia="Times New Roman"/>
          <w:sz w:val="24"/>
          <w:szCs w:val="24"/>
        </w:rPr>
        <w:t>,</w:t>
      </w:r>
      <w:r w:rsidRPr="00B50F1D">
        <w:rPr>
          <w:rFonts w:eastAsia="Times New Roman"/>
          <w:sz w:val="24"/>
          <w:szCs w:val="24"/>
        </w:rPr>
        <w:t xml:space="preserve"> the owner-occupied-household-weighted average home</w:t>
      </w:r>
      <w:r>
        <w:rPr>
          <w:rFonts w:eastAsia="Times New Roman"/>
          <w:sz w:val="24"/>
          <w:szCs w:val="24"/>
        </w:rPr>
        <w:t xml:space="preserve">ownership rate across the three </w:t>
      </w:r>
      <w:r w:rsidRPr="00B50F1D">
        <w:rPr>
          <w:rFonts w:eastAsia="Times New Roman"/>
          <w:sz w:val="24"/>
          <w:szCs w:val="24"/>
        </w:rPr>
        <w:t>Censu</w:t>
      </w:r>
      <w:r>
        <w:rPr>
          <w:rFonts w:eastAsia="Times New Roman"/>
          <w:sz w:val="24"/>
          <w:szCs w:val="24"/>
        </w:rPr>
        <w:t xml:space="preserve">s regions other than region </w:t>
      </w:r>
      <m:oMath>
        <m:r>
          <w:rPr>
            <w:rFonts w:ascii="Cambria Math" w:eastAsia="Times New Roman" w:hAnsi="Cambria Math"/>
            <w:sz w:val="24"/>
            <w:szCs w:val="24"/>
          </w:rPr>
          <m:t>i</m:t>
        </m:r>
      </m:oMath>
      <w:r w:rsidRPr="00B50F1D">
        <w:rPr>
          <w:rFonts w:eastAsia="Times New Roman"/>
          <w:sz w:val="24"/>
          <w:szCs w:val="24"/>
        </w:rPr>
        <w:t>.</w:t>
      </w:r>
      <w:r>
        <w:rPr>
          <w:rFonts w:eastAsia="Times New Roman"/>
          <w:sz w:val="24"/>
          <w:szCs w:val="24"/>
        </w:rPr>
        <w:t xml:space="preserve"> Formally, the constructed proxy for the number of households happily living in region </w:t>
      </w:r>
      <m:oMath>
        <m:r>
          <w:rPr>
            <w:rFonts w:ascii="Cambria Math" w:eastAsia="Times New Roman" w:hAnsi="Cambria Math"/>
            <w:sz w:val="24"/>
            <w:szCs w:val="24"/>
          </w:rPr>
          <m:t>j</m:t>
        </m:r>
      </m:oMath>
      <w:r>
        <w:rPr>
          <w:rFonts w:eastAsia="Times New Roman"/>
          <w:sz w:val="24"/>
          <w:szCs w:val="24"/>
        </w:rPr>
        <w:t xml:space="preserve"> at time </w:t>
      </w:r>
      <m:oMath>
        <m:r>
          <w:rPr>
            <w:rFonts w:ascii="Cambria Math" w:eastAsia="Times New Roman" w:hAnsi="Cambria Math"/>
            <w:sz w:val="24"/>
            <w:szCs w:val="24"/>
          </w:rPr>
          <m:t>t</m:t>
        </m:r>
      </m:oMath>
      <w:r>
        <w:rPr>
          <w:rFonts w:eastAsia="Times New Roman"/>
          <w:sz w:val="24"/>
          <w:szCs w:val="24"/>
        </w:rPr>
        <w:t xml:space="preserve"> </w:t>
      </w:r>
      <w:r w:rsidR="00151681">
        <w:rPr>
          <w:rFonts w:eastAsia="Times New Roman"/>
          <w:sz w:val="24"/>
          <w:szCs w:val="24"/>
        </w:rPr>
        <w:t>i</w:t>
      </w:r>
      <w:r>
        <w:rPr>
          <w:rFonts w:eastAsia="Times New Roman"/>
          <w:sz w:val="24"/>
          <w:szCs w:val="24"/>
        </w:rPr>
        <w:t>s given by:</w:t>
      </w:r>
    </w:p>
    <w:p w14:paraId="280C1E11" w14:textId="77777777" w:rsidR="00F66C89" w:rsidRDefault="00E96C7A" w:rsidP="00F66C89">
      <w:pPr>
        <w:spacing w:after="200" w:line="276" w:lineRule="auto"/>
        <w:ind w:firstLine="720"/>
        <w:rPr>
          <w:rFonts w:eastAsia="Times New Roman"/>
          <w:sz w:val="24"/>
          <w:szCs w:val="24"/>
        </w:rPr>
      </w:pPr>
      <m:oMath>
        <m:sSub>
          <m:sSubPr>
            <m:ctrlPr>
              <w:rPr>
                <w:rFonts w:ascii="Cambria Math" w:eastAsia="Calibri" w:hAnsi="Cambria Math"/>
                <w:i/>
                <w:sz w:val="24"/>
                <w:szCs w:val="24"/>
              </w:rPr>
            </m:ctrlPr>
          </m:sSubPr>
          <m:e>
            <m:r>
              <w:rPr>
                <w:rFonts w:ascii="Cambria Math" w:eastAsia="Calibri" w:hAnsi="Cambria Math"/>
                <w:sz w:val="24"/>
                <w:szCs w:val="24"/>
              </w:rPr>
              <m:t>HM</m:t>
            </m:r>
          </m:e>
          <m:sub>
            <m:r>
              <w:rPr>
                <w:rFonts w:ascii="Cambria Math" w:eastAsia="Calibri" w:hAnsi="Cambria Math"/>
                <w:sz w:val="24"/>
                <w:szCs w:val="24"/>
              </w:rPr>
              <m:t>j,t</m:t>
            </m:r>
          </m:sub>
        </m:sSub>
        <m:r>
          <w:rPr>
            <w:rFonts w:ascii="Cambria Math" w:eastAsia="Calibri"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HN</m:t>
            </m:r>
          </m:e>
          <m:sub>
            <m:r>
              <w:rPr>
                <w:rFonts w:ascii="Cambria Math" w:eastAsia="Times New Roman" w:hAnsi="Cambria Math"/>
                <w:sz w:val="24"/>
                <w:szCs w:val="24"/>
              </w:rPr>
              <m:t>j,t</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MO</m:t>
                </m:r>
              </m:e>
              <m:sub>
                <m:r>
                  <w:rPr>
                    <w:rFonts w:ascii="Cambria Math" w:eastAsia="Times New Roman" w:hAnsi="Cambria Math"/>
                    <w:sz w:val="24"/>
                    <w:szCs w:val="24"/>
                  </w:rPr>
                  <m:t>i,t</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i,t-1</m:t>
                </m:r>
              </m:sub>
            </m:sSub>
          </m:den>
        </m:f>
        <m:sSub>
          <m:sSubPr>
            <m:ctrlPr>
              <w:rPr>
                <w:rFonts w:ascii="Cambria Math" w:eastAsia="Times New Roman" w:hAnsi="Cambria Math"/>
                <w:i/>
                <w:sz w:val="24"/>
                <w:szCs w:val="24"/>
              </w:rPr>
            </m:ctrlPr>
          </m:sSubPr>
          <m:e>
            <m:r>
              <w:rPr>
                <w:rFonts w:ascii="Cambria Math" w:eastAsia="Times New Roman" w:hAnsi="Cambria Math"/>
                <w:sz w:val="24"/>
                <w:szCs w:val="24"/>
              </w:rPr>
              <m:t>×H</m:t>
            </m:r>
          </m:e>
          <m:sub>
            <m:r>
              <w:rPr>
                <w:rFonts w:ascii="Cambria Math" w:eastAsia="Times New Roman" w:hAnsi="Cambria Math"/>
                <w:sz w:val="24"/>
                <w:szCs w:val="24"/>
              </w:rPr>
              <m:t>i,t-1</m:t>
            </m:r>
          </m:sub>
        </m:sSub>
        <m:r>
          <w:rPr>
            <w:rFonts w:ascii="Cambria Math" w:eastAsia="Times New Roman" w:hAnsi="Cambria Math"/>
            <w:sz w:val="24"/>
            <w:szCs w:val="24"/>
          </w:rPr>
          <m:t xml:space="preserve">- </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MI</m:t>
                </m:r>
              </m:e>
              <m:sub>
                <m:r>
                  <w:rPr>
                    <w:rFonts w:ascii="Cambria Math" w:eastAsia="Times New Roman" w:hAnsi="Cambria Math"/>
                    <w:sz w:val="24"/>
                    <w:szCs w:val="24"/>
                  </w:rPr>
                  <m:t>i,t+1</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j,t</m:t>
                </m:r>
              </m:sub>
            </m:sSub>
          </m:den>
        </m:f>
        <m:r>
          <w:rPr>
            <w:rFonts w:ascii="Cambria Math" w:eastAsia="Times New Roman" w:hAnsi="Cambria Math"/>
            <w:sz w:val="24"/>
            <w:szCs w:val="24"/>
          </w:rPr>
          <m:t xml:space="preserve">× </m:t>
        </m:r>
        <m:sSub>
          <m:sSubPr>
            <m:ctrlPr>
              <w:rPr>
                <w:rFonts w:ascii="Cambria Math" w:eastAsia="Times New Roman" w:hAnsi="Cambria Math"/>
                <w:i/>
                <w:sz w:val="24"/>
                <w:szCs w:val="24"/>
              </w:rPr>
            </m:ctrlPr>
          </m:sSubPr>
          <m:e>
            <m:r>
              <w:rPr>
                <w:rFonts w:ascii="Cambria Math" w:eastAsia="Times New Roman" w:hAnsi="Cambria Math"/>
                <w:sz w:val="24"/>
                <w:szCs w:val="24"/>
              </w:rPr>
              <m:t>H</m:t>
            </m:r>
          </m:e>
          <m:sub>
            <m:r>
              <w:rPr>
                <w:rFonts w:ascii="Cambria Math" w:eastAsia="Times New Roman" w:hAnsi="Cambria Math"/>
                <w:sz w:val="24"/>
                <w:szCs w:val="24"/>
              </w:rPr>
              <m:t>j,t</m:t>
            </m:r>
          </m:sub>
        </m:sSub>
      </m:oMath>
      <w:r w:rsidR="00F66C89">
        <w:rPr>
          <w:rFonts w:eastAsia="Times New Roman"/>
          <w:sz w:val="24"/>
          <w:szCs w:val="24"/>
        </w:rPr>
        <w:t>.</w:t>
      </w:r>
    </w:p>
    <w:p w14:paraId="73EA4AE3" w14:textId="77777777" w:rsidR="00F66C89" w:rsidRPr="00B50F1D" w:rsidRDefault="00F66C89" w:rsidP="00F66C89">
      <w:pPr>
        <w:spacing w:after="200" w:line="276" w:lineRule="auto"/>
        <w:rPr>
          <w:rFonts w:eastAsia="Times New Roman"/>
          <w:sz w:val="24"/>
          <w:szCs w:val="24"/>
        </w:rPr>
      </w:pPr>
      <w:r>
        <w:rPr>
          <w:rFonts w:eastAsia="Times New Roman"/>
          <w:sz w:val="24"/>
          <w:szCs w:val="24"/>
        </w:rPr>
        <w:t xml:space="preserve">Similar to the data for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j,t</m:t>
            </m:r>
          </m:sub>
        </m:sSub>
      </m:oMath>
      <w:r>
        <w:rPr>
          <w:rFonts w:eastAsia="Times New Roman"/>
          <w:sz w:val="24"/>
          <w:szCs w:val="24"/>
        </w:rPr>
        <w:t xml:space="preserve">, the underlying data for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M</m:t>
            </m:r>
          </m:e>
          <m:sub>
            <m:r>
              <w:rPr>
                <w:rFonts w:ascii="Cambria Math" w:eastAsia="Times New Roman" w:hAnsi="Cambria Math"/>
                <w:sz w:val="24"/>
                <w:szCs w:val="24"/>
              </w:rPr>
              <m:t xml:space="preserve">j,t </m:t>
            </m:r>
          </m:sub>
        </m:sSub>
      </m:oMath>
      <w:r>
        <w:rPr>
          <w:rFonts w:eastAsia="Times New Roman"/>
          <w:sz w:val="24"/>
          <w:szCs w:val="24"/>
        </w:rPr>
        <w:t>is available from the Census and we detrend, seasonally-adjust, and normalize to obtain the finalized proxy.</w:t>
      </w:r>
    </w:p>
    <w:p w14:paraId="0832492F" w14:textId="5EB1F87C" w:rsidR="00B50F1D" w:rsidRPr="00B50F1D" w:rsidRDefault="00B50F1D" w:rsidP="00B50F1D">
      <w:pPr>
        <w:spacing w:after="200" w:line="276" w:lineRule="auto"/>
        <w:rPr>
          <w:rFonts w:eastAsia="Times New Roman"/>
          <w:sz w:val="24"/>
          <w:szCs w:val="24"/>
        </w:rPr>
      </w:pPr>
      <w:r w:rsidRPr="00B50F1D">
        <w:rPr>
          <w:rFonts w:eastAsia="Times New Roman"/>
          <w:sz w:val="24"/>
          <w:szCs w:val="24"/>
        </w:rPr>
        <w:tab/>
        <w:t xml:space="preserve">We estimate each model using Bayesian methods. </w:t>
      </w:r>
      <w:proofErr w:type="gramStart"/>
      <w:r w:rsidRPr="00B50F1D">
        <w:rPr>
          <w:rFonts w:eastAsia="Times New Roman"/>
          <w:sz w:val="24"/>
          <w:szCs w:val="24"/>
        </w:rPr>
        <w:t>In particular, we</w:t>
      </w:r>
      <w:proofErr w:type="gramEnd"/>
      <w:r w:rsidRPr="00B50F1D">
        <w:rPr>
          <w:rFonts w:eastAsia="Times New Roman"/>
          <w:sz w:val="24"/>
          <w:szCs w:val="24"/>
        </w:rPr>
        <w:t xml:space="preserve"> approximate each model’s posterior distribution via the Markov-chain Monte Carlo (MCMC) technique of Gibbs sampling which draws each set of parameters’ conditional distribution given the other sets. This approach is a standard method for estimating highly parameterized nonlinear models as shown by </w:t>
      </w:r>
      <w:bookmarkStart w:id="0" w:name="_Hlk53493650"/>
      <w:proofErr w:type="spellStart"/>
      <w:r w:rsidRPr="00B50F1D">
        <w:rPr>
          <w:rFonts w:eastAsia="Times New Roman"/>
          <w:sz w:val="24"/>
          <w:szCs w:val="24"/>
        </w:rPr>
        <w:t>Fruhwirth-Schnatter</w:t>
      </w:r>
      <w:proofErr w:type="spellEnd"/>
      <w:r w:rsidRPr="00B50F1D">
        <w:rPr>
          <w:rFonts w:eastAsia="Times New Roman"/>
          <w:sz w:val="24"/>
          <w:szCs w:val="24"/>
        </w:rPr>
        <w:t xml:space="preserve"> (2006) and Sims and </w:t>
      </w:r>
      <w:proofErr w:type="spellStart"/>
      <w:r w:rsidRPr="00B50F1D">
        <w:rPr>
          <w:rFonts w:eastAsia="Times New Roman"/>
          <w:sz w:val="24"/>
          <w:szCs w:val="24"/>
        </w:rPr>
        <w:t>Zha</w:t>
      </w:r>
      <w:proofErr w:type="spellEnd"/>
      <w:r w:rsidRPr="00B50F1D">
        <w:rPr>
          <w:rFonts w:eastAsia="Times New Roman"/>
          <w:sz w:val="24"/>
          <w:szCs w:val="24"/>
        </w:rPr>
        <w:t xml:space="preserve"> (2006). </w:t>
      </w:r>
      <w:bookmarkEnd w:id="0"/>
      <w:r w:rsidR="00555C49">
        <w:rPr>
          <w:rFonts w:eastAsia="Times New Roman"/>
          <w:sz w:val="24"/>
          <w:szCs w:val="24"/>
        </w:rPr>
        <w:t>A</w:t>
      </w:r>
      <w:r w:rsidRPr="00B50F1D">
        <w:rPr>
          <w:rFonts w:eastAsia="Times New Roman"/>
          <w:sz w:val="24"/>
          <w:szCs w:val="24"/>
        </w:rPr>
        <w:t xml:space="preserve">ppendix </w:t>
      </w:r>
      <w:r w:rsidR="00555C49">
        <w:rPr>
          <w:rFonts w:eastAsia="Times New Roman"/>
          <w:sz w:val="24"/>
          <w:szCs w:val="24"/>
        </w:rPr>
        <w:t xml:space="preserve">B </w:t>
      </w:r>
      <w:r w:rsidRPr="00B50F1D">
        <w:rPr>
          <w:rFonts w:eastAsia="Times New Roman"/>
          <w:sz w:val="24"/>
          <w:szCs w:val="24"/>
        </w:rPr>
        <w:t>outlines the technical details of the estimation.</w:t>
      </w:r>
    </w:p>
    <w:p w14:paraId="0C2E3F82" w14:textId="79D2C5E7" w:rsid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Before moving to our empirical results, we should note that the </w:t>
      </w:r>
      <w:r w:rsidR="00F66C89">
        <w:rPr>
          <w:rFonts w:eastAsia="Times New Roman"/>
          <w:sz w:val="24"/>
          <w:szCs w:val="24"/>
        </w:rPr>
        <w:t xml:space="preserve">seasonally-adjusted </w:t>
      </w:r>
      <w:r w:rsidRPr="00B50F1D">
        <w:rPr>
          <w:rFonts w:eastAsia="Times New Roman"/>
          <w:sz w:val="24"/>
          <w:szCs w:val="24"/>
        </w:rPr>
        <w:t xml:space="preserve">vacancy rate (both for the United States and for the individual regions) fails to reject the null of </w:t>
      </w:r>
      <w:proofErr w:type="spellStart"/>
      <w:r w:rsidRPr="00B50F1D">
        <w:rPr>
          <w:rFonts w:eastAsia="Times New Roman"/>
          <w:sz w:val="24"/>
          <w:szCs w:val="24"/>
        </w:rPr>
        <w:t>nonstationarity</w:t>
      </w:r>
      <w:proofErr w:type="spellEnd"/>
      <w:r w:rsidRPr="00B50F1D">
        <w:rPr>
          <w:rFonts w:eastAsia="Times New Roman"/>
          <w:sz w:val="24"/>
          <w:szCs w:val="24"/>
        </w:rPr>
        <w:t xml:space="preserve"> according to a standard Augmented Dickey-Fuller (ADF) test. Including a nonstationary series in our model could lead to spurious results and conclusions, especially as it relates to lags of the endogenous variable. However, Nelson et al. (2001) shows that standard ADF tests have low power when the data is truly generated from a Markov-switching process. Therefore, to check the vacancy rate for stationarity, we estimate a Markov-switching ADF (MS-ADF) model as in Hall et al. (1999)</w:t>
      </w:r>
      <w:r w:rsidR="00151681">
        <w:rPr>
          <w:rFonts w:eastAsia="Times New Roman"/>
          <w:sz w:val="24"/>
          <w:szCs w:val="24"/>
        </w:rPr>
        <w:t xml:space="preserve">, </w:t>
      </w:r>
      <w:r w:rsidRPr="00B50F1D">
        <w:rPr>
          <w:rFonts w:eastAsia="Times New Roman"/>
          <w:sz w:val="24"/>
          <w:szCs w:val="24"/>
        </w:rPr>
        <w:t>Kanas</w:t>
      </w:r>
      <w:r w:rsidR="00FF0C17">
        <w:rPr>
          <w:rFonts w:eastAsia="Times New Roman"/>
          <w:sz w:val="24"/>
          <w:szCs w:val="24"/>
        </w:rPr>
        <w:t xml:space="preserve"> and Genius </w:t>
      </w:r>
      <w:r w:rsidRPr="00B50F1D">
        <w:rPr>
          <w:rFonts w:eastAsia="Times New Roman"/>
          <w:sz w:val="24"/>
          <w:szCs w:val="24"/>
        </w:rPr>
        <w:t>(2005</w:t>
      </w:r>
      <w:r w:rsidR="008E3B00">
        <w:rPr>
          <w:rFonts w:eastAsia="Times New Roman"/>
          <w:sz w:val="24"/>
          <w:szCs w:val="24"/>
        </w:rPr>
        <w:t>)</w:t>
      </w:r>
      <w:r w:rsidRPr="00B50F1D">
        <w:rPr>
          <w:rFonts w:eastAsia="Times New Roman"/>
          <w:sz w:val="24"/>
          <w:szCs w:val="24"/>
        </w:rPr>
        <w:t>,</w:t>
      </w:r>
      <w:r w:rsidR="001B0EA2">
        <w:rPr>
          <w:rFonts w:eastAsia="Times New Roman"/>
          <w:sz w:val="24"/>
          <w:szCs w:val="24"/>
        </w:rPr>
        <w:t xml:space="preserve"> </w:t>
      </w:r>
      <w:r w:rsidR="008E3B00">
        <w:rPr>
          <w:rFonts w:eastAsia="Times New Roman"/>
          <w:sz w:val="24"/>
          <w:szCs w:val="24"/>
        </w:rPr>
        <w:t>and Kanas (2006). After controlling for regime switching in the intercept</w:t>
      </w:r>
      <w:r w:rsidR="005A1551">
        <w:rPr>
          <w:rFonts w:eastAsia="Times New Roman"/>
          <w:sz w:val="24"/>
          <w:szCs w:val="24"/>
        </w:rPr>
        <w:t>, the MS-ADF model for each vacancy rate allows us to</w:t>
      </w:r>
      <w:r w:rsidRPr="00B50F1D">
        <w:rPr>
          <w:rFonts w:eastAsia="Times New Roman"/>
          <w:sz w:val="24"/>
          <w:szCs w:val="24"/>
        </w:rPr>
        <w:t xml:space="preserve"> reject the null of </w:t>
      </w:r>
      <w:proofErr w:type="spellStart"/>
      <w:r w:rsidRPr="00B50F1D">
        <w:rPr>
          <w:rFonts w:eastAsia="Times New Roman"/>
          <w:sz w:val="24"/>
          <w:szCs w:val="24"/>
        </w:rPr>
        <w:t>nonstationarity</w:t>
      </w:r>
      <w:proofErr w:type="spellEnd"/>
      <w:r w:rsidRPr="00B50F1D">
        <w:rPr>
          <w:rFonts w:eastAsia="Times New Roman"/>
          <w:sz w:val="24"/>
          <w:szCs w:val="24"/>
        </w:rPr>
        <w:t xml:space="preserve"> at the 5% level. </w:t>
      </w:r>
    </w:p>
    <w:p w14:paraId="25FF36C4" w14:textId="4AE4BCD1" w:rsidR="00C0525E" w:rsidRDefault="00C0525E" w:rsidP="00B50F1D">
      <w:pPr>
        <w:spacing w:after="200" w:line="276" w:lineRule="auto"/>
        <w:ind w:firstLine="720"/>
        <w:rPr>
          <w:rFonts w:eastAsia="Times New Roman"/>
          <w:sz w:val="24"/>
          <w:szCs w:val="24"/>
        </w:rPr>
      </w:pPr>
    </w:p>
    <w:p w14:paraId="442C7FEF" w14:textId="77777777" w:rsidR="00C0525E" w:rsidRPr="00B50F1D" w:rsidRDefault="00C0525E" w:rsidP="00B50F1D">
      <w:pPr>
        <w:spacing w:after="200" w:line="276" w:lineRule="auto"/>
        <w:ind w:firstLine="720"/>
        <w:rPr>
          <w:rFonts w:eastAsia="Times New Roman"/>
          <w:sz w:val="24"/>
          <w:szCs w:val="24"/>
        </w:rPr>
      </w:pPr>
    </w:p>
    <w:p w14:paraId="725F597B" w14:textId="7D7554C8" w:rsidR="00B50F1D" w:rsidRPr="00B50F1D" w:rsidRDefault="00B50F1D" w:rsidP="00B50F1D">
      <w:pPr>
        <w:spacing w:after="200" w:line="276" w:lineRule="auto"/>
        <w:rPr>
          <w:rFonts w:eastAsia="Calibri"/>
          <w:b/>
          <w:sz w:val="24"/>
          <w:szCs w:val="24"/>
        </w:rPr>
      </w:pPr>
      <w:r w:rsidRPr="00B50F1D">
        <w:rPr>
          <w:rFonts w:eastAsia="Calibri"/>
          <w:b/>
          <w:sz w:val="24"/>
          <w:szCs w:val="24"/>
        </w:rPr>
        <w:lastRenderedPageBreak/>
        <w:t>Univariate Switching Regression Results</w:t>
      </w:r>
    </w:p>
    <w:p w14:paraId="4EF8CA67" w14:textId="77777777" w:rsidR="00B50F1D" w:rsidRPr="00B50F1D" w:rsidRDefault="00B50F1D" w:rsidP="00B50F1D">
      <w:pPr>
        <w:spacing w:after="200" w:line="276" w:lineRule="auto"/>
        <w:rPr>
          <w:rFonts w:eastAsia="Calibri"/>
          <w:sz w:val="24"/>
          <w:szCs w:val="24"/>
        </w:rPr>
      </w:pPr>
      <w:r w:rsidRPr="00B50F1D">
        <w:rPr>
          <w:rFonts w:eastAsia="Calibri"/>
          <w:i/>
          <w:sz w:val="24"/>
          <w:szCs w:val="24"/>
        </w:rPr>
        <w:t>National Models</w:t>
      </w:r>
    </w:p>
    <w:p w14:paraId="3979C209" w14:textId="6C96A7A1" w:rsidR="00B50F1D" w:rsidRPr="00B50F1D" w:rsidRDefault="005424C8" w:rsidP="00B50F1D">
      <w:pPr>
        <w:spacing w:after="200" w:line="276" w:lineRule="auto"/>
        <w:ind w:firstLine="720"/>
        <w:rPr>
          <w:rFonts w:eastAsia="Calibri"/>
          <w:sz w:val="24"/>
          <w:szCs w:val="24"/>
        </w:rPr>
      </w:pPr>
      <w:r>
        <w:rPr>
          <w:rFonts w:eastAsia="Calibri"/>
          <w:sz w:val="24"/>
          <w:szCs w:val="24"/>
        </w:rPr>
        <w:t>For illustrative purposes and for completeness, w</w:t>
      </w:r>
      <w:r w:rsidR="00B50F1D" w:rsidRPr="00B50F1D">
        <w:rPr>
          <w:rFonts w:eastAsia="Calibri"/>
          <w:sz w:val="24"/>
          <w:szCs w:val="24"/>
        </w:rPr>
        <w:t xml:space="preserve">e begin with a special variant of equation (9a) for the </w:t>
      </w:r>
      <w:proofErr w:type="gramStart"/>
      <w:r w:rsidR="00B50F1D" w:rsidRPr="00B50F1D">
        <w:rPr>
          <w:rFonts w:eastAsia="Calibri"/>
          <w:sz w:val="24"/>
          <w:szCs w:val="24"/>
        </w:rPr>
        <w:t>U.S. as a whole</w:t>
      </w:r>
      <w:proofErr w:type="gramEnd"/>
      <w:r w:rsidR="00B50F1D" w:rsidRPr="00B50F1D">
        <w:rPr>
          <w:rFonts w:eastAsia="Calibri"/>
          <w:sz w:val="24"/>
          <w:szCs w:val="24"/>
        </w:rPr>
        <w:t xml:space="preserve"> (i.e., assuming there is only one region). In this section, we will consider a host of alternative univariate specifications for the U.S. vacancy rate. Before examining the estimation results for each alternative model, let’s re-examine the raw data for the vacancy rate for the United States from </w:t>
      </w:r>
      <w:proofErr w:type="gramStart"/>
      <w:r w:rsidR="00B50F1D" w:rsidRPr="00B50F1D">
        <w:rPr>
          <w:rFonts w:eastAsia="Calibri"/>
          <w:sz w:val="24"/>
          <w:szCs w:val="24"/>
        </w:rPr>
        <w:t>1956:Q</w:t>
      </w:r>
      <w:proofErr w:type="gramEnd"/>
      <w:r w:rsidR="00B50F1D" w:rsidRPr="00B50F1D">
        <w:rPr>
          <w:rFonts w:eastAsia="Calibri"/>
          <w:sz w:val="24"/>
          <w:szCs w:val="24"/>
        </w:rPr>
        <w:t>1 through 2019:Q</w:t>
      </w:r>
      <w:r w:rsidR="003363D8">
        <w:rPr>
          <w:rFonts w:eastAsia="Calibri"/>
          <w:sz w:val="24"/>
          <w:szCs w:val="24"/>
        </w:rPr>
        <w:t>3</w:t>
      </w:r>
      <w:r w:rsidR="00073A00">
        <w:rPr>
          <w:rFonts w:eastAsia="Calibri"/>
          <w:sz w:val="24"/>
          <w:szCs w:val="24"/>
        </w:rPr>
        <w:t xml:space="preserve">. </w:t>
      </w:r>
      <w:r w:rsidR="00B50F1D" w:rsidRPr="00B50F1D">
        <w:rPr>
          <w:rFonts w:eastAsia="Calibri"/>
          <w:sz w:val="24"/>
          <w:szCs w:val="24"/>
        </w:rPr>
        <w:t xml:space="preserve"> Figure 1 shows that the U.S. vacancy rate has normally been less than 2.0 percent.  Only the period associated with the housing crisis exhibited rates </w:t>
      </w:r>
      <w:proofErr w:type="gramStart"/>
      <w:r w:rsidR="00B50F1D" w:rsidRPr="00B50F1D">
        <w:rPr>
          <w:rFonts w:eastAsia="Calibri"/>
          <w:sz w:val="24"/>
          <w:szCs w:val="24"/>
        </w:rPr>
        <w:t>in excess of</w:t>
      </w:r>
      <w:proofErr w:type="gramEnd"/>
      <w:r w:rsidR="00B50F1D" w:rsidRPr="00B50F1D">
        <w:rPr>
          <w:rFonts w:eastAsia="Calibri"/>
          <w:sz w:val="24"/>
          <w:szCs w:val="24"/>
        </w:rPr>
        <w:t xml:space="preserve"> 2.0 percent.  Prior to the Great Recession, no period, even recessions, exhibited a national vacancy rate greater than 2.0 percent.</w:t>
      </w:r>
    </w:p>
    <w:p w14:paraId="0F15AD56" w14:textId="10620C32"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We consider four alternative Markov-switching specifications for the U.S. vacancy rate: (</w:t>
      </w:r>
      <w:proofErr w:type="spellStart"/>
      <w:r w:rsidRPr="00B50F1D">
        <w:rPr>
          <w:rFonts w:eastAsia="Calibri"/>
          <w:sz w:val="24"/>
          <w:szCs w:val="24"/>
        </w:rPr>
        <w:t>i</w:t>
      </w:r>
      <w:proofErr w:type="spellEnd"/>
      <w:r w:rsidRPr="00B50F1D">
        <w:rPr>
          <w:rFonts w:eastAsia="Calibri"/>
          <w:sz w:val="24"/>
          <w:szCs w:val="24"/>
        </w:rPr>
        <w:t xml:space="preserve">) MS2 – a model with a two-regime Markov-switching intercept and variance, (ii) MS3 – a model similar to MS2 but with three regimes, (iii) MS2AR – a two-regime model with a switching intercept, variance, and autoregressive (AR) term on the first lag of the vacancy rate, and (iii) MS3AR – a model similar to MS2AR but with three regimes. By comparing the fit of these four models, we can deduce whether the vacancy rate tends to switch between two or three regimes and whether an autoregressive component is necessary to control for persistence. It is useful to consider these alternative specifications in the framework outlined by equation (9a). The simple MS2 and MS3 models corresponds to equation (9a) while imposing </w:t>
      </w:r>
      <m:oMath>
        <m:sSub>
          <m:sSubPr>
            <m:ctrlPr>
              <w:rPr>
                <w:rFonts w:ascii="Cambria Math" w:eastAsia="Calibri" w:hAnsi="Cambria Math"/>
                <w:i/>
                <w:sz w:val="24"/>
                <w:szCs w:val="24"/>
              </w:rPr>
            </m:ctrlPr>
          </m:sSubPr>
          <m:e>
            <m:r>
              <w:rPr>
                <w:rFonts w:ascii="Cambria Math" w:eastAsia="Calibri" w:hAnsi="Cambria Math"/>
                <w:sz w:val="24"/>
                <w:szCs w:val="24"/>
              </w:rPr>
              <m:t>a</m:t>
            </m:r>
          </m:e>
          <m:sub>
            <m:r>
              <w:rPr>
                <w:rFonts w:ascii="Cambria Math" w:eastAsia="Calibri" w:hAnsi="Cambria Math"/>
                <w:sz w:val="24"/>
                <w:szCs w:val="24"/>
              </w:rPr>
              <m:t>s,t</m:t>
            </m:r>
          </m:sub>
        </m:sSub>
        <m:r>
          <w:rPr>
            <w:rFonts w:ascii="Cambria Math" w:eastAsia="Calibri"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b</m:t>
            </m:r>
          </m:e>
          <m:sub>
            <m:r>
              <w:rPr>
                <w:rFonts w:ascii="Cambria Math" w:eastAsia="Calibri" w:hAnsi="Cambria Math"/>
                <w:sz w:val="24"/>
                <w:szCs w:val="24"/>
              </w:rPr>
              <m:t>s,t</m:t>
            </m:r>
          </m:sub>
        </m:sSub>
        <m:r>
          <w:rPr>
            <w:rFonts w:ascii="Cambria Math" w:eastAsia="Calibri"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r>
          <w:rPr>
            <w:rFonts w:ascii="Cambria Math" w:eastAsia="Calibri"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d</m:t>
            </m:r>
          </m:e>
          <m:sub>
            <m:r>
              <w:rPr>
                <w:rFonts w:ascii="Cambria Math" w:eastAsia="Calibri" w:hAnsi="Cambria Math"/>
                <w:sz w:val="24"/>
                <w:szCs w:val="24"/>
              </w:rPr>
              <m:t>s,t</m:t>
            </m:r>
          </m:sub>
        </m:sSub>
        <m:r>
          <w:rPr>
            <w:rFonts w:ascii="Cambria Math" w:eastAsia="Calibri"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e</m:t>
            </m:r>
          </m:e>
          <m:sub>
            <m:r>
              <w:rPr>
                <w:rFonts w:ascii="Cambria Math" w:eastAsia="Calibri" w:hAnsi="Cambria Math"/>
                <w:sz w:val="24"/>
                <w:szCs w:val="24"/>
              </w:rPr>
              <m:t>s,t</m:t>
            </m:r>
          </m:sub>
        </m:sSub>
        <m:r>
          <w:rPr>
            <w:rFonts w:ascii="Cambria Math" w:eastAsia="Calibri" w:hAnsi="Cambria Math"/>
            <w:sz w:val="24"/>
            <w:szCs w:val="24"/>
          </w:rPr>
          <m:t xml:space="preserve">  and </m:t>
        </m:r>
        <m:sSub>
          <m:sSubPr>
            <m:ctrlPr>
              <w:rPr>
                <w:rFonts w:ascii="Cambria Math" w:eastAsia="Calibri" w:hAnsi="Cambria Math"/>
                <w:i/>
                <w:sz w:val="24"/>
                <w:szCs w:val="24"/>
              </w:rPr>
            </m:ctrlPr>
          </m:sSubPr>
          <m:e>
            <m:r>
              <w:rPr>
                <w:rFonts w:ascii="Cambria Math" w:eastAsia="Calibri" w:hAnsi="Cambria Math"/>
                <w:sz w:val="24"/>
                <w:szCs w:val="24"/>
              </w:rPr>
              <m:t>f</m:t>
            </m:r>
          </m:e>
          <m:sub>
            <m:r>
              <w:rPr>
                <w:rFonts w:ascii="Cambria Math" w:eastAsia="Calibri" w:hAnsi="Cambria Math"/>
                <w:sz w:val="24"/>
                <w:szCs w:val="24"/>
              </w:rPr>
              <m:t>s,t</m:t>
            </m:r>
          </m:sub>
        </m:sSub>
      </m:oMath>
      <w:r w:rsidRPr="00B50F1D">
        <w:rPr>
          <w:rFonts w:eastAsia="Calibri"/>
          <w:sz w:val="24"/>
          <w:szCs w:val="24"/>
        </w:rPr>
        <w:t xml:space="preserve"> to equal vectors of zeros. The MS2AR and MS3AR models are similarly </w:t>
      </w:r>
      <w:proofErr w:type="gramStart"/>
      <w:r w:rsidRPr="00B50F1D">
        <w:rPr>
          <w:rFonts w:eastAsia="Calibri"/>
          <w:sz w:val="24"/>
          <w:szCs w:val="24"/>
        </w:rPr>
        <w:t>structured</w:t>
      </w:r>
      <w:r w:rsidR="002B0FEC">
        <w:rPr>
          <w:rFonts w:eastAsia="Calibri"/>
          <w:sz w:val="24"/>
          <w:szCs w:val="24"/>
        </w:rPr>
        <w:t>,</w:t>
      </w:r>
      <w:r w:rsidRPr="00B50F1D">
        <w:rPr>
          <w:rFonts w:eastAsia="Calibri"/>
          <w:sz w:val="24"/>
          <w:szCs w:val="24"/>
        </w:rPr>
        <w:t xml:space="preserve"> but</w:t>
      </w:r>
      <w:proofErr w:type="gramEnd"/>
      <w:r w:rsidRPr="00B50F1D">
        <w:rPr>
          <w:rFonts w:eastAsia="Calibri"/>
          <w:sz w:val="24"/>
          <w:szCs w:val="24"/>
        </w:rPr>
        <w:t xml:space="preserve"> allow the lagged vacancy rate in the one region (i.e., the U.S.) to affect the current vacancy rate. This is equivalent to assuming the parameters other than </w:t>
      </w:r>
      <m:oMath>
        <m:sSub>
          <m:sSubPr>
            <m:ctrlPr>
              <w:rPr>
                <w:rFonts w:ascii="Cambria Math" w:eastAsia="Calibri" w:hAnsi="Cambria Math"/>
                <w:i/>
                <w:sz w:val="24"/>
                <w:szCs w:val="24"/>
              </w:rPr>
            </m:ctrlPr>
          </m:sSubPr>
          <m:e>
            <m:r>
              <w:rPr>
                <w:rFonts w:ascii="Cambria Math" w:eastAsia="Calibri" w:hAnsi="Cambria Math"/>
                <w:sz w:val="24"/>
                <w:szCs w:val="24"/>
              </w:rPr>
              <m:t>a</m:t>
            </m:r>
          </m:e>
          <m:sub>
            <m:r>
              <w:rPr>
                <w:rFonts w:ascii="Cambria Math" w:eastAsia="Calibri" w:hAnsi="Cambria Math"/>
                <w:sz w:val="24"/>
                <w:szCs w:val="24"/>
              </w:rPr>
              <m:t>s,t</m:t>
            </m:r>
          </m:sub>
        </m:sSub>
      </m:oMath>
      <w:r w:rsidRPr="00B50F1D">
        <w:rPr>
          <w:rFonts w:eastAsia="Calibri"/>
          <w:sz w:val="24"/>
          <w:szCs w:val="24"/>
        </w:rPr>
        <w:t xml:space="preserve"> in (9a) are all set to zero.</w:t>
      </w:r>
    </w:p>
    <w:p w14:paraId="4DA77C75" w14:textId="77777777"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Table 1 displays the estimation results for each univariate model of the U.S. vacancy rate. For each model, we show the average vacancy rate in each regime (along with its associated posterior standard deviation), the variance in each regime, the persistence probability and expected duration of each regime, and standard model fit statistics.</w:t>
      </w:r>
      <w:r w:rsidRPr="00B50F1D">
        <w:rPr>
          <w:rFonts w:eastAsia="Calibri"/>
          <w:sz w:val="24"/>
          <w:szCs w:val="24"/>
          <w:vertAlign w:val="superscript"/>
        </w:rPr>
        <w:footnoteReference w:id="14"/>
      </w:r>
      <w:r w:rsidRPr="00B50F1D">
        <w:rPr>
          <w:rFonts w:eastAsia="Calibri"/>
          <w:sz w:val="24"/>
          <w:szCs w:val="24"/>
        </w:rPr>
        <w:t xml:space="preserve"> Throughout the paper, regime 1 is the low vacancy regime and regime 2 is the relatively higher vacancy regime. For the three-regime models, regime 1 has the lowest average vacancy rate, regime 3 has the highest, and regime 2 is between the two extremes. </w:t>
      </w:r>
    </w:p>
    <w:p w14:paraId="15B27E9A" w14:textId="5F2E4F76" w:rsidR="00586BBD" w:rsidRDefault="00B50F1D" w:rsidP="00B50F1D">
      <w:pPr>
        <w:spacing w:after="200" w:line="276" w:lineRule="auto"/>
        <w:ind w:firstLine="720"/>
        <w:rPr>
          <w:rFonts w:eastAsia="Calibri"/>
          <w:sz w:val="24"/>
          <w:szCs w:val="24"/>
        </w:rPr>
      </w:pPr>
      <w:r w:rsidRPr="00B50F1D">
        <w:rPr>
          <w:rFonts w:eastAsia="Calibri"/>
          <w:sz w:val="24"/>
          <w:szCs w:val="24"/>
        </w:rPr>
        <w:t xml:space="preserve">The first column of Table 1 outlines the simplest model, MS2. Under this specification, the low-vacancy rate </w:t>
      </w:r>
      <w:r w:rsidR="00586BBD">
        <w:rPr>
          <w:rFonts w:eastAsia="Calibri"/>
          <w:sz w:val="24"/>
          <w:szCs w:val="24"/>
        </w:rPr>
        <w:t xml:space="preserve">estimate </w:t>
      </w:r>
      <w:r w:rsidRPr="00B50F1D">
        <w:rPr>
          <w:rFonts w:eastAsia="Calibri"/>
          <w:sz w:val="24"/>
          <w:szCs w:val="24"/>
        </w:rPr>
        <w:t>for the United States is 1.43 percent, while the high-vacancy rate is 2.33 percent. Additionally, the 95% highest posterior density intervals for the intercepts do not overlap, allowing us to conclude that the regimes are well-</w:t>
      </w:r>
      <w:proofErr w:type="gramStart"/>
      <w:r w:rsidRPr="00B50F1D">
        <w:rPr>
          <w:rFonts w:eastAsia="Calibri"/>
          <w:sz w:val="24"/>
          <w:szCs w:val="24"/>
        </w:rPr>
        <w:t>identified</w:t>
      </w:r>
      <w:proofErr w:type="gramEnd"/>
      <w:r w:rsidRPr="00B50F1D">
        <w:rPr>
          <w:rFonts w:eastAsia="Calibri"/>
          <w:sz w:val="24"/>
          <w:szCs w:val="24"/>
        </w:rPr>
        <w:t xml:space="preserve"> and the average vacancy </w:t>
      </w:r>
      <w:r w:rsidRPr="00B50F1D">
        <w:rPr>
          <w:rFonts w:eastAsia="Calibri"/>
          <w:sz w:val="24"/>
          <w:szCs w:val="24"/>
        </w:rPr>
        <w:lastRenderedPageBreak/>
        <w:t>rate is substantially higher in regime 2 relative to regime 1. Regime 1 can also be characterized as the relatively low volatility regime as the variance of the vacancy rate is considerably lower than under regime 2.</w:t>
      </w:r>
      <w:r w:rsidRPr="00B50F1D">
        <w:rPr>
          <w:rFonts w:eastAsia="Calibri"/>
          <w:sz w:val="24"/>
          <w:szCs w:val="24"/>
          <w:vertAlign w:val="superscript"/>
        </w:rPr>
        <w:footnoteReference w:id="15"/>
      </w:r>
    </w:p>
    <w:p w14:paraId="2D5E6188" w14:textId="1C7A96A2"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 As can be seen by the estimates of p</w:t>
      </w:r>
      <w:r w:rsidRPr="00B50F1D">
        <w:rPr>
          <w:rFonts w:eastAsia="Calibri"/>
          <w:sz w:val="24"/>
          <w:szCs w:val="24"/>
          <w:vertAlign w:val="subscript"/>
        </w:rPr>
        <w:t>11</w:t>
      </w:r>
      <w:r w:rsidRPr="00B50F1D">
        <w:rPr>
          <w:rFonts w:eastAsia="Calibri"/>
          <w:sz w:val="24"/>
          <w:szCs w:val="24"/>
        </w:rPr>
        <w:t xml:space="preserve"> and p</w:t>
      </w:r>
      <w:r w:rsidRPr="00B50F1D">
        <w:rPr>
          <w:rFonts w:eastAsia="Calibri"/>
          <w:sz w:val="24"/>
          <w:szCs w:val="24"/>
          <w:vertAlign w:val="subscript"/>
        </w:rPr>
        <w:t>21</w:t>
      </w:r>
      <w:r w:rsidRPr="00B50F1D">
        <w:rPr>
          <w:rFonts w:eastAsia="Calibri"/>
          <w:sz w:val="24"/>
          <w:szCs w:val="24"/>
        </w:rPr>
        <w:t>, both regimes are highly persistent.  If the United States is currently in regime 1, the low-vacancy regime, the probability of remaining in regime 1 is 99 percent. Similarly, if the United States is currently in regime 2, the high-vacancy regime, the probability of remaining in regime 2 is slightly lower at 97 percent. An alternative way to look at the transition probabilities is through the expected duration of a given regime. This calculation provides us with the answer to the intuitive question of, “how long will this regime last” (on average). The low vacancy regime, regime 1, has an average phase of 14</w:t>
      </w:r>
      <w:r w:rsidR="00E25EAD">
        <w:rPr>
          <w:rFonts w:eastAsia="Calibri"/>
          <w:sz w:val="24"/>
          <w:szCs w:val="24"/>
        </w:rPr>
        <w:t>3</w:t>
      </w:r>
      <w:r w:rsidRPr="00B50F1D">
        <w:rPr>
          <w:rFonts w:eastAsia="Calibri"/>
          <w:sz w:val="24"/>
          <w:szCs w:val="24"/>
        </w:rPr>
        <w:t xml:space="preserve"> quarters, while the high vacancy regime lasts for 30 quarters on average.  </w:t>
      </w:r>
    </w:p>
    <w:p w14:paraId="18D06DC2" w14:textId="5D547B70" w:rsidR="00B50F1D" w:rsidRPr="00B50F1D" w:rsidRDefault="00B50F1D" w:rsidP="00B50F1D">
      <w:pPr>
        <w:spacing w:after="200" w:line="276" w:lineRule="auto"/>
        <w:ind w:firstLine="720"/>
        <w:rPr>
          <w:rFonts w:eastAsia="Calibri"/>
          <w:sz w:val="24"/>
          <w:szCs w:val="24"/>
        </w:rPr>
      </w:pPr>
      <w:r w:rsidRPr="0060702A">
        <w:rPr>
          <w:rFonts w:eastAsia="Calibri"/>
          <w:sz w:val="24"/>
          <w:szCs w:val="24"/>
        </w:rPr>
        <w:t xml:space="preserve">Figure </w:t>
      </w:r>
      <w:r w:rsidR="00C20D13" w:rsidRPr="00915D62">
        <w:rPr>
          <w:rFonts w:eastAsia="Calibri"/>
          <w:sz w:val="24"/>
          <w:szCs w:val="24"/>
        </w:rPr>
        <w:t>2</w:t>
      </w:r>
      <w:r w:rsidRPr="00ED0A7D">
        <w:rPr>
          <w:rFonts w:eastAsia="Calibri"/>
          <w:sz w:val="24"/>
          <w:szCs w:val="24"/>
        </w:rPr>
        <w:t>(a)</w:t>
      </w:r>
      <w:r w:rsidRPr="00B50F1D">
        <w:rPr>
          <w:rFonts w:eastAsia="Calibri"/>
          <w:sz w:val="24"/>
          <w:szCs w:val="24"/>
        </w:rPr>
        <w:t xml:space="preserve"> shows the actual vacancy rates compared with the predicted vacancy rate from the MS2 model.  Since the vacancy rate is only a function of the regime variable, the predicted vacancy rate changes only when there is an estimated change in regime</w:t>
      </w:r>
      <w:r w:rsidRPr="0060702A">
        <w:rPr>
          <w:rFonts w:eastAsia="Calibri"/>
          <w:sz w:val="24"/>
          <w:szCs w:val="24"/>
        </w:rPr>
        <w:t>.  F</w:t>
      </w:r>
      <w:r w:rsidRPr="00915D62">
        <w:rPr>
          <w:rFonts w:eastAsia="Calibri"/>
          <w:sz w:val="24"/>
          <w:szCs w:val="24"/>
        </w:rPr>
        <w:t xml:space="preserve">igure </w:t>
      </w:r>
      <w:r w:rsidR="00C20D13" w:rsidRPr="00ED0A7D">
        <w:rPr>
          <w:rFonts w:eastAsia="Calibri"/>
          <w:sz w:val="24"/>
          <w:szCs w:val="24"/>
        </w:rPr>
        <w:t>2</w:t>
      </w:r>
      <w:r w:rsidRPr="00ED0A7D">
        <w:rPr>
          <w:rFonts w:eastAsia="Calibri"/>
          <w:sz w:val="24"/>
          <w:szCs w:val="24"/>
        </w:rPr>
        <w:t>(b)</w:t>
      </w:r>
      <w:r w:rsidRPr="00B50F1D">
        <w:rPr>
          <w:rFonts w:eastAsia="Calibri"/>
          <w:sz w:val="24"/>
          <w:szCs w:val="24"/>
        </w:rPr>
        <w:t xml:space="preserve"> shows the posterior probability of when the United States was in either the low vacancy regime or high vacancy regime. These estimated probabilities suggest that the United States has been in a low vacancy regime for the entirety of the sample besides the Great Recession/Financial Crisis. Intuitively, the MS2 model wants to fit the data during this period since the vacancy rate is considerably higher than other periods in the time sample. </w:t>
      </w:r>
    </w:p>
    <w:p w14:paraId="0F0F6CAB" w14:textId="0D105BB8"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The regime timing results from the MS2 model beg the question if two regimes are sufficient to capture the switching dynamics of the aggregate vacancy rate. In the second column of Table 1, we present the posterior estimates for the MS3 model. Based on the standard model fit statistics, the MS3 model fits the data better than the MS2 model implying that three regimes are necessary to describe the U.S. vacancy rate</w:t>
      </w:r>
      <w:r w:rsidRPr="0060702A">
        <w:rPr>
          <w:rFonts w:eastAsia="Calibri"/>
          <w:sz w:val="24"/>
          <w:szCs w:val="24"/>
        </w:rPr>
        <w:t xml:space="preserve">. Figure </w:t>
      </w:r>
      <w:r w:rsidR="00C20D13" w:rsidRPr="00915D62">
        <w:rPr>
          <w:rFonts w:eastAsia="Calibri"/>
          <w:sz w:val="24"/>
          <w:szCs w:val="24"/>
        </w:rPr>
        <w:t>3</w:t>
      </w:r>
      <w:r w:rsidRPr="00C75540">
        <w:rPr>
          <w:rFonts w:eastAsia="Calibri"/>
          <w:sz w:val="24"/>
          <w:szCs w:val="24"/>
        </w:rPr>
        <w:t>(a)</w:t>
      </w:r>
      <w:r w:rsidRPr="00B50F1D">
        <w:rPr>
          <w:rFonts w:eastAsia="Calibri"/>
          <w:sz w:val="24"/>
          <w:szCs w:val="24"/>
        </w:rPr>
        <w:t xml:space="preserve"> shows the actual and predicted vacancy rate based on the MS3 model and reinforces the better fit of the model relative to the MS2 model.  Regime 1 has the lowest mean vacancy rate (1.16), regime 3 has the highest (2.47), while regime 2 is the intermediate case (1.64). Regime 3 also has a substantially higher variance than regime 1 or 2, implying it matches well with the high vacancy regime from the MS2 model as both are characterized by a higher degree of volatility. The expected duration of regime 1 and regime 2 are similar (31 quarters and 35 quarters, respectively), while the high vacancy regime has a considerably shorter duration (18 quarters).</w:t>
      </w:r>
    </w:p>
    <w:p w14:paraId="5DC890A5" w14:textId="3EFD7985"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Figure </w:t>
      </w:r>
      <w:r w:rsidR="00C20D13">
        <w:rPr>
          <w:rFonts w:eastAsia="Calibri"/>
          <w:sz w:val="24"/>
          <w:szCs w:val="24"/>
        </w:rPr>
        <w:t>3</w:t>
      </w:r>
      <w:r w:rsidRPr="00B50F1D">
        <w:rPr>
          <w:rFonts w:eastAsia="Calibri"/>
          <w:sz w:val="24"/>
          <w:szCs w:val="24"/>
        </w:rPr>
        <w:t xml:space="preserve">(b) displays the estimated timing of each regime across the entire sample. The United States is in </w:t>
      </w:r>
      <w:r w:rsidR="00E25EAD">
        <w:rPr>
          <w:rFonts w:eastAsia="Calibri"/>
          <w:sz w:val="24"/>
          <w:szCs w:val="24"/>
        </w:rPr>
        <w:t>r</w:t>
      </w:r>
      <w:r w:rsidRPr="00B50F1D">
        <w:rPr>
          <w:rFonts w:eastAsia="Calibri"/>
          <w:sz w:val="24"/>
          <w:szCs w:val="24"/>
        </w:rPr>
        <w:t xml:space="preserve">egime 1, the low vacancy regime, during the late 1950s, the late 1960s through the 1970s, and in the very recent past (2019). Regime 2, the intermediate regime, dominated the early 1960s, the 1980s through 2005, and late 2010s.  </w:t>
      </w:r>
      <w:proofErr w:type="gramStart"/>
      <w:r w:rsidRPr="00B50F1D">
        <w:rPr>
          <w:rFonts w:eastAsia="Calibri"/>
          <w:sz w:val="24"/>
          <w:szCs w:val="24"/>
        </w:rPr>
        <w:t>Similar to</w:t>
      </w:r>
      <w:proofErr w:type="gramEnd"/>
      <w:r w:rsidRPr="00B50F1D">
        <w:rPr>
          <w:rFonts w:eastAsia="Calibri"/>
          <w:sz w:val="24"/>
          <w:szCs w:val="24"/>
        </w:rPr>
        <w:t xml:space="preserve"> the high vacancy </w:t>
      </w:r>
      <w:r w:rsidRPr="00B50F1D">
        <w:rPr>
          <w:rFonts w:eastAsia="Calibri"/>
          <w:sz w:val="24"/>
          <w:szCs w:val="24"/>
        </w:rPr>
        <w:lastRenderedPageBreak/>
        <w:t xml:space="preserve">regime in the MS2 model, </w:t>
      </w:r>
      <w:r w:rsidR="00E25EAD">
        <w:rPr>
          <w:rFonts w:eastAsia="Calibri"/>
          <w:sz w:val="24"/>
          <w:szCs w:val="24"/>
        </w:rPr>
        <w:t>r</w:t>
      </w:r>
      <w:r w:rsidRPr="00B50F1D">
        <w:rPr>
          <w:rFonts w:eastAsia="Calibri"/>
          <w:sz w:val="24"/>
          <w:szCs w:val="24"/>
        </w:rPr>
        <w:t xml:space="preserve">egime 3 from the MS3 model is only active during the extended Great Recession period. Note that, besides the Great Recession, there is no apparent </w:t>
      </w:r>
      <w:proofErr w:type="spellStart"/>
      <w:r w:rsidRPr="00B50F1D">
        <w:rPr>
          <w:rFonts w:eastAsia="Calibri"/>
          <w:sz w:val="24"/>
          <w:szCs w:val="24"/>
        </w:rPr>
        <w:t>comovement</w:t>
      </w:r>
      <w:proofErr w:type="spellEnd"/>
      <w:r w:rsidRPr="00B50F1D">
        <w:rPr>
          <w:rFonts w:eastAsia="Calibri"/>
          <w:sz w:val="24"/>
          <w:szCs w:val="24"/>
        </w:rPr>
        <w:t xml:space="preserve"> of any of the three regimes with the aggregate business cycle as reflected by the recession dating provided by the National Bureau of Economic Research (NBER).</w:t>
      </w:r>
    </w:p>
    <w:p w14:paraId="7261F071" w14:textId="77777777"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The MS2 and MS3 models previously discussed do not consider that there may be an AR component to the vacancy rate.  The third column of Table 3 outlines the estimation results for the MS2AR model that allows for regime switches, while also including a single AR term (i.e., the first lag of the U.S. vacancy rate </w:t>
      </w:r>
      <m:oMath>
        <m:r>
          <w:rPr>
            <w:rFonts w:ascii="Cambria Math" w:eastAsia="Calibri" w:hAnsi="Cambria Math"/>
            <w:sz w:val="24"/>
            <w:szCs w:val="24"/>
          </w:rPr>
          <m:t>U</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t-1</m:t>
            </m:r>
          </m:sub>
        </m:sSub>
      </m:oMath>
      <w:r w:rsidRPr="00B50F1D">
        <w:rPr>
          <w:rFonts w:eastAsia="Calibri"/>
          <w:sz w:val="24"/>
          <w:szCs w:val="24"/>
        </w:rPr>
        <w:t xml:space="preserve">).  The MS2AR model improves the in-sample fit compared to the MS3 </w:t>
      </w:r>
      <w:proofErr w:type="gramStart"/>
      <w:r w:rsidRPr="00B50F1D">
        <w:rPr>
          <w:rFonts w:eastAsia="Calibri"/>
          <w:sz w:val="24"/>
          <w:szCs w:val="24"/>
        </w:rPr>
        <w:t>model, and</w:t>
      </w:r>
      <w:proofErr w:type="gramEnd"/>
      <w:r w:rsidRPr="00B50F1D">
        <w:rPr>
          <w:rFonts w:eastAsia="Calibri"/>
          <w:sz w:val="24"/>
          <w:szCs w:val="24"/>
        </w:rPr>
        <w:t xml:space="preserve"> turns out to be the best description of the data for all four univariate models considered.  The inclusion of the AR term is justified by the relatively high coefficient on the first lag of the vacancy rate across both regimes. Regime 1 is characterized by a relatively higher AR coefficient than regime 2, but we do not find a substantial difference across regimes for this parameter as their posterior coverage intervals overlap.  Despite the estimated difference in the constant parameter across regimes, the two regimes have similar steady-state vacancy rates.  However, regime 2 does have a notably higher variance than regime 1.</w:t>
      </w:r>
    </w:p>
    <w:p w14:paraId="32520B79" w14:textId="1DFFE6D1"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Figure </w:t>
      </w:r>
      <w:r w:rsidR="00C75540">
        <w:rPr>
          <w:rFonts w:eastAsia="Calibri"/>
          <w:sz w:val="24"/>
          <w:szCs w:val="24"/>
        </w:rPr>
        <w:t>4</w:t>
      </w:r>
      <w:r w:rsidRPr="00B50F1D">
        <w:rPr>
          <w:rFonts w:eastAsia="Calibri"/>
          <w:sz w:val="24"/>
          <w:szCs w:val="24"/>
        </w:rPr>
        <w:t xml:space="preserve">(a) shows the predicted U.S. vacancy rate from the MS2AR model and the improved fit of the actual vacancy rate is stark.  The estimated regime probabilities in Figure </w:t>
      </w:r>
      <w:r w:rsidR="00C75540">
        <w:rPr>
          <w:rFonts w:eastAsia="Calibri"/>
          <w:sz w:val="24"/>
          <w:szCs w:val="24"/>
        </w:rPr>
        <w:t>4</w:t>
      </w:r>
      <w:r w:rsidRPr="00B50F1D">
        <w:rPr>
          <w:rFonts w:eastAsia="Calibri"/>
          <w:sz w:val="24"/>
          <w:szCs w:val="24"/>
        </w:rPr>
        <w:t>(b) however show that the regimes are relatively less identified compared to the MS2 or MS3 models. This result implies that perhaps the MS3 model is better for regime identification, whereas the MS2AR model is preferred for overall fit.</w:t>
      </w:r>
    </w:p>
    <w:p w14:paraId="108EF481" w14:textId="7D469918"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The last column of Table 1 and Figure </w:t>
      </w:r>
      <w:r w:rsidR="00C75540">
        <w:rPr>
          <w:rFonts w:eastAsia="Calibri"/>
          <w:sz w:val="24"/>
          <w:szCs w:val="24"/>
        </w:rPr>
        <w:t>5</w:t>
      </w:r>
      <w:r w:rsidRPr="00B50F1D">
        <w:rPr>
          <w:rFonts w:eastAsia="Calibri"/>
          <w:sz w:val="24"/>
          <w:szCs w:val="24"/>
        </w:rPr>
        <w:t xml:space="preserve"> present the estimation results for the MS3AR model. This model does not outperform the less sophisticated MS2AR by the standard fit statistics; however, it does better than either the MS2 or MS3 models and reinforces the importance of including the lagged term.  </w:t>
      </w:r>
      <w:proofErr w:type="gramStart"/>
      <w:r w:rsidRPr="00B50F1D">
        <w:rPr>
          <w:rFonts w:eastAsia="Calibri"/>
          <w:sz w:val="24"/>
          <w:szCs w:val="24"/>
        </w:rPr>
        <w:t>Similar to</w:t>
      </w:r>
      <w:proofErr w:type="gramEnd"/>
      <w:r w:rsidRPr="00B50F1D">
        <w:rPr>
          <w:rFonts w:eastAsia="Calibri"/>
          <w:sz w:val="24"/>
          <w:szCs w:val="24"/>
        </w:rPr>
        <w:t xml:space="preserve"> the MS2AR model, the estimated regime timing from the MS3AR model are less intuitive compared to those from the MS3 model.  Therefore, we conclude that the U.S. vacancy rate is overall best described by a model with two regimes and an AR component but the simpler MS3 model offers useful insights into regime timing.</w:t>
      </w:r>
    </w:p>
    <w:p w14:paraId="5746C0A5" w14:textId="77777777" w:rsidR="00B50F1D" w:rsidRPr="00B50F1D" w:rsidRDefault="00B50F1D" w:rsidP="00B50F1D">
      <w:pPr>
        <w:spacing w:after="200" w:line="276" w:lineRule="auto"/>
        <w:rPr>
          <w:rFonts w:eastAsia="Calibri"/>
          <w:i/>
          <w:sz w:val="24"/>
          <w:szCs w:val="24"/>
        </w:rPr>
      </w:pPr>
      <w:r w:rsidRPr="00B50F1D">
        <w:rPr>
          <w:rFonts w:eastAsia="Calibri"/>
          <w:i/>
          <w:sz w:val="24"/>
          <w:szCs w:val="24"/>
        </w:rPr>
        <w:t>Region-Specific Models</w:t>
      </w:r>
    </w:p>
    <w:p w14:paraId="5059543B" w14:textId="25CA5F45"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This section considers the same four univariate regime-switching models from the previous </w:t>
      </w:r>
      <w:proofErr w:type="gramStart"/>
      <w:r w:rsidRPr="00B50F1D">
        <w:rPr>
          <w:rFonts w:eastAsia="Calibri"/>
          <w:sz w:val="24"/>
          <w:szCs w:val="24"/>
        </w:rPr>
        <w:t>section, but</w:t>
      </w:r>
      <w:proofErr w:type="gramEnd"/>
      <w:r w:rsidRPr="00B50F1D">
        <w:rPr>
          <w:rFonts w:eastAsia="Calibri"/>
          <w:sz w:val="24"/>
          <w:szCs w:val="24"/>
        </w:rPr>
        <w:t xml:space="preserve"> applies them to the four</w:t>
      </w:r>
      <w:r w:rsidR="00774600">
        <w:rPr>
          <w:rFonts w:eastAsia="Calibri"/>
          <w:sz w:val="24"/>
          <w:szCs w:val="24"/>
        </w:rPr>
        <w:t xml:space="preserve"> U.S.</w:t>
      </w:r>
      <w:r w:rsidRPr="00B50F1D">
        <w:rPr>
          <w:rFonts w:eastAsia="Calibri"/>
          <w:sz w:val="24"/>
          <w:szCs w:val="24"/>
        </w:rPr>
        <w:t xml:space="preserve"> Census regions: South, Northeast, Midwest, and West. Tables 2 through 5 display the parameter estimates for each model applied to the four regions.  Generally, the results for the regional vacancy rates qualitatively mimic the results for the aggregate vacancy rate.  The model with two regimes and an AR component (the MS2AR model) fits the data the best for all four regions. The MS3AR is second best for each region, but the regime timing from the MS3 model is more intuitive, in our opinion. Thus, we focus our </w:t>
      </w:r>
      <w:r w:rsidRPr="00B50F1D">
        <w:rPr>
          <w:rFonts w:eastAsia="Calibri"/>
          <w:sz w:val="24"/>
          <w:szCs w:val="24"/>
        </w:rPr>
        <w:lastRenderedPageBreak/>
        <w:t xml:space="preserve">discussion in this section on the MS3 model specification for ease of interpretation. The dominance of the MS2AR model motivates the MS-VAR </w:t>
      </w:r>
      <w:r w:rsidR="003B562D">
        <w:rPr>
          <w:rFonts w:eastAsia="Calibri"/>
          <w:sz w:val="24"/>
          <w:szCs w:val="24"/>
        </w:rPr>
        <w:t xml:space="preserve">models </w:t>
      </w:r>
      <w:r w:rsidRPr="00B50F1D">
        <w:rPr>
          <w:rFonts w:eastAsia="Calibri"/>
          <w:sz w:val="24"/>
          <w:szCs w:val="24"/>
        </w:rPr>
        <w:t>considered in the next section.</w:t>
      </w:r>
    </w:p>
    <w:p w14:paraId="0E01308E" w14:textId="1D2BB823"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The second column of Table </w:t>
      </w:r>
      <w:r w:rsidR="009D5049">
        <w:rPr>
          <w:rFonts w:eastAsia="Calibri"/>
          <w:sz w:val="24"/>
          <w:szCs w:val="24"/>
        </w:rPr>
        <w:t>2</w:t>
      </w:r>
      <w:r w:rsidRPr="00B50F1D">
        <w:rPr>
          <w:rFonts w:eastAsia="Calibri"/>
          <w:sz w:val="24"/>
          <w:szCs w:val="24"/>
        </w:rPr>
        <w:t xml:space="preserve"> contains the parameter estimates for the MS3 model applied to the South vacancy rate.  Compared to the U.S. vacancy regimes, the South regimes have higher average vacancy rates. In addition, the South experiences a higher degree of volatility as the variance parameter is larger across all three regimes compared to the U.S.  The South vacancy rate tends to switch marginally more often between regimes, as indicated by the shorter expected duration across regimes.  Figure </w:t>
      </w:r>
      <w:r w:rsidR="00ED0A7D">
        <w:rPr>
          <w:rFonts w:eastAsia="Calibri"/>
          <w:sz w:val="24"/>
          <w:szCs w:val="24"/>
        </w:rPr>
        <w:t>6</w:t>
      </w:r>
      <w:r w:rsidRPr="00B50F1D">
        <w:rPr>
          <w:rFonts w:eastAsia="Calibri"/>
          <w:sz w:val="24"/>
          <w:szCs w:val="24"/>
        </w:rPr>
        <w:t>(a) shows that the estimated regime timing matches quite well with the estimated regimes for the United States. The only marked difference is the South’s transient shift to the low vacancy regime in the early 1990s, whereas the United States vacancy rate stays in the intermediate regime.</w:t>
      </w:r>
    </w:p>
    <w:p w14:paraId="5EB0783F" w14:textId="68BE5633"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In the second column of Table </w:t>
      </w:r>
      <w:r w:rsidR="009D5049">
        <w:rPr>
          <w:rFonts w:eastAsia="Calibri"/>
          <w:sz w:val="24"/>
          <w:szCs w:val="24"/>
        </w:rPr>
        <w:t>3</w:t>
      </w:r>
      <w:r w:rsidRPr="00B50F1D">
        <w:rPr>
          <w:rFonts w:eastAsia="Calibri"/>
          <w:sz w:val="24"/>
          <w:szCs w:val="24"/>
        </w:rPr>
        <w:t>, we provide the MS3 parameter estimates for the North</w:t>
      </w:r>
      <w:r w:rsidR="009D5049">
        <w:rPr>
          <w:rFonts w:eastAsia="Calibri"/>
          <w:sz w:val="24"/>
          <w:szCs w:val="24"/>
        </w:rPr>
        <w:t>ea</w:t>
      </w:r>
      <w:r w:rsidRPr="00B50F1D">
        <w:rPr>
          <w:rFonts w:eastAsia="Calibri"/>
          <w:sz w:val="24"/>
          <w:szCs w:val="24"/>
        </w:rPr>
        <w:t>st vacancy rate.  In contrast to the results for the South, the Northeast has a lower mean vacancy rate across all three regimes compared to the aggregate vacancy rate.  Additionally, the low and high regimes for the Northeast have relatively lower variance than the corresponding U.S. regimes; the intermediate regimes have similar volatilities</w:t>
      </w:r>
      <w:r w:rsidR="005D6EE1">
        <w:rPr>
          <w:rFonts w:eastAsia="Calibri"/>
          <w:sz w:val="24"/>
          <w:szCs w:val="24"/>
        </w:rPr>
        <w:t xml:space="preserve"> than the corresponding U.S. regimes,</w:t>
      </w:r>
      <w:r w:rsidRPr="00B50F1D">
        <w:rPr>
          <w:rFonts w:eastAsia="Calibri"/>
          <w:sz w:val="24"/>
          <w:szCs w:val="24"/>
        </w:rPr>
        <w:t xml:space="preserve"> though the Northeast </w:t>
      </w:r>
      <w:r w:rsidR="000005CA">
        <w:rPr>
          <w:rFonts w:eastAsia="Calibri"/>
          <w:sz w:val="24"/>
          <w:szCs w:val="24"/>
        </w:rPr>
        <w:t>has a higher</w:t>
      </w:r>
      <w:r w:rsidRPr="00B50F1D">
        <w:rPr>
          <w:rFonts w:eastAsia="Calibri"/>
          <w:sz w:val="24"/>
          <w:szCs w:val="24"/>
        </w:rPr>
        <w:t xml:space="preserve"> </w:t>
      </w:r>
      <w:r w:rsidR="000005CA">
        <w:rPr>
          <w:rFonts w:eastAsia="Calibri"/>
          <w:sz w:val="24"/>
          <w:szCs w:val="24"/>
        </w:rPr>
        <w:t>intermediate regime volatility</w:t>
      </w:r>
      <w:r w:rsidRPr="00B50F1D">
        <w:rPr>
          <w:rFonts w:eastAsia="Calibri"/>
          <w:sz w:val="24"/>
          <w:szCs w:val="24"/>
        </w:rPr>
        <w:t xml:space="preserve">.  The expected duration of each regime for the Northeast is longer than the durations for the U.S. regimes. This result is reinforced by looking at the estimated regime timing for the Northeast in </w:t>
      </w:r>
      <w:r w:rsidR="00ED0A7D">
        <w:rPr>
          <w:rFonts w:eastAsia="Calibri"/>
          <w:sz w:val="24"/>
          <w:szCs w:val="24"/>
        </w:rPr>
        <w:t>F</w:t>
      </w:r>
      <w:r w:rsidRPr="00B50F1D">
        <w:rPr>
          <w:rFonts w:eastAsia="Calibri"/>
          <w:sz w:val="24"/>
          <w:szCs w:val="24"/>
        </w:rPr>
        <w:t xml:space="preserve">igure </w:t>
      </w:r>
      <w:r w:rsidR="00ED0A7D">
        <w:rPr>
          <w:rFonts w:eastAsia="Calibri"/>
          <w:sz w:val="24"/>
          <w:szCs w:val="24"/>
        </w:rPr>
        <w:t>6</w:t>
      </w:r>
      <w:r w:rsidRPr="00B50F1D">
        <w:rPr>
          <w:rFonts w:eastAsia="Calibri"/>
          <w:sz w:val="24"/>
          <w:szCs w:val="24"/>
        </w:rPr>
        <w:t xml:space="preserve">(b).  The Northeast vacancy rate experiences only three switches.  Starting in the low regime, the vacancy rate switches to the intermediate regime in the mid-1980s.  </w:t>
      </w:r>
      <w:proofErr w:type="gramStart"/>
      <w:r w:rsidRPr="00B50F1D">
        <w:rPr>
          <w:rFonts w:eastAsia="Calibri"/>
          <w:sz w:val="24"/>
          <w:szCs w:val="24"/>
        </w:rPr>
        <w:t>Similar to</w:t>
      </w:r>
      <w:proofErr w:type="gramEnd"/>
      <w:r w:rsidRPr="00B50F1D">
        <w:rPr>
          <w:rFonts w:eastAsia="Calibri"/>
          <w:sz w:val="24"/>
          <w:szCs w:val="24"/>
        </w:rPr>
        <w:t xml:space="preserve"> the aggregate vacancy rate, it switches to the high regime just prior to the Great Recession.  The Northeast vacancy rate stays in the high regime relatively longer and only recently switches back to the intermediate regime.  The Northeast is the only vacancy rate that is not currently estimated to be in the low regime based on the MS3 model. However, there has been a recent uptick in the probability of the low regime </w:t>
      </w:r>
      <w:r w:rsidR="00586BBD">
        <w:rPr>
          <w:rFonts w:eastAsia="Calibri"/>
          <w:sz w:val="24"/>
          <w:szCs w:val="24"/>
        </w:rPr>
        <w:t>that</w:t>
      </w:r>
      <w:r w:rsidRPr="00B50F1D">
        <w:rPr>
          <w:rFonts w:eastAsia="Calibri"/>
          <w:sz w:val="24"/>
          <w:szCs w:val="24"/>
        </w:rPr>
        <w:t xml:space="preserve"> could </w:t>
      </w:r>
      <w:proofErr w:type="gramStart"/>
      <w:r w:rsidRPr="00B50F1D">
        <w:rPr>
          <w:rFonts w:eastAsia="Calibri"/>
          <w:sz w:val="24"/>
          <w:szCs w:val="24"/>
        </w:rPr>
        <w:t>continue into the future</w:t>
      </w:r>
      <w:proofErr w:type="gramEnd"/>
      <w:r w:rsidRPr="00B50F1D">
        <w:rPr>
          <w:rFonts w:eastAsia="Calibri"/>
          <w:sz w:val="24"/>
          <w:szCs w:val="24"/>
        </w:rPr>
        <w:t>.</w:t>
      </w:r>
    </w:p>
    <w:p w14:paraId="3301FFB9" w14:textId="68FDCD39"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The MS3 estimation results for the Midwest vacancy rate are given in the second column of Table </w:t>
      </w:r>
      <w:r w:rsidR="009D5049">
        <w:rPr>
          <w:rFonts w:eastAsia="Calibri"/>
          <w:sz w:val="24"/>
          <w:szCs w:val="24"/>
        </w:rPr>
        <w:t>4</w:t>
      </w:r>
      <w:r w:rsidRPr="00B50F1D">
        <w:rPr>
          <w:rFonts w:eastAsia="Calibri"/>
          <w:sz w:val="24"/>
          <w:szCs w:val="24"/>
        </w:rPr>
        <w:t xml:space="preserve">.  The mean vacancy rate and variance parameters across regimes are </w:t>
      </w:r>
      <w:proofErr w:type="gramStart"/>
      <w:r w:rsidRPr="00B50F1D">
        <w:rPr>
          <w:rFonts w:eastAsia="Calibri"/>
          <w:sz w:val="24"/>
          <w:szCs w:val="24"/>
        </w:rPr>
        <w:t>similar to</w:t>
      </w:r>
      <w:proofErr w:type="gramEnd"/>
      <w:r w:rsidRPr="00B50F1D">
        <w:rPr>
          <w:rFonts w:eastAsia="Calibri"/>
          <w:sz w:val="24"/>
          <w:szCs w:val="24"/>
        </w:rPr>
        <w:t xml:space="preserve"> those for the entire United States. The notable exception is that the intermediate regime, regime 2, for the Midwest has a moderately higher volatility (0.25) than the United States as a whole (0.19).  The expected duration for the low regime is considerably higher for the Midwest (45 quarters) compared to U.S. aggregate low regime (31 quarters).  Conversely, the expected duration for the Midwest’s intermediate regime is substantially lower (17 quarters) to that of the nation’s (35 quarters).  The estimated timing of regimes for the Midwest is presented in </w:t>
      </w:r>
      <w:r w:rsidR="00ED0A7D">
        <w:rPr>
          <w:rFonts w:eastAsia="Calibri"/>
          <w:sz w:val="24"/>
          <w:szCs w:val="24"/>
        </w:rPr>
        <w:t>F</w:t>
      </w:r>
      <w:r w:rsidRPr="00B50F1D">
        <w:rPr>
          <w:rFonts w:eastAsia="Calibri"/>
          <w:sz w:val="24"/>
          <w:szCs w:val="24"/>
        </w:rPr>
        <w:t xml:space="preserve">igure </w:t>
      </w:r>
      <w:r w:rsidR="00ED0A7D">
        <w:rPr>
          <w:rFonts w:eastAsia="Calibri"/>
          <w:sz w:val="24"/>
          <w:szCs w:val="24"/>
        </w:rPr>
        <w:t>6</w:t>
      </w:r>
      <w:r w:rsidRPr="00B50F1D">
        <w:rPr>
          <w:rFonts w:eastAsia="Calibri"/>
          <w:sz w:val="24"/>
          <w:szCs w:val="24"/>
        </w:rPr>
        <w:t xml:space="preserve">(c).  In general, these regimes match the timing for the U.S. regimes with some minor differences.  The Midwest does not have a short-lived intermediate regime in the early 1960s as the nation’s vacancy rate does.  However, the Midwest vacancy rate does switch back to a low regime in the late 1980s until 2000.  </w:t>
      </w:r>
      <w:proofErr w:type="gramStart"/>
      <w:r w:rsidRPr="00B50F1D">
        <w:rPr>
          <w:rFonts w:eastAsia="Calibri"/>
          <w:sz w:val="24"/>
          <w:szCs w:val="24"/>
        </w:rPr>
        <w:t>Similar to</w:t>
      </w:r>
      <w:proofErr w:type="gramEnd"/>
      <w:r w:rsidRPr="00B50F1D">
        <w:rPr>
          <w:rFonts w:eastAsia="Calibri"/>
          <w:sz w:val="24"/>
          <w:szCs w:val="24"/>
        </w:rPr>
        <w:t xml:space="preserve"> the U.S. vacancy rate, the Great Recession period is the only </w:t>
      </w:r>
      <w:r w:rsidRPr="00B50F1D">
        <w:rPr>
          <w:rFonts w:eastAsia="Calibri"/>
          <w:sz w:val="24"/>
          <w:szCs w:val="24"/>
        </w:rPr>
        <w:lastRenderedPageBreak/>
        <w:t>high vacancy rate period for the Midwest, and in the wake switches to an intermediate regime and most recently the onset of a low regime.</w:t>
      </w:r>
    </w:p>
    <w:p w14:paraId="6EBC3931" w14:textId="6523EA13"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Finally, the second column of </w:t>
      </w:r>
      <w:r w:rsidR="009D5049">
        <w:rPr>
          <w:rFonts w:eastAsia="Calibri"/>
          <w:sz w:val="24"/>
          <w:szCs w:val="24"/>
        </w:rPr>
        <w:t>T</w:t>
      </w:r>
      <w:r w:rsidRPr="00B50F1D">
        <w:rPr>
          <w:rFonts w:eastAsia="Calibri"/>
          <w:sz w:val="24"/>
          <w:szCs w:val="24"/>
        </w:rPr>
        <w:t xml:space="preserve">able 5 provides the parameter estimates for the MS3 model applied to the West vacancy rate.  </w:t>
      </w:r>
      <w:proofErr w:type="gramStart"/>
      <w:r w:rsidRPr="00B50F1D">
        <w:rPr>
          <w:rFonts w:eastAsia="Calibri"/>
          <w:sz w:val="24"/>
          <w:szCs w:val="24"/>
        </w:rPr>
        <w:t>Similar to</w:t>
      </w:r>
      <w:proofErr w:type="gramEnd"/>
      <w:r w:rsidRPr="00B50F1D">
        <w:rPr>
          <w:rFonts w:eastAsia="Calibri"/>
          <w:sz w:val="24"/>
          <w:szCs w:val="24"/>
        </w:rPr>
        <w:t xml:space="preserve"> the Midwest region, the West vacancy rate parameters largely match the nations with a markedly high variance for regime 2.  The West experiences a higher number of switches across the time sample relative to the </w:t>
      </w:r>
      <w:proofErr w:type="gramStart"/>
      <w:r w:rsidRPr="00B50F1D">
        <w:rPr>
          <w:rFonts w:eastAsia="Calibri"/>
          <w:sz w:val="24"/>
          <w:szCs w:val="24"/>
        </w:rPr>
        <w:t>nation as a whole</w:t>
      </w:r>
      <w:r w:rsidR="004F73E4">
        <w:rPr>
          <w:rFonts w:eastAsia="Calibri"/>
          <w:sz w:val="24"/>
          <w:szCs w:val="24"/>
        </w:rPr>
        <w:t>,</w:t>
      </w:r>
      <w:r w:rsidRPr="00B50F1D">
        <w:rPr>
          <w:rFonts w:eastAsia="Calibri"/>
          <w:sz w:val="24"/>
          <w:szCs w:val="24"/>
        </w:rPr>
        <w:t xml:space="preserve"> as</w:t>
      </w:r>
      <w:proofErr w:type="gramEnd"/>
      <w:r w:rsidRPr="00B50F1D">
        <w:rPr>
          <w:rFonts w:eastAsia="Calibri"/>
          <w:sz w:val="24"/>
          <w:szCs w:val="24"/>
        </w:rPr>
        <w:t xml:space="preserve"> indicated by the lower expected duration of each regime.  In terms of regime timing, </w:t>
      </w:r>
      <w:r w:rsidR="00ED0A7D">
        <w:rPr>
          <w:rFonts w:eastAsia="Calibri"/>
          <w:sz w:val="24"/>
          <w:szCs w:val="24"/>
        </w:rPr>
        <w:t>F</w:t>
      </w:r>
      <w:r w:rsidRPr="00B50F1D">
        <w:rPr>
          <w:rFonts w:eastAsia="Calibri"/>
          <w:sz w:val="24"/>
          <w:szCs w:val="24"/>
        </w:rPr>
        <w:t xml:space="preserve">igure </w:t>
      </w:r>
      <w:r w:rsidR="00ED0A7D">
        <w:rPr>
          <w:rFonts w:eastAsia="Calibri"/>
          <w:sz w:val="24"/>
          <w:szCs w:val="24"/>
        </w:rPr>
        <w:t>6</w:t>
      </w:r>
      <w:r w:rsidRPr="00B50F1D">
        <w:rPr>
          <w:rFonts w:eastAsia="Calibri"/>
          <w:sz w:val="24"/>
          <w:szCs w:val="24"/>
        </w:rPr>
        <w:t>(d) shows that the West’s vacancy rate follows a similar pattern to the overall United States.  However, the intermediate regime in the early 1960s is identified to a lesser extent in the West compared to the nation as it places a considerable probability on being in either the intermediate or high regime.  A similar phenomen</w:t>
      </w:r>
      <w:r w:rsidR="00722803">
        <w:rPr>
          <w:rFonts w:eastAsia="Calibri"/>
          <w:sz w:val="24"/>
          <w:szCs w:val="24"/>
        </w:rPr>
        <w:t>on</w:t>
      </w:r>
      <w:r w:rsidRPr="00B50F1D">
        <w:rPr>
          <w:rFonts w:eastAsia="Calibri"/>
          <w:sz w:val="24"/>
          <w:szCs w:val="24"/>
        </w:rPr>
        <w:t xml:space="preserve"> occurs in the mid-2000s as the model struggles to identify whether the West was in an intermediate or low regime prior to switching to the high regime of the Great Recession.  Compared to the other regions and the United States, the West’s vacancy rate has been in the current low regime for considerably longer since the estimated start date is approximately 2015.</w:t>
      </w:r>
    </w:p>
    <w:p w14:paraId="45EAF699" w14:textId="77777777"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These univariate regional models suggest that, although there is some heterogeneity across regional vacancy rates, there are notable similarities in regime timing, mean vacancy rates, and volatility across regions. These findings suggest it would be worthwhile to investigate if there are spillovers across regions </w:t>
      </w:r>
      <w:proofErr w:type="gramStart"/>
      <w:r w:rsidRPr="00B50F1D">
        <w:rPr>
          <w:rFonts w:eastAsia="Calibri"/>
          <w:sz w:val="24"/>
          <w:szCs w:val="24"/>
        </w:rPr>
        <w:t>similar to</w:t>
      </w:r>
      <w:proofErr w:type="gramEnd"/>
      <w:r w:rsidRPr="00B50F1D">
        <w:rPr>
          <w:rFonts w:eastAsia="Calibri"/>
          <w:sz w:val="24"/>
          <w:szCs w:val="24"/>
        </w:rPr>
        <w:t xml:space="preserve"> the theoretical structure outlined in equations (9a) – (9f).  We investigate this idea in a multivariate setting in the next section.</w:t>
      </w:r>
    </w:p>
    <w:p w14:paraId="68D6DA35" w14:textId="77777777" w:rsidR="005424C8" w:rsidRPr="00B50F1D" w:rsidRDefault="005424C8" w:rsidP="00B50F1D">
      <w:pPr>
        <w:spacing w:after="200" w:line="276" w:lineRule="auto"/>
        <w:rPr>
          <w:rFonts w:eastAsia="Calibri"/>
          <w:sz w:val="24"/>
          <w:szCs w:val="24"/>
        </w:rPr>
      </w:pPr>
    </w:p>
    <w:p w14:paraId="307CD25A" w14:textId="77777777" w:rsidR="00B50F1D" w:rsidRPr="00B50F1D" w:rsidRDefault="00B50F1D" w:rsidP="00B50F1D">
      <w:pPr>
        <w:spacing w:after="200" w:line="276" w:lineRule="auto"/>
        <w:rPr>
          <w:rFonts w:eastAsia="Calibri"/>
          <w:b/>
          <w:sz w:val="24"/>
          <w:szCs w:val="24"/>
        </w:rPr>
      </w:pPr>
      <w:r w:rsidRPr="00B50F1D">
        <w:rPr>
          <w:rFonts w:eastAsia="Calibri"/>
          <w:b/>
          <w:sz w:val="24"/>
          <w:szCs w:val="24"/>
        </w:rPr>
        <w:t>Multivariate</w:t>
      </w:r>
      <w:r w:rsidRPr="00B50F1D">
        <w:rPr>
          <w:rFonts w:eastAsia="Calibri"/>
          <w:i/>
          <w:sz w:val="24"/>
          <w:szCs w:val="24"/>
        </w:rPr>
        <w:t xml:space="preserve"> </w:t>
      </w:r>
      <w:r w:rsidRPr="00B50F1D">
        <w:rPr>
          <w:rFonts w:eastAsia="Calibri"/>
          <w:b/>
          <w:sz w:val="24"/>
          <w:szCs w:val="24"/>
        </w:rPr>
        <w:t>Switching Regression Results</w:t>
      </w:r>
    </w:p>
    <w:p w14:paraId="3F9E97FE" w14:textId="7DA2F5E5"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The results from the previous section suggests that the vacancy rate (both at the national and regional levels) is best described by a Markov-switching process with two regimes and an autoregressive component.  Additionally, there appears to be some broad similarities in vacancy dynamics across regions and at the national level.  These findings motivate our choice to analyze the interregional effects of migration in a two-regime Markov-switching Vector Autoregression (MS-VAR) as in as in equations (9a), (9b), (9c), (9d), (9e) and (9f). This model setup allows for similar dynamics as in the univariate MS2AR but also captures spillover effects across the regions.  The estimation details for the MS-VAR are presented in </w:t>
      </w:r>
      <w:r w:rsidR="00555C49">
        <w:rPr>
          <w:rFonts w:eastAsia="Calibri"/>
          <w:sz w:val="24"/>
          <w:szCs w:val="24"/>
        </w:rPr>
        <w:t>A</w:t>
      </w:r>
      <w:r w:rsidRPr="00B50F1D">
        <w:rPr>
          <w:rFonts w:eastAsia="Calibri"/>
          <w:sz w:val="24"/>
          <w:szCs w:val="24"/>
        </w:rPr>
        <w:t>ppendix</w:t>
      </w:r>
      <w:r w:rsidR="00555C49">
        <w:rPr>
          <w:rFonts w:eastAsia="Calibri"/>
          <w:sz w:val="24"/>
          <w:szCs w:val="24"/>
        </w:rPr>
        <w:t xml:space="preserve"> B</w:t>
      </w:r>
      <w:r w:rsidRPr="00B50F1D">
        <w:rPr>
          <w:rFonts w:eastAsia="Calibri"/>
          <w:sz w:val="24"/>
          <w:szCs w:val="24"/>
        </w:rPr>
        <w:t>.</w:t>
      </w:r>
      <w:r w:rsidR="00073A00">
        <w:rPr>
          <w:rFonts w:eastAsia="Calibri"/>
          <w:sz w:val="24"/>
          <w:szCs w:val="24"/>
        </w:rPr>
        <w:t xml:space="preserve"> Note that due to data limitations for some of the migration variables, the data for the MS-VAR estimation is limited to the slightly shorter time frame of 1964:Q1 through 2017:Q2.</w:t>
      </w:r>
    </w:p>
    <w:p w14:paraId="4239C82F" w14:textId="3F7C25FE"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Figures </w:t>
      </w:r>
      <w:r w:rsidR="00ED0A7D">
        <w:rPr>
          <w:rFonts w:eastAsia="Calibri"/>
          <w:sz w:val="24"/>
          <w:szCs w:val="24"/>
        </w:rPr>
        <w:t>7</w:t>
      </w:r>
      <w:r w:rsidRPr="00B50F1D">
        <w:rPr>
          <w:rFonts w:eastAsia="Calibri"/>
          <w:sz w:val="24"/>
          <w:szCs w:val="24"/>
        </w:rPr>
        <w:t>-1</w:t>
      </w:r>
      <w:r w:rsidR="00ED0A7D">
        <w:rPr>
          <w:rFonts w:eastAsia="Calibri"/>
          <w:sz w:val="24"/>
          <w:szCs w:val="24"/>
        </w:rPr>
        <w:t>0</w:t>
      </w:r>
      <w:r w:rsidRPr="00B50F1D">
        <w:rPr>
          <w:rFonts w:eastAsia="Calibri"/>
          <w:sz w:val="24"/>
          <w:szCs w:val="24"/>
        </w:rPr>
        <w:t xml:space="preserve"> show the predicted vacancy rate for each region and their respective timing of low and high regimes.  For each region, the predicted vacancy rates follow the actual vacancy rate closely across time illustrating the benefit of adding data in the cross-section and potential spillovers of housing markets across regions.  With regards to regime timing, the South region experiences the high regime throughout the entirety of the sample besides the late 1970s.  </w:t>
      </w:r>
      <w:r w:rsidRPr="00B50F1D">
        <w:rPr>
          <w:rFonts w:eastAsia="Calibri"/>
          <w:sz w:val="24"/>
          <w:szCs w:val="24"/>
        </w:rPr>
        <w:lastRenderedPageBreak/>
        <w:t xml:space="preserve">Similarly, the Northeast region mostly experiences a high vacancy rate regime besides the early 2000s and some one-quarter blips of a low vacancy regime.  The Midwest vacancy rate is in the high regime for </w:t>
      </w:r>
      <w:proofErr w:type="gramStart"/>
      <w:r w:rsidRPr="00B50F1D">
        <w:rPr>
          <w:rFonts w:eastAsia="Calibri"/>
          <w:sz w:val="24"/>
          <w:szCs w:val="24"/>
        </w:rPr>
        <w:t>the majority of</w:t>
      </w:r>
      <w:proofErr w:type="gramEnd"/>
      <w:r w:rsidRPr="00B50F1D">
        <w:rPr>
          <w:rFonts w:eastAsia="Calibri"/>
          <w:sz w:val="24"/>
          <w:szCs w:val="24"/>
        </w:rPr>
        <w:t xml:space="preserve"> the sample as well, with exceptions for the low regimes in the late 1970s, mid to late 1980s, and late 1990s.  Lastly, the West region is in a high vacancy rate regime for the entire time series besides one-quarter low regimes throughout the sample.</w:t>
      </w:r>
    </w:p>
    <w:p w14:paraId="3DC195E8" w14:textId="77777777"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The regime timing for the MS-VAR for each region differs substantially from the regime timing presented in the previous section for </w:t>
      </w:r>
      <w:proofErr w:type="gramStart"/>
      <w:r w:rsidRPr="00B50F1D">
        <w:rPr>
          <w:rFonts w:eastAsia="Calibri"/>
          <w:sz w:val="24"/>
          <w:szCs w:val="24"/>
        </w:rPr>
        <w:t>a number of</w:t>
      </w:r>
      <w:proofErr w:type="gramEnd"/>
      <w:r w:rsidRPr="00B50F1D">
        <w:rPr>
          <w:rFonts w:eastAsia="Calibri"/>
          <w:sz w:val="24"/>
          <w:szCs w:val="24"/>
        </w:rPr>
        <w:t xml:space="preserve"> reasons. First, the previous section considered a model with three regimes whereas the MS-VAR only has two regimes. It is possible to add a third regime, but this often over-fits the data (as with the MS3AR). Second, the MS-VAR allows all variables in the model to switch thus the switching process is trying to best fit the dynamics of a number of variables in the system rather than just a single region’s vacancy rate. </w:t>
      </w:r>
    </w:p>
    <w:p w14:paraId="46A0AF29" w14:textId="77777777" w:rsidR="00B50F1D" w:rsidRPr="00B50F1D" w:rsidRDefault="00B50F1D" w:rsidP="00B50F1D">
      <w:pPr>
        <w:spacing w:after="200" w:line="276" w:lineRule="auto"/>
        <w:rPr>
          <w:rFonts w:eastAsia="Calibri"/>
          <w:i/>
          <w:sz w:val="24"/>
          <w:szCs w:val="24"/>
        </w:rPr>
      </w:pPr>
      <w:r w:rsidRPr="00B50F1D">
        <w:rPr>
          <w:rFonts w:eastAsia="Calibri"/>
          <w:i/>
          <w:sz w:val="24"/>
          <w:szCs w:val="24"/>
        </w:rPr>
        <w:t>Impact of Interregional Migration Effects</w:t>
      </w:r>
    </w:p>
    <w:p w14:paraId="1D6C957B" w14:textId="77777777"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The multivariate setup of the MS-VAR allows us to determine the effect of one variable on another in the system.  Presenting the estimated parameters of the entire system is often cumbersome and unintuitive. Instead, these dynamic effects are often illustrated with impulse response functions (IRF) that show the response of each variable in the system to a (structural) shock. For a standard VAR model, computation of the orthogonalized impulse response function is relatively straightforward. However, in a nonlinear framework such as our MS-VAR, it is necessary to calculate generalized impulse response functions (GIRF) as first considered by Koop et al. (1996) to capture the regime switching dynamics in the wake of a given shock.  Intuitively, the GIRF captures the fact that the system’s dynamics are not constant but switch between two discrete regimes across time (based on the estimated Markov process).  Some previous studies such as </w:t>
      </w:r>
      <w:proofErr w:type="spellStart"/>
      <w:r w:rsidRPr="00B50F1D">
        <w:rPr>
          <w:rFonts w:eastAsia="Calibri"/>
          <w:sz w:val="24"/>
          <w:szCs w:val="24"/>
        </w:rPr>
        <w:t>Ehrmann</w:t>
      </w:r>
      <w:proofErr w:type="spellEnd"/>
      <w:r w:rsidRPr="00B50F1D">
        <w:rPr>
          <w:rFonts w:eastAsia="Calibri"/>
          <w:sz w:val="24"/>
          <w:szCs w:val="24"/>
        </w:rPr>
        <w:t xml:space="preserve"> et al. (2003) estimate “regime-dependent” IRFs that assume that the regime does not change after the shock.  These </w:t>
      </w:r>
      <w:proofErr w:type="gramStart"/>
      <w:r w:rsidRPr="00B50F1D">
        <w:rPr>
          <w:rFonts w:eastAsia="Calibri"/>
          <w:sz w:val="24"/>
          <w:szCs w:val="24"/>
        </w:rPr>
        <w:t>regime-dependent</w:t>
      </w:r>
      <w:proofErr w:type="gramEnd"/>
      <w:r w:rsidRPr="00B50F1D">
        <w:rPr>
          <w:rFonts w:eastAsia="Calibri"/>
          <w:sz w:val="24"/>
          <w:szCs w:val="24"/>
        </w:rPr>
        <w:t xml:space="preserve"> IRFs may under or overestimate the dynamic effects of a shock because they fail to account for the changing dynamics of the system.  For estimation details of GIRFs, see Koop et al. (1996) and </w:t>
      </w:r>
      <w:proofErr w:type="spellStart"/>
      <w:r w:rsidRPr="00B50F1D">
        <w:rPr>
          <w:rFonts w:eastAsia="Calibri"/>
          <w:sz w:val="24"/>
          <w:szCs w:val="24"/>
        </w:rPr>
        <w:t>Alessandri</w:t>
      </w:r>
      <w:proofErr w:type="spellEnd"/>
      <w:r w:rsidRPr="00B50F1D">
        <w:rPr>
          <w:rFonts w:eastAsia="Calibri"/>
          <w:sz w:val="24"/>
          <w:szCs w:val="24"/>
        </w:rPr>
        <w:t xml:space="preserve"> and Mumtaz (2019).</w:t>
      </w:r>
    </w:p>
    <w:p w14:paraId="69AF6480" w14:textId="10C47A52" w:rsidR="00B50F1D" w:rsidRPr="00B50F1D" w:rsidRDefault="00B50F1D" w:rsidP="00B50F1D">
      <w:pPr>
        <w:spacing w:after="200" w:line="276" w:lineRule="auto"/>
        <w:rPr>
          <w:rFonts w:eastAsia="Times New Roman"/>
          <w:sz w:val="24"/>
          <w:szCs w:val="24"/>
        </w:rPr>
      </w:pPr>
      <w:r w:rsidRPr="00B50F1D">
        <w:rPr>
          <w:rFonts w:eastAsia="Calibri"/>
          <w:sz w:val="24"/>
          <w:szCs w:val="24"/>
        </w:rPr>
        <w:tab/>
        <w:t xml:space="preserve">In this section, we focus our attention on the two migration variables,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m:t>
            </m:r>
          </m:sub>
        </m:sSub>
      </m:oMath>
      <w:r w:rsidRPr="00B50F1D">
        <w:rPr>
          <w:rFonts w:eastAsia="Times New Roman"/>
          <w:sz w:val="24"/>
          <w:szCs w:val="24"/>
        </w:rPr>
        <w:t xml:space="preserve"> and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M</m:t>
            </m:r>
          </m:e>
          <m:sub>
            <m:r>
              <w:rPr>
                <w:rFonts w:ascii="Cambria Math" w:eastAsia="Times New Roman" w:hAnsi="Cambria Math"/>
                <w:sz w:val="24"/>
                <w:szCs w:val="24"/>
              </w:rPr>
              <m:t>j</m:t>
            </m:r>
          </m:sub>
        </m:sSub>
      </m:oMath>
      <w:r w:rsidRPr="00B50F1D">
        <w:rPr>
          <w:rFonts w:eastAsia="Times New Roman"/>
          <w:sz w:val="24"/>
          <w:szCs w:val="24"/>
        </w:rPr>
        <w:t xml:space="preserve">, and how they affect the region-specific vacancy rates.  </w:t>
      </w:r>
      <w:r w:rsidRPr="00B50F1D">
        <w:rPr>
          <w:rFonts w:eastAsia="Calibri"/>
          <w:sz w:val="24"/>
          <w:szCs w:val="24"/>
        </w:rPr>
        <w:t>Figure 1</w:t>
      </w:r>
      <w:r w:rsidR="00ED0A7D">
        <w:rPr>
          <w:rFonts w:eastAsia="Calibri"/>
          <w:sz w:val="24"/>
          <w:szCs w:val="24"/>
        </w:rPr>
        <w:t>1</w:t>
      </w:r>
      <w:r w:rsidRPr="00B50F1D">
        <w:rPr>
          <w:rFonts w:eastAsia="Calibri"/>
          <w:sz w:val="24"/>
          <w:szCs w:val="24"/>
        </w:rPr>
        <w:t xml:space="preserve"> displays the estimated dynamic response of each of the four regional vacancy rates to a shock to one of the two migration variables.  For example, the first panel </w:t>
      </w:r>
      <w:r w:rsidR="00FB6EE4">
        <w:rPr>
          <w:rFonts w:eastAsia="Calibri"/>
          <w:sz w:val="24"/>
          <w:szCs w:val="24"/>
        </w:rPr>
        <w:t xml:space="preserve">(i.e., top left) </w:t>
      </w:r>
      <w:r w:rsidRPr="00B50F1D">
        <w:rPr>
          <w:rFonts w:eastAsia="Calibri"/>
          <w:sz w:val="24"/>
          <w:szCs w:val="24"/>
        </w:rPr>
        <w:t xml:space="preserve">of </w:t>
      </w:r>
      <w:r w:rsidR="009F5F12">
        <w:rPr>
          <w:rFonts w:eastAsia="Calibri"/>
          <w:sz w:val="24"/>
          <w:szCs w:val="24"/>
        </w:rPr>
        <w:t>F</w:t>
      </w:r>
      <w:r w:rsidRPr="00B50F1D">
        <w:rPr>
          <w:rFonts w:eastAsia="Calibri"/>
          <w:sz w:val="24"/>
          <w:szCs w:val="24"/>
        </w:rPr>
        <w:t>igure 1</w:t>
      </w:r>
      <w:r w:rsidR="00ED0A7D">
        <w:rPr>
          <w:rFonts w:eastAsia="Calibri"/>
          <w:sz w:val="24"/>
          <w:szCs w:val="24"/>
        </w:rPr>
        <w:t>1</w:t>
      </w:r>
      <w:r w:rsidRPr="00B50F1D">
        <w:rPr>
          <w:rFonts w:eastAsia="Calibri"/>
          <w:sz w:val="24"/>
          <w:szCs w:val="24"/>
        </w:rPr>
        <w:t xml:space="preserve"> shows the response of the South vacancy rate across </w:t>
      </w:r>
      <w:r w:rsidRPr="00B50F1D">
        <w:rPr>
          <w:rFonts w:eastAsia="Times New Roman"/>
          <w:sz w:val="24"/>
          <w:szCs w:val="24"/>
        </w:rPr>
        <w:t xml:space="preserve">future horizons </w:t>
      </w:r>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S,t+h</m:t>
            </m:r>
          </m:sub>
        </m:sSub>
      </m:oMath>
      <w:r w:rsidRPr="00B50F1D">
        <w:rPr>
          <w:rFonts w:eastAsia="Times New Roman"/>
          <w:sz w:val="24"/>
          <w:szCs w:val="24"/>
        </w:rPr>
        <w:t xml:space="preserve"> </w:t>
      </w:r>
      <w:r w:rsidRPr="00B50F1D">
        <w:rPr>
          <w:rFonts w:eastAsia="Calibri"/>
          <w:sz w:val="24"/>
          <w:szCs w:val="24"/>
        </w:rPr>
        <w:t xml:space="preserve">to a one standard deviation shock to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m:t>
            </m:r>
          </m:sub>
        </m:sSub>
      </m:oMath>
      <w:r w:rsidRPr="00B50F1D">
        <w:rPr>
          <w:rFonts w:eastAsia="Times New Roman"/>
          <w:sz w:val="24"/>
          <w:szCs w:val="24"/>
        </w:rPr>
        <w:t xml:space="preserve"> (</w:t>
      </w:r>
      <w:r w:rsidRPr="00B50F1D">
        <w:rPr>
          <w:rFonts w:eastAsia="Calibri"/>
          <w:sz w:val="24"/>
          <w:szCs w:val="24"/>
        </w:rPr>
        <w:t xml:space="preserve">the number of people who are unhappily living in the South and would like to migrate out) at time </w:t>
      </w:r>
      <m:oMath>
        <m:r>
          <w:rPr>
            <w:rFonts w:ascii="Cambria Math" w:eastAsia="Calibri" w:hAnsi="Cambria Math"/>
            <w:sz w:val="24"/>
            <w:szCs w:val="24"/>
          </w:rPr>
          <m:t>t=0</m:t>
        </m:r>
      </m:oMath>
      <w:r w:rsidRPr="00B50F1D">
        <w:rPr>
          <w:rFonts w:eastAsia="Calibri"/>
          <w:sz w:val="24"/>
          <w:szCs w:val="24"/>
        </w:rPr>
        <w:t>.  The second panel</w:t>
      </w:r>
      <w:r w:rsidR="00FB6EE4">
        <w:rPr>
          <w:rFonts w:eastAsia="Calibri"/>
          <w:sz w:val="24"/>
          <w:szCs w:val="24"/>
        </w:rPr>
        <w:t xml:space="preserve"> (i.e., top right)</w:t>
      </w:r>
      <w:r w:rsidRPr="00B50F1D">
        <w:rPr>
          <w:rFonts w:eastAsia="Calibri"/>
          <w:sz w:val="24"/>
          <w:szCs w:val="24"/>
        </w:rPr>
        <w:t xml:space="preserve"> of </w:t>
      </w:r>
      <w:r w:rsidR="00ED0A7D">
        <w:rPr>
          <w:rFonts w:eastAsia="Calibri"/>
          <w:sz w:val="24"/>
          <w:szCs w:val="24"/>
        </w:rPr>
        <w:t>F</w:t>
      </w:r>
      <w:r w:rsidRPr="00B50F1D">
        <w:rPr>
          <w:rFonts w:eastAsia="Calibri"/>
          <w:sz w:val="24"/>
          <w:szCs w:val="24"/>
        </w:rPr>
        <w:t>igure 1</w:t>
      </w:r>
      <w:r w:rsidR="00ED0A7D">
        <w:rPr>
          <w:rFonts w:eastAsia="Calibri"/>
          <w:sz w:val="24"/>
          <w:szCs w:val="24"/>
        </w:rPr>
        <w:t>1</w:t>
      </w:r>
      <w:r w:rsidRPr="00B50F1D">
        <w:rPr>
          <w:rFonts w:eastAsia="Calibri"/>
          <w:sz w:val="24"/>
          <w:szCs w:val="24"/>
        </w:rPr>
        <w:t xml:space="preserve"> shows the </w:t>
      </w:r>
      <w:r w:rsidRPr="00B50F1D">
        <w:rPr>
          <w:rFonts w:eastAsia="Times New Roman"/>
          <w:sz w:val="24"/>
          <w:szCs w:val="24"/>
        </w:rPr>
        <w:t xml:space="preserve">response of the South vacancy rate </w:t>
      </w:r>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S,t+h</m:t>
            </m:r>
          </m:sub>
        </m:sSub>
      </m:oMath>
      <w:r w:rsidRPr="00B50F1D">
        <w:rPr>
          <w:rFonts w:eastAsia="Times New Roman"/>
          <w:sz w:val="24"/>
          <w:szCs w:val="24"/>
        </w:rPr>
        <w:t xml:space="preserve"> to a </w:t>
      </w:r>
      <w:r w:rsidRPr="00B50F1D">
        <w:rPr>
          <w:rFonts w:eastAsia="Calibri"/>
          <w:sz w:val="24"/>
          <w:szCs w:val="24"/>
        </w:rPr>
        <w:t xml:space="preserve">one standard deviation shock to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j</m:t>
            </m:r>
          </m:sub>
        </m:sSub>
      </m:oMath>
      <w:r w:rsidRPr="00B50F1D">
        <w:rPr>
          <w:rFonts w:eastAsia="Times New Roman"/>
          <w:sz w:val="24"/>
          <w:szCs w:val="24"/>
        </w:rPr>
        <w:t xml:space="preserve"> (</w:t>
      </w:r>
      <w:r w:rsidRPr="00B50F1D">
        <w:rPr>
          <w:rFonts w:eastAsia="Calibri"/>
          <w:sz w:val="24"/>
          <w:szCs w:val="24"/>
        </w:rPr>
        <w:t xml:space="preserve">the number of people who are happily living outside the South and do not prefer to migrate in) at time </w:t>
      </w:r>
      <m:oMath>
        <m:r>
          <w:rPr>
            <w:rFonts w:ascii="Cambria Math" w:eastAsia="Calibri" w:hAnsi="Cambria Math"/>
            <w:sz w:val="24"/>
            <w:szCs w:val="24"/>
          </w:rPr>
          <m:t>t=0</m:t>
        </m:r>
      </m:oMath>
      <w:r w:rsidRPr="00B50F1D">
        <w:rPr>
          <w:rFonts w:eastAsia="Times New Roman"/>
          <w:sz w:val="24"/>
          <w:szCs w:val="24"/>
        </w:rPr>
        <w:t xml:space="preserve">.  The dashed lines show </w:t>
      </w:r>
      <w:r w:rsidRPr="00B50F1D">
        <w:rPr>
          <w:rFonts w:eastAsia="Times New Roman"/>
          <w:sz w:val="24"/>
          <w:szCs w:val="24"/>
        </w:rPr>
        <w:lastRenderedPageBreak/>
        <w:t>the 68% highest posterior density inter</w:t>
      </w:r>
      <w:proofErr w:type="spellStart"/>
      <w:r w:rsidRPr="00B50F1D">
        <w:rPr>
          <w:rFonts w:eastAsia="Times New Roman"/>
          <w:sz w:val="24"/>
          <w:szCs w:val="24"/>
        </w:rPr>
        <w:t>val</w:t>
      </w:r>
      <w:proofErr w:type="spellEnd"/>
      <w:r w:rsidRPr="00B50F1D">
        <w:rPr>
          <w:rFonts w:eastAsia="Times New Roman"/>
          <w:sz w:val="24"/>
          <w:szCs w:val="24"/>
        </w:rPr>
        <w:t xml:space="preserve">, as is standard from Sims and </w:t>
      </w:r>
      <w:proofErr w:type="spellStart"/>
      <w:r w:rsidRPr="00B50F1D">
        <w:rPr>
          <w:rFonts w:eastAsia="Times New Roman"/>
          <w:sz w:val="24"/>
          <w:szCs w:val="24"/>
        </w:rPr>
        <w:t>Zha</w:t>
      </w:r>
      <w:proofErr w:type="spellEnd"/>
      <w:r w:rsidRPr="00B50F1D">
        <w:rPr>
          <w:rFonts w:eastAsia="Times New Roman"/>
          <w:sz w:val="24"/>
          <w:szCs w:val="24"/>
        </w:rPr>
        <w:t xml:space="preserve"> (2006). When this interval does not include 0, we conclude that the effect is substantially different from 0.</w:t>
      </w:r>
    </w:p>
    <w:p w14:paraId="08AF7405" w14:textId="77777777" w:rsidR="00B50F1D" w:rsidRPr="00B50F1D" w:rsidRDefault="00B50F1D" w:rsidP="00B50F1D">
      <w:pPr>
        <w:spacing w:after="200" w:line="276" w:lineRule="auto"/>
        <w:rPr>
          <w:rFonts w:eastAsia="Times New Roman"/>
          <w:sz w:val="24"/>
          <w:szCs w:val="24"/>
        </w:rPr>
      </w:pPr>
      <w:r w:rsidRPr="00B50F1D">
        <w:rPr>
          <w:rFonts w:eastAsia="Times New Roman"/>
          <w:sz w:val="24"/>
          <w:szCs w:val="24"/>
        </w:rPr>
        <w:tab/>
        <w:t xml:space="preserve">We find that an increase in the number of households wanting to migrate out of the South (i.e., a shock to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j</m:t>
            </m:r>
          </m:sub>
        </m:sSub>
      </m:oMath>
      <w:r w:rsidRPr="00B50F1D">
        <w:rPr>
          <w:rFonts w:eastAsia="Times New Roman"/>
          <w:sz w:val="24"/>
          <w:szCs w:val="24"/>
        </w:rPr>
        <w:t xml:space="preserve">) does not substantially affect the South vacancy rate.  Intuitively, an increase in the number of households that are happily living outside the South (i.e., an increase in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M</m:t>
            </m:r>
          </m:e>
          <m:sub>
            <m:r>
              <w:rPr>
                <w:rFonts w:ascii="Cambria Math" w:eastAsia="Times New Roman" w:hAnsi="Cambria Math"/>
                <w:sz w:val="24"/>
                <w:szCs w:val="24"/>
              </w:rPr>
              <m:t>j</m:t>
            </m:r>
          </m:sub>
        </m:sSub>
      </m:oMath>
      <w:r w:rsidRPr="00B50F1D">
        <w:rPr>
          <w:rFonts w:eastAsia="Times New Roman"/>
          <w:sz w:val="24"/>
          <w:szCs w:val="24"/>
        </w:rPr>
        <w:t>) leads to an increase in the South vacancy rate for an extended period of time.</w:t>
      </w:r>
    </w:p>
    <w:p w14:paraId="4E029E69" w14:textId="4BDEB25D"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The second row of </w:t>
      </w:r>
      <w:r w:rsidR="00D32304">
        <w:rPr>
          <w:rFonts w:eastAsia="Times New Roman"/>
          <w:sz w:val="24"/>
          <w:szCs w:val="24"/>
        </w:rPr>
        <w:t>F</w:t>
      </w:r>
      <w:r w:rsidRPr="00B50F1D">
        <w:rPr>
          <w:rFonts w:eastAsia="Times New Roman"/>
          <w:sz w:val="24"/>
          <w:szCs w:val="24"/>
        </w:rPr>
        <w:t>igure 1</w:t>
      </w:r>
      <w:r w:rsidR="00ED0A7D">
        <w:rPr>
          <w:rFonts w:eastAsia="Times New Roman"/>
          <w:sz w:val="24"/>
          <w:szCs w:val="24"/>
        </w:rPr>
        <w:t>1</w:t>
      </w:r>
      <w:r w:rsidRPr="00B50F1D">
        <w:rPr>
          <w:rFonts w:eastAsia="Times New Roman"/>
          <w:sz w:val="24"/>
          <w:szCs w:val="24"/>
        </w:rPr>
        <w:t xml:space="preserve"> presents the response of the Northeast vacancy rate to the two migration variables.  The Northeast vacancy rate responds negatively to an increase in the number of households wanting to migrate out of the Northeast, whereas the vacancy rate responds positively to an increase in the number of households happily living outside the Northeast.</w:t>
      </w:r>
    </w:p>
    <w:p w14:paraId="5583FDA2" w14:textId="77777777"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We do find a significant positive response of the Midwest vacancy rate to an increase in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j</m:t>
            </m:r>
          </m:sub>
        </m:sSub>
      </m:oMath>
      <w:r w:rsidRPr="00B50F1D">
        <w:rPr>
          <w:rFonts w:eastAsia="Times New Roman"/>
          <w:sz w:val="24"/>
          <w:szCs w:val="24"/>
        </w:rPr>
        <w:t xml:space="preserve"> (the number of househ</w:t>
      </w:r>
      <w:proofErr w:type="spellStart"/>
      <w:r w:rsidRPr="00B50F1D">
        <w:rPr>
          <w:rFonts w:eastAsia="Times New Roman"/>
          <w:sz w:val="24"/>
          <w:szCs w:val="24"/>
        </w:rPr>
        <w:t>olds</w:t>
      </w:r>
      <w:proofErr w:type="spellEnd"/>
      <w:r w:rsidRPr="00B50F1D">
        <w:rPr>
          <w:rFonts w:eastAsia="Times New Roman"/>
          <w:sz w:val="24"/>
          <w:szCs w:val="24"/>
        </w:rPr>
        <w:t xml:space="preserve"> living unhappily in the Midwest and want to migrate out). </w:t>
      </w:r>
      <w:proofErr w:type="gramStart"/>
      <w:r w:rsidRPr="00B50F1D">
        <w:rPr>
          <w:rFonts w:eastAsia="Times New Roman"/>
          <w:sz w:val="24"/>
          <w:szCs w:val="24"/>
        </w:rPr>
        <w:t>Similar to</w:t>
      </w:r>
      <w:proofErr w:type="gramEnd"/>
      <w:r w:rsidRPr="00B50F1D">
        <w:rPr>
          <w:rFonts w:eastAsia="Times New Roman"/>
          <w:sz w:val="24"/>
          <w:szCs w:val="24"/>
        </w:rPr>
        <w:t xml:space="preserve"> the South and Northeast vacancy rates, an increase in households happily living outside the Midwest causes the Midwest vacancy rate to rise.</w:t>
      </w:r>
    </w:p>
    <w:p w14:paraId="43A60160" w14:textId="77777777"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A shock to the number of households inside the West wanting to migrate out of the region does not significantly change the vacancy rate.  Interestingly, an increase in the number of households happily living outside the West causes an initial decrease in the West vacancy rate in the </w:t>
      </w:r>
      <w:proofErr w:type="gramStart"/>
      <w:r w:rsidRPr="00B50F1D">
        <w:rPr>
          <w:rFonts w:eastAsia="Times New Roman"/>
          <w:sz w:val="24"/>
          <w:szCs w:val="24"/>
        </w:rPr>
        <w:t>short-run</w:t>
      </w:r>
      <w:proofErr w:type="gramEnd"/>
      <w:r w:rsidRPr="00B50F1D">
        <w:rPr>
          <w:rFonts w:eastAsia="Times New Roman"/>
          <w:sz w:val="24"/>
          <w:szCs w:val="24"/>
        </w:rPr>
        <w:t>. After a year and half, this effect turns positive and the result matches that of the other three regions.</w:t>
      </w:r>
    </w:p>
    <w:p w14:paraId="528F8B54" w14:textId="60BD55D9"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In sum, there are two key takeaways from the estimated effects of the migration variables on regional vacancy rates.  First, an increase in the number of households wishing to migrate into a given region does not have a consistent effect on that region’s vacancy rate.  Theory suggests the effect of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m:t>
            </m:r>
          </m:sub>
        </m:sSub>
      </m:oMath>
      <w:r w:rsidRPr="00B50F1D">
        <w:rPr>
          <w:rFonts w:eastAsia="Times New Roman"/>
          <w:sz w:val="24"/>
          <w:szCs w:val="24"/>
        </w:rPr>
        <w:t xml:space="preserve"> </w:t>
      </w:r>
      <w:r w:rsidR="00EB02ED">
        <w:rPr>
          <w:rFonts w:eastAsia="Times New Roman"/>
          <w:sz w:val="24"/>
          <w:szCs w:val="24"/>
        </w:rPr>
        <w:t xml:space="preserve">(the number of households wishing to </w:t>
      </w:r>
      <w:r w:rsidR="002E51BC">
        <w:rPr>
          <w:rFonts w:eastAsia="Times New Roman"/>
          <w:sz w:val="24"/>
          <w:szCs w:val="24"/>
        </w:rPr>
        <w:t xml:space="preserve">migrate out of region </w:t>
      </w:r>
      <w:proofErr w:type="spellStart"/>
      <w:r w:rsidR="00AC60B0">
        <w:rPr>
          <w:rFonts w:eastAsia="Times New Roman"/>
          <w:sz w:val="24"/>
          <w:szCs w:val="24"/>
        </w:rPr>
        <w:t>i</w:t>
      </w:r>
      <w:proofErr w:type="spellEnd"/>
      <w:r w:rsidR="002E51BC">
        <w:rPr>
          <w:rFonts w:eastAsia="Times New Roman"/>
          <w:sz w:val="24"/>
          <w:szCs w:val="24"/>
        </w:rPr>
        <w:t xml:space="preserve">) </w:t>
      </w:r>
      <w:r w:rsidRPr="00B50F1D">
        <w:rPr>
          <w:rFonts w:eastAsia="Times New Roman"/>
          <w:sz w:val="24"/>
          <w:szCs w:val="24"/>
        </w:rPr>
        <w:t>on region</w:t>
      </w:r>
      <w:r w:rsidR="002E51BC">
        <w:rPr>
          <w:rFonts w:eastAsia="Times New Roman"/>
          <w:sz w:val="24"/>
          <w:szCs w:val="24"/>
        </w:rPr>
        <w:t xml:space="preserve"> </w:t>
      </w:r>
      <w:r w:rsidR="00AC60B0">
        <w:rPr>
          <w:rFonts w:eastAsia="Times New Roman"/>
          <w:sz w:val="24"/>
          <w:szCs w:val="24"/>
        </w:rPr>
        <w:t>i</w:t>
      </w:r>
      <w:r w:rsidRPr="00B50F1D">
        <w:rPr>
          <w:rFonts w:eastAsia="Times New Roman"/>
          <w:sz w:val="24"/>
          <w:szCs w:val="24"/>
        </w:rPr>
        <w:t xml:space="preserve">’s vacancy rate should be positive.  However, our empirical results match the theoretical implication for only the Midwest </w:t>
      </w:r>
      <w:r w:rsidR="00101EB9">
        <w:rPr>
          <w:rFonts w:eastAsia="Times New Roman"/>
          <w:sz w:val="24"/>
          <w:szCs w:val="24"/>
        </w:rPr>
        <w:t xml:space="preserve">for a short period of time, </w:t>
      </w:r>
      <w:r w:rsidRPr="00B50F1D">
        <w:rPr>
          <w:rFonts w:eastAsia="Times New Roman"/>
          <w:sz w:val="24"/>
          <w:szCs w:val="24"/>
        </w:rPr>
        <w:t xml:space="preserve">whereas for two of the other three regions we find no substantial effect of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j</m:t>
            </m:r>
          </m:sub>
        </m:sSub>
      </m:oMath>
      <w:r w:rsidRPr="00B50F1D">
        <w:rPr>
          <w:rFonts w:eastAsia="Times New Roman"/>
          <w:sz w:val="24"/>
          <w:szCs w:val="24"/>
        </w:rPr>
        <w:t xml:space="preserve">, and a significant negative effect for the Northeast.  </w:t>
      </w:r>
      <w:r w:rsidR="007F523F">
        <w:rPr>
          <w:rFonts w:eastAsia="Times New Roman"/>
          <w:sz w:val="24"/>
          <w:szCs w:val="24"/>
        </w:rPr>
        <w:t>P</w:t>
      </w:r>
      <w:r w:rsidR="00832F68">
        <w:rPr>
          <w:rFonts w:eastAsia="Times New Roman"/>
          <w:sz w:val="24"/>
          <w:szCs w:val="24"/>
        </w:rPr>
        <w:t>erhaps</w:t>
      </w:r>
      <w:r w:rsidRPr="00B50F1D">
        <w:rPr>
          <w:rFonts w:eastAsia="Times New Roman"/>
          <w:sz w:val="24"/>
          <w:szCs w:val="24"/>
        </w:rPr>
        <w:t xml:space="preserve"> an omitted factor, such as the state of the economy or long-term structural changes, may be driving a friction between the expected response of the vacancy rate to an increase in people wanting to leave a given region.  </w:t>
      </w:r>
      <w:r w:rsidRPr="00B50F1D">
        <w:rPr>
          <w:rFonts w:eastAsia="Calibri"/>
          <w:sz w:val="24"/>
          <w:szCs w:val="24"/>
        </w:rPr>
        <w:t>Finally, an increase in the number of households happily living outside region</w:t>
      </w:r>
      <w:r w:rsidR="00603DEB">
        <w:rPr>
          <w:rFonts w:eastAsia="Calibri"/>
          <w:sz w:val="24"/>
          <w:szCs w:val="24"/>
        </w:rPr>
        <w:t xml:space="preserve"> </w:t>
      </w:r>
      <w:proofErr w:type="spellStart"/>
      <w:r w:rsidR="00603DEB">
        <w:rPr>
          <w:rFonts w:eastAsia="Calibri"/>
          <w:sz w:val="24"/>
          <w:szCs w:val="24"/>
        </w:rPr>
        <w:t>i</w:t>
      </w:r>
      <w:proofErr w:type="spellEnd"/>
      <w:r w:rsidRPr="00B50F1D">
        <w:rPr>
          <w:rFonts w:eastAsia="Calibri"/>
          <w:sz w:val="24"/>
          <w:szCs w:val="24"/>
        </w:rPr>
        <w:t xml:space="preserve">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j</m:t>
            </m:r>
          </m:sub>
        </m:sSub>
        <m:r>
          <w:rPr>
            <w:rFonts w:ascii="Cambria Math" w:eastAsia="Calibri" w:hAnsi="Cambria Math"/>
            <w:sz w:val="24"/>
            <w:szCs w:val="24"/>
          </w:rPr>
          <m:t>)</m:t>
        </m:r>
      </m:oMath>
      <w:r w:rsidRPr="00B50F1D">
        <w:rPr>
          <w:rFonts w:eastAsia="Times New Roman"/>
          <w:sz w:val="24"/>
          <w:szCs w:val="24"/>
        </w:rPr>
        <w:t xml:space="preserve"> </w:t>
      </w:r>
      <w:r w:rsidRPr="00B50F1D">
        <w:rPr>
          <w:rFonts w:eastAsia="Calibri"/>
          <w:sz w:val="24"/>
          <w:szCs w:val="24"/>
        </w:rPr>
        <w:t>tends to increase region</w:t>
      </w:r>
      <w:r w:rsidR="00357111">
        <w:rPr>
          <w:rFonts w:eastAsia="Calibri"/>
          <w:sz w:val="24"/>
          <w:szCs w:val="24"/>
        </w:rPr>
        <w:t xml:space="preserve"> i</w:t>
      </w:r>
      <w:r w:rsidRPr="00B50F1D">
        <w:rPr>
          <w:rFonts w:eastAsia="Calibri"/>
          <w:sz w:val="24"/>
          <w:szCs w:val="24"/>
        </w:rPr>
        <w:t>’s vacancy rate with the exception of the West, which experiences a short-run drop (but ultimately an increase in the medium- and longer-run).</w:t>
      </w:r>
      <w:r w:rsidR="00D87120">
        <w:rPr>
          <w:rFonts w:eastAsia="Calibri"/>
          <w:sz w:val="24"/>
          <w:szCs w:val="24"/>
        </w:rPr>
        <w:t xml:space="preserve"> Overall, while</w:t>
      </w:r>
      <w:r w:rsidR="00C82A58">
        <w:rPr>
          <w:rFonts w:eastAsia="Calibri"/>
          <w:sz w:val="24"/>
          <w:szCs w:val="24"/>
        </w:rPr>
        <w:t xml:space="preserve">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j</m:t>
            </m:r>
          </m:sub>
        </m:sSub>
      </m:oMath>
      <w:r w:rsidR="00D87120">
        <w:rPr>
          <w:rFonts w:eastAsia="Calibri"/>
          <w:sz w:val="24"/>
          <w:szCs w:val="24"/>
        </w:rPr>
        <w:t xml:space="preserve"> </w:t>
      </w:r>
      <w:r w:rsidR="00C82A58">
        <w:rPr>
          <w:rFonts w:eastAsia="Calibri"/>
          <w:sz w:val="24"/>
          <w:szCs w:val="24"/>
        </w:rPr>
        <w:t xml:space="preserve">is quite consistent in terms of its effects,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m:t>
            </m:r>
          </m:sub>
        </m:sSub>
      </m:oMath>
      <w:r w:rsidR="00C82A58">
        <w:rPr>
          <w:rFonts w:eastAsia="Calibri"/>
          <w:sz w:val="24"/>
          <w:szCs w:val="24"/>
        </w:rPr>
        <w:t xml:space="preserve"> seems not to be.</w:t>
      </w:r>
    </w:p>
    <w:p w14:paraId="54615FD9" w14:textId="77777777" w:rsidR="00C0525E" w:rsidRDefault="00C0525E" w:rsidP="00B50F1D">
      <w:pPr>
        <w:spacing w:after="200" w:line="276" w:lineRule="auto"/>
        <w:rPr>
          <w:rFonts w:eastAsia="Calibri"/>
          <w:i/>
          <w:sz w:val="24"/>
          <w:szCs w:val="24"/>
        </w:rPr>
      </w:pPr>
    </w:p>
    <w:p w14:paraId="39D364AD" w14:textId="77777777" w:rsidR="00C0525E" w:rsidRDefault="00C0525E" w:rsidP="00B50F1D">
      <w:pPr>
        <w:spacing w:after="200" w:line="276" w:lineRule="auto"/>
        <w:rPr>
          <w:rFonts w:eastAsia="Calibri"/>
          <w:i/>
          <w:sz w:val="24"/>
          <w:szCs w:val="24"/>
        </w:rPr>
      </w:pPr>
    </w:p>
    <w:p w14:paraId="67E0EBFB" w14:textId="36A6D8AE" w:rsidR="00B50F1D" w:rsidRPr="00B50F1D" w:rsidRDefault="00B50F1D" w:rsidP="00B50F1D">
      <w:pPr>
        <w:spacing w:after="200" w:line="276" w:lineRule="auto"/>
        <w:rPr>
          <w:rFonts w:eastAsia="Calibri"/>
          <w:i/>
          <w:sz w:val="24"/>
          <w:szCs w:val="24"/>
        </w:rPr>
      </w:pPr>
      <w:r w:rsidRPr="00B50F1D">
        <w:rPr>
          <w:rFonts w:eastAsia="Calibri"/>
          <w:i/>
          <w:sz w:val="24"/>
          <w:szCs w:val="24"/>
        </w:rPr>
        <w:lastRenderedPageBreak/>
        <w:t>State-Dependent Effects of Interregional Migration</w:t>
      </w:r>
    </w:p>
    <w:p w14:paraId="3AC9ED8D" w14:textId="77777777"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The previous section analyzed the estimated effects of the migration variables on vacancy rates across regions.  These estimated effects were calculated based on all time periods, both low and high vacancy regime periods.  The primary difference between a standard VAR and the MS-VAR considered in this section is that the system’s dynamics change across time.  One implication of this assumption is that the MS-VAR </w:t>
      </w:r>
      <w:proofErr w:type="gramStart"/>
      <w:r w:rsidRPr="00B50F1D">
        <w:rPr>
          <w:rFonts w:eastAsia="Calibri"/>
          <w:sz w:val="24"/>
          <w:szCs w:val="24"/>
        </w:rPr>
        <w:t>has the ability to</w:t>
      </w:r>
      <w:proofErr w:type="gramEnd"/>
      <w:r w:rsidRPr="00B50F1D">
        <w:rPr>
          <w:rFonts w:eastAsia="Calibri"/>
          <w:sz w:val="24"/>
          <w:szCs w:val="24"/>
        </w:rPr>
        <w:t xml:space="preserve"> capture if the effect of one variable on another differs across regimes.  For example, Auerbach and </w:t>
      </w:r>
      <w:proofErr w:type="spellStart"/>
      <w:r w:rsidRPr="00B50F1D">
        <w:rPr>
          <w:rFonts w:eastAsia="Calibri"/>
          <w:sz w:val="24"/>
          <w:szCs w:val="24"/>
        </w:rPr>
        <w:t>Gorodnichenko</w:t>
      </w:r>
      <w:proofErr w:type="spellEnd"/>
      <w:r w:rsidRPr="00B50F1D">
        <w:rPr>
          <w:rFonts w:eastAsia="Calibri"/>
          <w:sz w:val="24"/>
          <w:szCs w:val="24"/>
        </w:rPr>
        <w:t xml:space="preserve"> (2012) use a regime-switching VAR to find that fiscal multipliers on output are larger during recessions than expansions. In our application, the MS-VAR allows us to answer the interesting question of whether the effects of migration differ between relatively low- and high-vacancy states.</w:t>
      </w:r>
    </w:p>
    <w:p w14:paraId="6FAB0D3E" w14:textId="555321B5" w:rsidR="00B50F1D" w:rsidRPr="00B50F1D" w:rsidRDefault="00B50F1D" w:rsidP="00B50F1D">
      <w:pPr>
        <w:spacing w:after="200" w:line="276" w:lineRule="auto"/>
        <w:ind w:firstLine="720"/>
        <w:rPr>
          <w:rFonts w:eastAsia="Times New Roman"/>
          <w:sz w:val="24"/>
          <w:szCs w:val="24"/>
        </w:rPr>
      </w:pPr>
      <w:r w:rsidRPr="00B50F1D">
        <w:rPr>
          <w:rFonts w:eastAsia="Calibri"/>
          <w:sz w:val="24"/>
          <w:szCs w:val="24"/>
        </w:rPr>
        <w:t>Figure 1</w:t>
      </w:r>
      <w:r w:rsidR="00ED0A7D">
        <w:rPr>
          <w:rFonts w:eastAsia="Calibri"/>
          <w:sz w:val="24"/>
          <w:szCs w:val="24"/>
        </w:rPr>
        <w:t>2</w:t>
      </w:r>
      <w:r w:rsidRPr="00B50F1D">
        <w:rPr>
          <w:rFonts w:eastAsia="Calibri"/>
          <w:sz w:val="24"/>
          <w:szCs w:val="24"/>
        </w:rPr>
        <w:t xml:space="preserve"> shows the GIRFs of the regional vacancy rates to the two migration variables conditional on the initial regime.  For example, the blue line in the first panel of </w:t>
      </w:r>
      <w:r w:rsidR="004B2556">
        <w:rPr>
          <w:rFonts w:eastAsia="Calibri"/>
          <w:sz w:val="24"/>
          <w:szCs w:val="24"/>
        </w:rPr>
        <w:t>F</w:t>
      </w:r>
      <w:r w:rsidRPr="00B50F1D">
        <w:rPr>
          <w:rFonts w:eastAsia="Calibri"/>
          <w:sz w:val="24"/>
          <w:szCs w:val="24"/>
        </w:rPr>
        <w:t>igure 1</w:t>
      </w:r>
      <w:r w:rsidR="00ED0A7D">
        <w:rPr>
          <w:rFonts w:eastAsia="Calibri"/>
          <w:sz w:val="24"/>
          <w:szCs w:val="24"/>
        </w:rPr>
        <w:t>2</w:t>
      </w:r>
      <w:r w:rsidRPr="00B50F1D">
        <w:rPr>
          <w:rFonts w:eastAsia="Calibri"/>
          <w:sz w:val="24"/>
          <w:szCs w:val="24"/>
        </w:rPr>
        <w:t xml:space="preserve"> shows the response of the South vacancy rate to a one standard deviation shock to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m:t>
            </m:r>
          </m:sub>
        </m:sSub>
      </m:oMath>
      <w:r w:rsidRPr="00B50F1D">
        <w:rPr>
          <w:rFonts w:eastAsia="Times New Roman"/>
          <w:sz w:val="24"/>
          <w:szCs w:val="24"/>
        </w:rPr>
        <w:t xml:space="preserve"> (number of households wanting to migrate out of the South) </w:t>
      </w:r>
      <w:r w:rsidRPr="00B50F1D">
        <w:rPr>
          <w:rFonts w:eastAsia="Calibri"/>
          <w:sz w:val="24"/>
          <w:szCs w:val="24"/>
        </w:rPr>
        <w:t xml:space="preserve">at time </w:t>
      </w:r>
      <m:oMath>
        <m:r>
          <w:rPr>
            <w:rFonts w:ascii="Cambria Math" w:eastAsia="Calibri" w:hAnsi="Cambria Math"/>
            <w:sz w:val="24"/>
            <w:szCs w:val="24"/>
          </w:rPr>
          <m:t>t=0</m:t>
        </m:r>
      </m:oMath>
      <w:r w:rsidRPr="00B50F1D">
        <w:rPr>
          <w:rFonts w:eastAsia="Times New Roman"/>
          <w:sz w:val="24"/>
          <w:szCs w:val="24"/>
        </w:rPr>
        <w:t xml:space="preserve"> in the relatively low vacancy regime.  In the same panel, the red line shows the response of the S</w:t>
      </w:r>
      <w:proofErr w:type="spellStart"/>
      <w:r w:rsidRPr="00B50F1D">
        <w:rPr>
          <w:rFonts w:eastAsia="Times New Roman"/>
          <w:sz w:val="24"/>
          <w:szCs w:val="24"/>
        </w:rPr>
        <w:t>outh</w:t>
      </w:r>
      <w:proofErr w:type="spellEnd"/>
      <w:r w:rsidRPr="00B50F1D">
        <w:rPr>
          <w:rFonts w:eastAsia="Times New Roman"/>
          <w:sz w:val="24"/>
          <w:szCs w:val="24"/>
        </w:rPr>
        <w:t xml:space="preserve"> vacancy rate to the same shock but if the regime at time </w:t>
      </w:r>
      <m:oMath>
        <m:r>
          <w:rPr>
            <w:rFonts w:ascii="Cambria Math" w:eastAsia="Times New Roman" w:hAnsi="Cambria Math"/>
            <w:sz w:val="24"/>
            <w:szCs w:val="24"/>
          </w:rPr>
          <m:t>t=0</m:t>
        </m:r>
      </m:oMath>
      <w:r w:rsidRPr="00B50F1D">
        <w:rPr>
          <w:rFonts w:eastAsia="Times New Roman"/>
          <w:sz w:val="24"/>
          <w:szCs w:val="24"/>
        </w:rPr>
        <w:t xml:space="preserve"> is the high vacancy regime.  Because these estimated responses depend upon the initial regime, these GIRFs are described as </w:t>
      </w:r>
      <w:proofErr w:type="gramStart"/>
      <w:r w:rsidRPr="00B50F1D">
        <w:rPr>
          <w:rFonts w:eastAsia="Times New Roman"/>
          <w:i/>
          <w:sz w:val="24"/>
          <w:szCs w:val="24"/>
        </w:rPr>
        <w:t>state-dependent</w:t>
      </w:r>
      <w:proofErr w:type="gramEnd"/>
      <w:r w:rsidRPr="00B50F1D">
        <w:rPr>
          <w:rFonts w:eastAsia="Times New Roman"/>
          <w:sz w:val="24"/>
          <w:szCs w:val="24"/>
        </w:rPr>
        <w:t xml:space="preserve">.  Across both regimes, the South’s vacancy rate is not significantly changed by an increase in the number of households unhappily living in the South wanting to migrate out.  However, the vacancy rate in the South does respond asymmetrically across regimes to an increase in the number of households living outside the South wanting to migrate in.  In the high-vacancy regime, the South’s vacancy rate responds as expected: increasing in response to a shock to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M</m:t>
            </m:r>
          </m:e>
          <m:sub>
            <m:r>
              <w:rPr>
                <w:rFonts w:ascii="Cambria Math" w:eastAsia="Times New Roman" w:hAnsi="Cambria Math"/>
                <w:sz w:val="24"/>
                <w:szCs w:val="24"/>
              </w:rPr>
              <m:t>j</m:t>
            </m:r>
          </m:sub>
        </m:sSub>
      </m:oMath>
      <w:r w:rsidRPr="00B50F1D">
        <w:rPr>
          <w:rFonts w:eastAsia="Times New Roman"/>
          <w:sz w:val="24"/>
          <w:szCs w:val="24"/>
        </w:rPr>
        <w:t>. But in the low vacancy regime, the same shock does not significantly alter the vacancy rate though the point estimate of the response is positive.</w:t>
      </w:r>
    </w:p>
    <w:p w14:paraId="1027E742" w14:textId="64101916"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The second row of </w:t>
      </w:r>
      <w:r w:rsidR="002B6B33">
        <w:rPr>
          <w:rFonts w:eastAsia="Times New Roman"/>
          <w:sz w:val="24"/>
          <w:szCs w:val="24"/>
        </w:rPr>
        <w:t>F</w:t>
      </w:r>
      <w:r w:rsidRPr="00B50F1D">
        <w:rPr>
          <w:rFonts w:eastAsia="Times New Roman"/>
          <w:sz w:val="24"/>
          <w:szCs w:val="24"/>
        </w:rPr>
        <w:t>igure 1</w:t>
      </w:r>
      <w:r w:rsidR="00ED0A7D">
        <w:rPr>
          <w:rFonts w:eastAsia="Times New Roman"/>
          <w:sz w:val="24"/>
          <w:szCs w:val="24"/>
        </w:rPr>
        <w:t>2</w:t>
      </w:r>
      <w:r w:rsidRPr="00B50F1D">
        <w:rPr>
          <w:rFonts w:eastAsia="Times New Roman"/>
          <w:sz w:val="24"/>
          <w:szCs w:val="24"/>
        </w:rPr>
        <w:t xml:space="preserve"> shows the state-dependent responses of the Northeast vacancy rate to the migration shocks.  The results for both regimes match the generalized responses for the Northeast presented in figure 1</w:t>
      </w:r>
      <w:r w:rsidR="00ED0A7D">
        <w:rPr>
          <w:rFonts w:eastAsia="Times New Roman"/>
          <w:sz w:val="24"/>
          <w:szCs w:val="24"/>
        </w:rPr>
        <w:t>1</w:t>
      </w:r>
      <w:r w:rsidRPr="00B50F1D">
        <w:rPr>
          <w:rFonts w:eastAsia="Times New Roman"/>
          <w:sz w:val="24"/>
          <w:szCs w:val="24"/>
        </w:rPr>
        <w:t>.  An increase in households wanting to leave the Northeast drives the Northeast vacancy rate significantly down across both regimes.  An increase in external households wanting to move-in drives the vacancy rate up in both regimes.  Despite marginal differences in size of the effect, the shape and significance of the state-dependent responses are consistent across regimes.</w:t>
      </w:r>
    </w:p>
    <w:p w14:paraId="65DF7975" w14:textId="4AD020A4"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In the third row of </w:t>
      </w:r>
      <w:r w:rsidR="002B6B33">
        <w:rPr>
          <w:rFonts w:eastAsia="Times New Roman"/>
          <w:sz w:val="24"/>
          <w:szCs w:val="24"/>
        </w:rPr>
        <w:t>F</w:t>
      </w:r>
      <w:r w:rsidRPr="00B50F1D">
        <w:rPr>
          <w:rFonts w:eastAsia="Times New Roman"/>
          <w:sz w:val="24"/>
          <w:szCs w:val="24"/>
        </w:rPr>
        <w:t>igure 1</w:t>
      </w:r>
      <w:r w:rsidR="00ED0A7D">
        <w:rPr>
          <w:rFonts w:eastAsia="Times New Roman"/>
          <w:sz w:val="24"/>
          <w:szCs w:val="24"/>
        </w:rPr>
        <w:t>2</w:t>
      </w:r>
      <w:r w:rsidRPr="00B50F1D">
        <w:rPr>
          <w:rFonts w:eastAsia="Times New Roman"/>
          <w:sz w:val="24"/>
          <w:szCs w:val="24"/>
        </w:rPr>
        <w:t>, we present the response of the Midwest vacancy rate to a shock to the migration variables.  When the number of households wanting to leave the Midwest increases, the vacancy rate in the Midwest has the expected positive response in the high vacancy regime.  However</w:t>
      </w:r>
      <w:r w:rsidR="00C0525E">
        <w:rPr>
          <w:rFonts w:eastAsia="Times New Roman"/>
          <w:sz w:val="24"/>
          <w:szCs w:val="24"/>
        </w:rPr>
        <w:t>,</w:t>
      </w:r>
      <w:r w:rsidRPr="00B50F1D">
        <w:rPr>
          <w:rFonts w:eastAsia="Times New Roman"/>
          <w:sz w:val="24"/>
          <w:szCs w:val="24"/>
        </w:rPr>
        <w:t xml:space="preserve"> in the low-vacancy regime, the point estimate of the response is estimated to be negative</w:t>
      </w:r>
      <w:r w:rsidR="00A42AD1">
        <w:rPr>
          <w:rFonts w:eastAsia="Times New Roman"/>
          <w:sz w:val="24"/>
          <w:szCs w:val="24"/>
        </w:rPr>
        <w:t>,</w:t>
      </w:r>
      <w:r w:rsidRPr="00B50F1D">
        <w:rPr>
          <w:rFonts w:eastAsia="Times New Roman"/>
          <w:sz w:val="24"/>
          <w:szCs w:val="24"/>
        </w:rPr>
        <w:t xml:space="preserve"> but this effect is not significantly different from zero.  In response to an increase in the number of households wanting to migrate into the Midwest, the vacancy rate eventually </w:t>
      </w:r>
      <w:r w:rsidRPr="00B50F1D">
        <w:rPr>
          <w:rFonts w:eastAsia="Times New Roman"/>
          <w:sz w:val="24"/>
          <w:szCs w:val="24"/>
        </w:rPr>
        <w:lastRenderedPageBreak/>
        <w:t>increases across both regimes but there is evidence of short-run asymmetry across regimes as the vacancy rate initially decreases in the low-vacancy regime.</w:t>
      </w:r>
    </w:p>
    <w:p w14:paraId="49437D55" w14:textId="162CE56A"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Finally, the fourth row of </w:t>
      </w:r>
      <w:r w:rsidR="00E444BC">
        <w:rPr>
          <w:rFonts w:eastAsia="Times New Roman"/>
          <w:sz w:val="24"/>
          <w:szCs w:val="24"/>
        </w:rPr>
        <w:t>F</w:t>
      </w:r>
      <w:r w:rsidRPr="00B50F1D">
        <w:rPr>
          <w:rFonts w:eastAsia="Times New Roman"/>
          <w:sz w:val="24"/>
          <w:szCs w:val="24"/>
        </w:rPr>
        <w:t>igure 1</w:t>
      </w:r>
      <w:r w:rsidR="00ED0A7D">
        <w:rPr>
          <w:rFonts w:eastAsia="Times New Roman"/>
          <w:sz w:val="24"/>
          <w:szCs w:val="24"/>
        </w:rPr>
        <w:t>2</w:t>
      </w:r>
      <w:r w:rsidRPr="00B50F1D">
        <w:rPr>
          <w:rFonts w:eastAsia="Times New Roman"/>
          <w:sz w:val="24"/>
          <w:szCs w:val="24"/>
        </w:rPr>
        <w:t xml:space="preserve"> shows the response of the West vacancy rate to a shock to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j</m:t>
            </m:r>
          </m:sub>
        </m:sSub>
      </m:oMath>
      <w:r w:rsidRPr="00B50F1D">
        <w:rPr>
          <w:rFonts w:eastAsia="Times New Roman"/>
          <w:sz w:val="24"/>
          <w:szCs w:val="24"/>
        </w:rPr>
        <w:t xml:space="preserve"> and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M</m:t>
            </m:r>
          </m:e>
          <m:sub>
            <m:r>
              <w:rPr>
                <w:rFonts w:ascii="Cambria Math" w:eastAsia="Times New Roman" w:hAnsi="Cambria Math"/>
                <w:sz w:val="24"/>
                <w:szCs w:val="24"/>
              </w:rPr>
              <m:t>j</m:t>
            </m:r>
          </m:sub>
        </m:sSub>
      </m:oMath>
      <w:r w:rsidRPr="00B50F1D">
        <w:rPr>
          <w:rFonts w:eastAsia="Times New Roman"/>
          <w:sz w:val="24"/>
          <w:szCs w:val="24"/>
        </w:rPr>
        <w:t xml:space="preserve">.  Across both shocks, the response of the vacancy rate is virtually identical conditional on being in either of the two regimes.  This result is most likely explained by the fact that the low vacancy periods are relatively short-lived (i.e., one-quarter) based on the estimated timing in </w:t>
      </w:r>
      <w:r w:rsidR="00E444BC">
        <w:rPr>
          <w:rFonts w:eastAsia="Times New Roman"/>
          <w:sz w:val="24"/>
          <w:szCs w:val="24"/>
        </w:rPr>
        <w:t>F</w:t>
      </w:r>
      <w:r w:rsidRPr="00B50F1D">
        <w:rPr>
          <w:rFonts w:eastAsia="Times New Roman"/>
          <w:sz w:val="24"/>
          <w:szCs w:val="24"/>
        </w:rPr>
        <w:t>igure 1</w:t>
      </w:r>
      <w:r w:rsidR="00ED0A7D">
        <w:rPr>
          <w:rFonts w:eastAsia="Times New Roman"/>
          <w:sz w:val="24"/>
          <w:szCs w:val="24"/>
        </w:rPr>
        <w:t>0</w:t>
      </w:r>
      <w:r w:rsidRPr="00B50F1D">
        <w:rPr>
          <w:rFonts w:eastAsia="Times New Roman"/>
          <w:sz w:val="24"/>
          <w:szCs w:val="24"/>
        </w:rPr>
        <w:t>(b).  Therefore, the initial regime is relatively uninformative for how a given shock affects the vacancy rate; the model tends to switch to (or stay in) the high vacancy regime quickly so the dynamic effects are indistinguishable.</w:t>
      </w:r>
    </w:p>
    <w:p w14:paraId="3D2BFB13" w14:textId="5A935B9E"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Altogether, the state-dependent effects show that two regions (the South and Midwest) have asymmetric responses of their respective vacancy rate to migration shocks.  In both cases, the vacancy rate tends to be more responsive when the vacancy rate is in </w:t>
      </w:r>
      <w:r w:rsidR="004E1133">
        <w:rPr>
          <w:rFonts w:eastAsia="Times New Roman"/>
          <w:sz w:val="24"/>
          <w:szCs w:val="24"/>
        </w:rPr>
        <w:t>its</w:t>
      </w:r>
      <w:r w:rsidR="004E1133" w:rsidRPr="00B50F1D">
        <w:rPr>
          <w:rFonts w:eastAsia="Times New Roman"/>
          <w:sz w:val="24"/>
          <w:szCs w:val="24"/>
        </w:rPr>
        <w:t xml:space="preserve"> </w:t>
      </w:r>
      <w:r w:rsidRPr="00B50F1D">
        <w:rPr>
          <w:rFonts w:eastAsia="Times New Roman"/>
          <w:sz w:val="24"/>
          <w:szCs w:val="24"/>
        </w:rPr>
        <w:t>high-mean/high-volatility regime.  Conversely, the other two regions (the Northeast and the West) have similar responses across regimes, and therefore their housing-migration dynamics are relatively constant across the time series considered.</w:t>
      </w:r>
      <w:r w:rsidR="004C67A2">
        <w:rPr>
          <w:rFonts w:eastAsia="Times New Roman"/>
          <w:sz w:val="24"/>
          <w:szCs w:val="24"/>
        </w:rPr>
        <w:t xml:space="preserve"> We discuss potential rationale for</w:t>
      </w:r>
      <w:r w:rsidR="002E4A59">
        <w:rPr>
          <w:rFonts w:eastAsia="Times New Roman"/>
          <w:sz w:val="24"/>
          <w:szCs w:val="24"/>
        </w:rPr>
        <w:t xml:space="preserve"> some of</w:t>
      </w:r>
      <w:r w:rsidR="004C67A2">
        <w:rPr>
          <w:rFonts w:eastAsia="Times New Roman"/>
          <w:sz w:val="24"/>
          <w:szCs w:val="24"/>
        </w:rPr>
        <w:t xml:space="preserve"> these differences below.</w:t>
      </w:r>
    </w:p>
    <w:p w14:paraId="5B4BCF88" w14:textId="77777777" w:rsidR="00B50F1D" w:rsidRPr="00B50F1D" w:rsidRDefault="00B50F1D" w:rsidP="00B50F1D">
      <w:pPr>
        <w:spacing w:after="200" w:line="276" w:lineRule="auto"/>
        <w:ind w:firstLine="720"/>
        <w:rPr>
          <w:rFonts w:eastAsia="Times New Roman"/>
          <w:sz w:val="24"/>
          <w:szCs w:val="24"/>
        </w:rPr>
      </w:pPr>
    </w:p>
    <w:p w14:paraId="06658720" w14:textId="77777777" w:rsidR="00B50F1D" w:rsidRPr="00B50F1D" w:rsidRDefault="00B50F1D" w:rsidP="00B50F1D">
      <w:pPr>
        <w:spacing w:after="200" w:line="276" w:lineRule="auto"/>
        <w:rPr>
          <w:rFonts w:eastAsia="Calibri"/>
          <w:b/>
          <w:sz w:val="24"/>
          <w:szCs w:val="24"/>
        </w:rPr>
      </w:pPr>
      <w:r w:rsidRPr="00B50F1D">
        <w:rPr>
          <w:rFonts w:eastAsia="Calibri"/>
          <w:b/>
          <w:sz w:val="24"/>
          <w:szCs w:val="24"/>
        </w:rPr>
        <w:t>Conclusion</w:t>
      </w:r>
    </w:p>
    <w:p w14:paraId="709A902C" w14:textId="622EAAEA" w:rsidR="00F938E4" w:rsidRDefault="00F938E4" w:rsidP="00B50F1D">
      <w:pPr>
        <w:spacing w:after="200" w:line="276" w:lineRule="auto"/>
        <w:ind w:firstLine="720"/>
        <w:rPr>
          <w:rFonts w:eastAsia="Calibri"/>
          <w:sz w:val="24"/>
          <w:szCs w:val="24"/>
        </w:rPr>
      </w:pPr>
      <w:r>
        <w:rPr>
          <w:rFonts w:eastAsia="Calibri"/>
          <w:sz w:val="24"/>
          <w:szCs w:val="24"/>
        </w:rPr>
        <w:t>This paper considers the</w:t>
      </w:r>
      <w:r w:rsidR="0014342D">
        <w:rPr>
          <w:rFonts w:eastAsia="Calibri"/>
          <w:sz w:val="24"/>
          <w:szCs w:val="24"/>
        </w:rPr>
        <w:t xml:space="preserve"> hypothesis that there are</w:t>
      </w:r>
      <w:r>
        <w:rPr>
          <w:rFonts w:eastAsia="Calibri"/>
          <w:sz w:val="24"/>
          <w:szCs w:val="24"/>
        </w:rPr>
        <w:t xml:space="preserve"> linkages between regional </w:t>
      </w:r>
      <w:r w:rsidR="001E7B5D">
        <w:rPr>
          <w:rFonts w:eastAsia="Calibri"/>
          <w:sz w:val="24"/>
          <w:szCs w:val="24"/>
        </w:rPr>
        <w:t>single</w:t>
      </w:r>
      <w:r w:rsidR="009C6D80">
        <w:rPr>
          <w:rFonts w:eastAsia="Calibri"/>
          <w:sz w:val="24"/>
          <w:szCs w:val="24"/>
        </w:rPr>
        <w:t>-</w:t>
      </w:r>
      <w:r w:rsidR="001E7B5D">
        <w:rPr>
          <w:rFonts w:eastAsia="Calibri"/>
          <w:sz w:val="24"/>
          <w:szCs w:val="24"/>
        </w:rPr>
        <w:t xml:space="preserve">family residential </w:t>
      </w:r>
      <w:r>
        <w:rPr>
          <w:rFonts w:eastAsia="Calibri"/>
          <w:sz w:val="24"/>
          <w:szCs w:val="24"/>
        </w:rPr>
        <w:t>vacancy rates and migration flows</w:t>
      </w:r>
      <w:r w:rsidR="00005A2D">
        <w:rPr>
          <w:rFonts w:eastAsia="Calibri"/>
          <w:sz w:val="24"/>
          <w:szCs w:val="24"/>
        </w:rPr>
        <w:t xml:space="preserve"> between regions</w:t>
      </w:r>
      <w:r>
        <w:rPr>
          <w:rFonts w:eastAsia="Calibri"/>
          <w:sz w:val="24"/>
          <w:szCs w:val="24"/>
        </w:rPr>
        <w:t xml:space="preserve">. </w:t>
      </w:r>
      <w:r w:rsidR="00B50F1D" w:rsidRPr="00B50F1D">
        <w:rPr>
          <w:rFonts w:eastAsia="Calibri"/>
          <w:sz w:val="24"/>
          <w:szCs w:val="24"/>
        </w:rPr>
        <w:t>We</w:t>
      </w:r>
      <w:r>
        <w:rPr>
          <w:rFonts w:eastAsia="Calibri"/>
          <w:sz w:val="24"/>
          <w:szCs w:val="24"/>
        </w:rPr>
        <w:t xml:space="preserve"> first</w:t>
      </w:r>
      <w:r w:rsidR="00B50F1D" w:rsidRPr="00B50F1D">
        <w:rPr>
          <w:rFonts w:eastAsia="Calibri"/>
          <w:sz w:val="24"/>
          <w:szCs w:val="24"/>
        </w:rPr>
        <w:t xml:space="preserve"> extend the Wheaton (1990) </w:t>
      </w:r>
      <w:r w:rsidR="0005286E">
        <w:rPr>
          <w:rFonts w:eastAsia="Calibri"/>
          <w:sz w:val="24"/>
          <w:szCs w:val="24"/>
        </w:rPr>
        <w:t xml:space="preserve">theoretical </w:t>
      </w:r>
      <w:r w:rsidR="00B50F1D" w:rsidRPr="00B50F1D">
        <w:rPr>
          <w:rFonts w:eastAsia="Calibri"/>
          <w:sz w:val="24"/>
          <w:szCs w:val="24"/>
        </w:rPr>
        <w:t xml:space="preserve">model of search and matching for housing to allow for interactions across regions due to migration, </w:t>
      </w:r>
      <w:r>
        <w:rPr>
          <w:rFonts w:eastAsia="Calibri"/>
          <w:sz w:val="24"/>
          <w:szCs w:val="24"/>
        </w:rPr>
        <w:t>regional housing spillovers</w:t>
      </w:r>
      <w:r w:rsidR="00B50F1D" w:rsidRPr="00B50F1D">
        <w:rPr>
          <w:rFonts w:eastAsia="Calibri"/>
          <w:sz w:val="24"/>
          <w:szCs w:val="24"/>
        </w:rPr>
        <w:t xml:space="preserve">, and multiple </w:t>
      </w:r>
      <w:r w:rsidR="00907EE5">
        <w:rPr>
          <w:rFonts w:eastAsia="Calibri"/>
          <w:sz w:val="24"/>
          <w:szCs w:val="24"/>
        </w:rPr>
        <w:t xml:space="preserve">vacancy rate </w:t>
      </w:r>
      <w:r w:rsidR="00B50F1D" w:rsidRPr="00B50F1D">
        <w:rPr>
          <w:rFonts w:eastAsia="Calibri"/>
          <w:sz w:val="24"/>
          <w:szCs w:val="24"/>
        </w:rPr>
        <w:t xml:space="preserve">regimes. While our theoretical model </w:t>
      </w:r>
      <w:r w:rsidR="007A17F7">
        <w:rPr>
          <w:rFonts w:eastAsia="Calibri"/>
          <w:sz w:val="24"/>
          <w:szCs w:val="24"/>
        </w:rPr>
        <w:t>implies that there could be</w:t>
      </w:r>
      <w:r w:rsidR="00B50F1D" w:rsidRPr="00B50F1D">
        <w:rPr>
          <w:rFonts w:eastAsia="Calibri"/>
          <w:sz w:val="24"/>
          <w:szCs w:val="24"/>
        </w:rPr>
        <w:t xml:space="preserve"> potential interdependencies across regions, our empirical analysis </w:t>
      </w:r>
      <w:r w:rsidR="00F965BC">
        <w:rPr>
          <w:rFonts w:eastAsia="Calibri"/>
          <w:sz w:val="24"/>
          <w:szCs w:val="24"/>
        </w:rPr>
        <w:t>enables us to test the hypothesis that there are</w:t>
      </w:r>
      <w:r w:rsidR="00B50F1D" w:rsidRPr="00B50F1D">
        <w:rPr>
          <w:rFonts w:eastAsia="Calibri"/>
          <w:sz w:val="24"/>
          <w:szCs w:val="24"/>
        </w:rPr>
        <w:t xml:space="preserve"> actual interdependencies</w:t>
      </w:r>
      <w:r w:rsidR="0098591B">
        <w:rPr>
          <w:rFonts w:eastAsia="Calibri"/>
          <w:sz w:val="24"/>
          <w:szCs w:val="24"/>
        </w:rPr>
        <w:t xml:space="preserve"> link</w:t>
      </w:r>
      <w:r w:rsidR="00F965BC">
        <w:rPr>
          <w:rFonts w:eastAsia="Calibri"/>
          <w:sz w:val="24"/>
          <w:szCs w:val="24"/>
        </w:rPr>
        <w:t>ing</w:t>
      </w:r>
      <w:r w:rsidR="0098591B">
        <w:rPr>
          <w:rFonts w:eastAsia="Calibri"/>
          <w:sz w:val="24"/>
          <w:szCs w:val="24"/>
        </w:rPr>
        <w:t xml:space="preserve"> regions through migration flows</w:t>
      </w:r>
      <w:r w:rsidR="00B50F1D" w:rsidRPr="00B50F1D">
        <w:rPr>
          <w:rFonts w:eastAsia="Calibri"/>
          <w:sz w:val="24"/>
          <w:szCs w:val="24"/>
        </w:rPr>
        <w:t xml:space="preserve">. </w:t>
      </w:r>
    </w:p>
    <w:p w14:paraId="6C85A2D7" w14:textId="4A57B357" w:rsidR="001C4DD8" w:rsidRPr="00B50F1D" w:rsidRDefault="001C4DD8" w:rsidP="001C4DD8">
      <w:pPr>
        <w:spacing w:after="200" w:line="276" w:lineRule="auto"/>
        <w:ind w:firstLine="720"/>
        <w:rPr>
          <w:rFonts w:eastAsia="Calibri"/>
          <w:sz w:val="24"/>
          <w:szCs w:val="24"/>
        </w:rPr>
      </w:pPr>
      <w:r>
        <w:rPr>
          <w:rFonts w:eastAsia="Calibri"/>
          <w:sz w:val="24"/>
          <w:szCs w:val="24"/>
        </w:rPr>
        <w:t>More specifically, o</w:t>
      </w:r>
      <w:r w:rsidRPr="00B50F1D">
        <w:rPr>
          <w:rFonts w:eastAsia="Calibri"/>
          <w:sz w:val="24"/>
          <w:szCs w:val="24"/>
        </w:rPr>
        <w:t>ur theoretical model identifies potential interdependencies between regions that may arise due to the desire of homeowners to migrate to a different region. Our theoretical model i</w:t>
      </w:r>
      <w:r w:rsidR="00F64403">
        <w:rPr>
          <w:rFonts w:eastAsia="Calibri"/>
          <w:sz w:val="24"/>
          <w:szCs w:val="24"/>
        </w:rPr>
        <w:t>mplies</w:t>
      </w:r>
      <w:r w:rsidRPr="00B50F1D">
        <w:rPr>
          <w:rFonts w:eastAsia="Calibri"/>
          <w:sz w:val="24"/>
          <w:szCs w:val="24"/>
        </w:rPr>
        <w:t xml:space="preserve"> that the two migration variables,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m:t>
            </m:r>
          </m:sub>
        </m:sSub>
      </m:oMath>
      <w:r w:rsidRPr="00B50F1D">
        <w:rPr>
          <w:rFonts w:eastAsia="Calibri"/>
          <w:sz w:val="24"/>
          <w:szCs w:val="24"/>
        </w:rPr>
        <w:t xml:space="preserve"> and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j</m:t>
            </m:r>
          </m:sub>
        </m:sSub>
      </m:oMath>
      <w:r w:rsidRPr="00B50F1D">
        <w:rPr>
          <w:rFonts w:eastAsia="Calibri"/>
          <w:sz w:val="24"/>
          <w:szCs w:val="24"/>
        </w:rPr>
        <w:t>, should positively impact the future vacancy rate in region i. These relationships are intuitive because they imply</w:t>
      </w:r>
      <w:r w:rsidR="00F54A4B">
        <w:rPr>
          <w:rFonts w:eastAsia="Calibri"/>
          <w:sz w:val="24"/>
          <w:szCs w:val="24"/>
        </w:rPr>
        <w:t xml:space="preserve"> testable hypotheses</w:t>
      </w:r>
      <w:r w:rsidRPr="00B50F1D">
        <w:rPr>
          <w:rFonts w:eastAsia="Calibri"/>
          <w:sz w:val="24"/>
          <w:szCs w:val="24"/>
        </w:rPr>
        <w:t xml:space="preserve"> that more people wanting to move out of region </w:t>
      </w:r>
      <m:oMath>
        <m:r>
          <w:rPr>
            <w:rFonts w:ascii="Cambria Math" w:eastAsia="Calibri" w:hAnsi="Cambria Math"/>
            <w:sz w:val="24"/>
            <w:szCs w:val="24"/>
          </w:rPr>
          <m:t>i</m:t>
        </m:r>
      </m:oMath>
      <w:r w:rsidR="00573E8A">
        <w:rPr>
          <w:rFonts w:eastAsia="Calibri"/>
          <w:sz w:val="24"/>
          <w:szCs w:val="24"/>
        </w:rPr>
        <w:t xml:space="preserve"> </w:t>
      </w:r>
      <w:r w:rsidR="0075400A">
        <w:rPr>
          <w:rFonts w:eastAsia="Calibri"/>
          <w:sz w:val="24"/>
          <w:szCs w:val="24"/>
        </w:rPr>
        <w:t xml:space="preserve">and into region </w:t>
      </w:r>
      <m:oMath>
        <m:r>
          <w:rPr>
            <w:rFonts w:ascii="Cambria Math" w:eastAsia="Calibri" w:hAnsi="Cambria Math"/>
            <w:sz w:val="24"/>
            <w:szCs w:val="24"/>
          </w:rPr>
          <m:t>j</m:t>
        </m:r>
      </m:oMath>
      <w:r w:rsidR="0075400A">
        <w:rPr>
          <w:rFonts w:eastAsia="Calibri"/>
          <w:sz w:val="24"/>
          <w:szCs w:val="24"/>
        </w:rPr>
        <w:t xml:space="preserve"> </w:t>
      </w:r>
      <w:r w:rsidR="008838C7">
        <w:rPr>
          <w:rFonts w:eastAsia="Calibri"/>
          <w:sz w:val="24"/>
          <w:szCs w:val="24"/>
        </w:rPr>
        <w:t xml:space="preserve">(i.e., higher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m:t>
            </m:r>
          </m:sub>
        </m:sSub>
      </m:oMath>
      <w:r w:rsidR="008838C7">
        <w:rPr>
          <w:rFonts w:eastAsia="Calibri"/>
          <w:sz w:val="24"/>
          <w:szCs w:val="24"/>
        </w:rPr>
        <w:t xml:space="preserve">) </w:t>
      </w:r>
      <w:r w:rsidR="00573E8A">
        <w:rPr>
          <w:rFonts w:eastAsia="Calibri"/>
          <w:sz w:val="24"/>
          <w:szCs w:val="24"/>
        </w:rPr>
        <w:t>should lead to higher vacancy rates in region</w:t>
      </w:r>
      <m:oMath>
        <m:r>
          <w:rPr>
            <w:rFonts w:ascii="Cambria Math" w:eastAsia="Calibri" w:hAnsi="Cambria Math"/>
            <w:sz w:val="24"/>
            <w:szCs w:val="24"/>
          </w:rPr>
          <m:t xml:space="preserve"> i</m:t>
        </m:r>
      </m:oMath>
      <w:r w:rsidR="00573E8A">
        <w:rPr>
          <w:rFonts w:eastAsia="Calibri"/>
          <w:sz w:val="24"/>
          <w:szCs w:val="24"/>
        </w:rPr>
        <w:t>;</w:t>
      </w:r>
      <w:r w:rsidRPr="00B50F1D">
        <w:rPr>
          <w:rFonts w:eastAsia="Calibri"/>
          <w:sz w:val="24"/>
          <w:szCs w:val="24"/>
        </w:rPr>
        <w:t xml:space="preserve"> and more people happily living in regions other than region </w:t>
      </w:r>
      <m:oMath>
        <m:r>
          <w:rPr>
            <w:rFonts w:ascii="Cambria Math" w:eastAsia="Calibri" w:hAnsi="Cambria Math"/>
            <w:sz w:val="24"/>
            <w:szCs w:val="24"/>
          </w:rPr>
          <m:t>i</m:t>
        </m:r>
      </m:oMath>
      <w:r w:rsidRPr="00B50F1D">
        <w:rPr>
          <w:rFonts w:eastAsia="Calibri"/>
          <w:sz w:val="24"/>
          <w:szCs w:val="24"/>
        </w:rPr>
        <w:t xml:space="preserve"> </w:t>
      </w:r>
      <w:r w:rsidR="00D82B64">
        <w:rPr>
          <w:rFonts w:eastAsia="Calibri"/>
          <w:sz w:val="24"/>
          <w:szCs w:val="24"/>
        </w:rPr>
        <w:t xml:space="preserve">(i.e., region </w:t>
      </w:r>
      <m:oMath>
        <m:r>
          <w:rPr>
            <w:rFonts w:ascii="Cambria Math" w:eastAsia="Calibri" w:hAnsi="Cambria Math"/>
            <w:sz w:val="24"/>
            <w:szCs w:val="24"/>
          </w:rPr>
          <m:t>j</m:t>
        </m:r>
      </m:oMath>
      <w:r w:rsidR="00D82B64">
        <w:rPr>
          <w:rFonts w:eastAsia="Calibri"/>
          <w:sz w:val="24"/>
          <w:szCs w:val="24"/>
        </w:rPr>
        <w:t xml:space="preserve">) </w:t>
      </w:r>
      <w:r w:rsidR="00DF2181">
        <w:rPr>
          <w:rFonts w:eastAsia="Calibri"/>
          <w:sz w:val="24"/>
          <w:szCs w:val="24"/>
        </w:rPr>
        <w:t xml:space="preserve">who </w:t>
      </w:r>
      <w:r w:rsidR="003D439A">
        <w:rPr>
          <w:rFonts w:eastAsia="Calibri"/>
          <w:sz w:val="24"/>
          <w:szCs w:val="24"/>
        </w:rPr>
        <w:t xml:space="preserve">do not </w:t>
      </w:r>
      <w:r w:rsidR="00DF2181">
        <w:rPr>
          <w:rFonts w:eastAsia="Calibri"/>
          <w:sz w:val="24"/>
          <w:szCs w:val="24"/>
        </w:rPr>
        <w:t xml:space="preserve">want to migrate into region </w:t>
      </w:r>
      <w:proofErr w:type="spellStart"/>
      <w:r w:rsidR="00DF2181">
        <w:rPr>
          <w:rFonts w:eastAsia="Calibri"/>
          <w:sz w:val="24"/>
          <w:szCs w:val="24"/>
        </w:rPr>
        <w:t>i</w:t>
      </w:r>
      <w:proofErr w:type="spellEnd"/>
      <w:r w:rsidR="00DF2181">
        <w:rPr>
          <w:rFonts w:eastAsia="Calibri"/>
          <w:sz w:val="24"/>
          <w:szCs w:val="24"/>
        </w:rPr>
        <w:t xml:space="preserve"> (i.e.,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j</m:t>
            </m:r>
          </m:sub>
        </m:sSub>
      </m:oMath>
      <w:r w:rsidR="00DF2181">
        <w:rPr>
          <w:rFonts w:eastAsia="Calibri"/>
          <w:sz w:val="24"/>
          <w:szCs w:val="24"/>
        </w:rPr>
        <w:t xml:space="preserve">) </w:t>
      </w:r>
      <w:r w:rsidRPr="00B50F1D">
        <w:rPr>
          <w:rFonts w:eastAsia="Calibri"/>
          <w:sz w:val="24"/>
          <w:szCs w:val="24"/>
        </w:rPr>
        <w:t>will drive up future vacancy rates</w:t>
      </w:r>
      <w:r w:rsidR="00FC5AC6">
        <w:rPr>
          <w:rFonts w:eastAsia="Calibri"/>
          <w:sz w:val="24"/>
          <w:szCs w:val="24"/>
        </w:rPr>
        <w:t xml:space="preserve"> in region </w:t>
      </w:r>
      <m:oMath>
        <m:r>
          <w:rPr>
            <w:rFonts w:ascii="Cambria Math" w:eastAsia="Calibri" w:hAnsi="Cambria Math"/>
            <w:sz w:val="24"/>
            <w:szCs w:val="24"/>
          </w:rPr>
          <m:t>i</m:t>
        </m:r>
      </m:oMath>
      <w:r w:rsidRPr="00B50F1D">
        <w:rPr>
          <w:rFonts w:eastAsia="Calibri"/>
          <w:sz w:val="24"/>
          <w:szCs w:val="24"/>
        </w:rPr>
        <w:t xml:space="preserve">. </w:t>
      </w:r>
      <w:r>
        <w:rPr>
          <w:rFonts w:eastAsia="Calibri"/>
          <w:sz w:val="24"/>
          <w:szCs w:val="24"/>
        </w:rPr>
        <w:t>Largely we find that regional vacancy rate movements are driven by</w:t>
      </w:r>
      <w:r w:rsidR="00021311">
        <w:rPr>
          <w:rFonts w:eastAsia="Calibri"/>
          <w:sz w:val="24"/>
          <w:szCs w:val="24"/>
        </w:rPr>
        <w:t xml:space="preserve">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j</m:t>
            </m:r>
          </m:sub>
        </m:sSub>
      </m:oMath>
      <w:r w:rsidR="008B49C1">
        <w:rPr>
          <w:rFonts w:eastAsia="Calibri"/>
          <w:sz w:val="24"/>
          <w:szCs w:val="24"/>
        </w:rPr>
        <w:t xml:space="preserve">, i.e., </w:t>
      </w:r>
      <w:r>
        <w:rPr>
          <w:rFonts w:eastAsia="Calibri"/>
          <w:sz w:val="24"/>
          <w:szCs w:val="24"/>
        </w:rPr>
        <w:t>those households which are “happily” living outside</w:t>
      </w:r>
      <w:r w:rsidR="002C3006">
        <w:rPr>
          <w:rFonts w:eastAsia="Calibri"/>
          <w:sz w:val="24"/>
          <w:szCs w:val="24"/>
        </w:rPr>
        <w:t xml:space="preserve"> of</w:t>
      </w:r>
      <w:r>
        <w:rPr>
          <w:rFonts w:eastAsia="Calibri"/>
          <w:sz w:val="24"/>
          <w:szCs w:val="24"/>
        </w:rPr>
        <w:t xml:space="preserve"> region</w:t>
      </w:r>
      <w:r w:rsidR="002C3006">
        <w:rPr>
          <w:rFonts w:eastAsia="Calibri"/>
          <w:sz w:val="24"/>
          <w:szCs w:val="24"/>
        </w:rPr>
        <w:t xml:space="preserve"> </w:t>
      </w:r>
      <m:oMath>
        <m:r>
          <w:rPr>
            <w:rFonts w:ascii="Cambria Math" w:eastAsia="Calibri" w:hAnsi="Cambria Math"/>
            <w:sz w:val="24"/>
            <w:szCs w:val="24"/>
          </w:rPr>
          <m:t>i</m:t>
        </m:r>
      </m:oMath>
      <w:r w:rsidR="009C6D80" w:rsidDel="009C6D80">
        <w:rPr>
          <w:rFonts w:eastAsia="Calibri"/>
          <w:sz w:val="24"/>
          <w:szCs w:val="24"/>
        </w:rPr>
        <w:t xml:space="preserve"> </w:t>
      </w:r>
      <w:r w:rsidR="002C3006">
        <w:rPr>
          <w:rFonts w:eastAsia="Calibri"/>
          <w:sz w:val="24"/>
          <w:szCs w:val="24"/>
        </w:rPr>
        <w:t xml:space="preserve">who </w:t>
      </w:r>
      <w:r w:rsidR="00141A42">
        <w:rPr>
          <w:rFonts w:eastAsia="Calibri"/>
          <w:sz w:val="24"/>
          <w:szCs w:val="24"/>
        </w:rPr>
        <w:t>have no desire</w:t>
      </w:r>
      <w:r>
        <w:rPr>
          <w:rFonts w:eastAsia="Calibri"/>
          <w:sz w:val="24"/>
          <w:szCs w:val="24"/>
        </w:rPr>
        <w:t xml:space="preserve"> to migrat</w:t>
      </w:r>
      <w:r w:rsidR="002C3006">
        <w:rPr>
          <w:rFonts w:eastAsia="Calibri"/>
          <w:sz w:val="24"/>
          <w:szCs w:val="24"/>
        </w:rPr>
        <w:t>e</w:t>
      </w:r>
      <w:r>
        <w:rPr>
          <w:rFonts w:eastAsia="Calibri"/>
          <w:sz w:val="24"/>
          <w:szCs w:val="24"/>
        </w:rPr>
        <w:t xml:space="preserve"> into region</w:t>
      </w:r>
      <w:r w:rsidR="00021311">
        <w:rPr>
          <w:rFonts w:eastAsia="Calibri"/>
          <w:sz w:val="24"/>
          <w:szCs w:val="24"/>
        </w:rPr>
        <w:t xml:space="preserve"> </w:t>
      </w:r>
      <m:oMath>
        <m:r>
          <w:rPr>
            <w:rFonts w:ascii="Cambria Math" w:eastAsia="Calibri" w:hAnsi="Cambria Math"/>
            <w:sz w:val="24"/>
            <w:szCs w:val="24"/>
          </w:rPr>
          <m:t>i</m:t>
        </m:r>
      </m:oMath>
      <w:r>
        <w:rPr>
          <w:rFonts w:eastAsia="Calibri"/>
          <w:sz w:val="24"/>
          <w:szCs w:val="24"/>
        </w:rPr>
        <w:t xml:space="preserve">. However, our empirical results find no consistent effect on regional vacancy rates from changes in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m:t>
            </m:r>
          </m:sub>
        </m:sSub>
      </m:oMath>
      <w:r>
        <w:rPr>
          <w:rFonts w:eastAsia="Calibri"/>
          <w:sz w:val="24"/>
          <w:szCs w:val="24"/>
        </w:rPr>
        <w:t xml:space="preserve">, households which are </w:t>
      </w:r>
      <w:r>
        <w:rPr>
          <w:rFonts w:eastAsia="Calibri"/>
          <w:sz w:val="24"/>
          <w:szCs w:val="24"/>
        </w:rPr>
        <w:lastRenderedPageBreak/>
        <w:t>“unhappily” living in region</w:t>
      </w:r>
      <w:r w:rsidR="007F1F08">
        <w:rPr>
          <w:rFonts w:eastAsia="Calibri"/>
          <w:sz w:val="24"/>
          <w:szCs w:val="24"/>
        </w:rPr>
        <w:t xml:space="preserve"> </w:t>
      </w:r>
      <m:oMath>
        <m:r>
          <w:rPr>
            <w:rFonts w:ascii="Cambria Math" w:eastAsia="Calibri" w:hAnsi="Cambria Math"/>
            <w:sz w:val="24"/>
            <w:szCs w:val="24"/>
          </w:rPr>
          <m:t>i</m:t>
        </m:r>
      </m:oMath>
      <w:r>
        <w:rPr>
          <w:rFonts w:eastAsia="Calibri"/>
          <w:sz w:val="24"/>
          <w:szCs w:val="24"/>
        </w:rPr>
        <w:t xml:space="preserve"> wishing to migrate out</w:t>
      </w:r>
      <w:r w:rsidR="00692A44">
        <w:rPr>
          <w:rFonts w:eastAsia="Calibri"/>
          <w:sz w:val="24"/>
          <w:szCs w:val="24"/>
        </w:rPr>
        <w:t xml:space="preserve"> (and into region </w:t>
      </w:r>
      <m:oMath>
        <m:r>
          <w:rPr>
            <w:rFonts w:ascii="Cambria Math" w:eastAsia="Calibri" w:hAnsi="Cambria Math"/>
            <w:sz w:val="24"/>
            <w:szCs w:val="24"/>
          </w:rPr>
          <m:t>j</m:t>
        </m:r>
      </m:oMath>
      <w:r w:rsidR="00692A44">
        <w:rPr>
          <w:rFonts w:eastAsia="Calibri"/>
          <w:sz w:val="24"/>
          <w:szCs w:val="24"/>
        </w:rPr>
        <w:t>)</w:t>
      </w:r>
      <w:r>
        <w:rPr>
          <w:rFonts w:eastAsia="Calibri"/>
          <w:sz w:val="24"/>
          <w:szCs w:val="24"/>
        </w:rPr>
        <w:t>. The MS-VAR also allows</w:t>
      </w:r>
      <w:r w:rsidR="00A82ECA">
        <w:rPr>
          <w:rFonts w:eastAsia="Calibri"/>
          <w:sz w:val="24"/>
          <w:szCs w:val="24"/>
        </w:rPr>
        <w:t xml:space="preserve"> us</w:t>
      </w:r>
      <w:r>
        <w:rPr>
          <w:rFonts w:eastAsia="Calibri"/>
          <w:sz w:val="24"/>
          <w:szCs w:val="24"/>
        </w:rPr>
        <w:t xml:space="preserve"> to capture if these migration effects are asymmetric across</w:t>
      </w:r>
      <w:r w:rsidR="001A3D66">
        <w:rPr>
          <w:rFonts w:eastAsia="Calibri"/>
          <w:sz w:val="24"/>
          <w:szCs w:val="24"/>
        </w:rPr>
        <w:t xml:space="preserve"> vacancy rate</w:t>
      </w:r>
      <w:r>
        <w:rPr>
          <w:rFonts w:eastAsia="Calibri"/>
          <w:sz w:val="24"/>
          <w:szCs w:val="24"/>
        </w:rPr>
        <w:t xml:space="preserve"> regimes. For the South and Midwest, our results suggest that migration flows influence regional vacancy rates more during high average vacancy rate and high volatility periods. But migration effects are relatively consistent across the vacancy-rate cycle for both the Northeast and West regions.</w:t>
      </w:r>
    </w:p>
    <w:p w14:paraId="5E1A5F11" w14:textId="09E02D4F" w:rsidR="00F938E4" w:rsidRDefault="00F938E4" w:rsidP="00F938E4">
      <w:pPr>
        <w:spacing w:after="200" w:line="276" w:lineRule="auto"/>
        <w:ind w:firstLine="720"/>
        <w:rPr>
          <w:rFonts w:eastAsia="Calibri"/>
          <w:sz w:val="24"/>
          <w:szCs w:val="24"/>
        </w:rPr>
      </w:pPr>
      <w:r>
        <w:rPr>
          <w:rFonts w:eastAsia="Calibri"/>
          <w:sz w:val="24"/>
          <w:szCs w:val="24"/>
        </w:rPr>
        <w:t>Empirically,</w:t>
      </w:r>
      <w:r w:rsidR="007E2A5F">
        <w:rPr>
          <w:rFonts w:eastAsia="Calibri"/>
          <w:sz w:val="24"/>
          <w:szCs w:val="24"/>
        </w:rPr>
        <w:t xml:space="preserve"> </w:t>
      </w:r>
      <w:r w:rsidR="008B24A3">
        <w:rPr>
          <w:rFonts w:eastAsia="Calibri"/>
          <w:sz w:val="24"/>
          <w:szCs w:val="24"/>
        </w:rPr>
        <w:t>on our path to testing the above hypotheses,</w:t>
      </w:r>
      <w:r>
        <w:rPr>
          <w:rFonts w:eastAsia="Calibri"/>
          <w:sz w:val="24"/>
          <w:szCs w:val="24"/>
        </w:rPr>
        <w:t xml:space="preserve"> we estimated an array of simple univariate Markov-switching models both at the national and regional levels. We found that a Markov-switching model with three regimes gave the most intuitive identification of high-, low-, and intermediate-vacancy rate periods. However, the model which best fit the vacancy rate data was one which included both two regimes and an autoregressive term to control for persistence.</w:t>
      </w:r>
    </w:p>
    <w:p w14:paraId="222200E8" w14:textId="6B9EB76C" w:rsidR="00B67F3F" w:rsidRDefault="00F938E4" w:rsidP="00F938E4">
      <w:pPr>
        <w:spacing w:after="200" w:line="276" w:lineRule="auto"/>
        <w:ind w:firstLine="720"/>
        <w:rPr>
          <w:rFonts w:eastAsia="Calibri"/>
          <w:sz w:val="24"/>
          <w:szCs w:val="24"/>
        </w:rPr>
      </w:pPr>
      <w:r>
        <w:rPr>
          <w:rFonts w:eastAsia="Calibri"/>
          <w:sz w:val="24"/>
          <w:szCs w:val="24"/>
        </w:rPr>
        <w:t xml:space="preserve">These empirical features of the vacancy rate time series provided the motivation for us to </w:t>
      </w:r>
      <w:r w:rsidR="005D6315">
        <w:rPr>
          <w:rFonts w:eastAsia="Calibri"/>
          <w:sz w:val="24"/>
          <w:szCs w:val="24"/>
        </w:rPr>
        <w:t>test for</w:t>
      </w:r>
      <w:r>
        <w:rPr>
          <w:rFonts w:eastAsia="Calibri"/>
          <w:sz w:val="24"/>
          <w:szCs w:val="24"/>
        </w:rPr>
        <w:t xml:space="preserve"> </w:t>
      </w:r>
      <w:r w:rsidR="00486F20">
        <w:rPr>
          <w:rFonts w:eastAsia="Calibri"/>
          <w:sz w:val="24"/>
          <w:szCs w:val="24"/>
        </w:rPr>
        <w:t xml:space="preserve">migration </w:t>
      </w:r>
      <w:r>
        <w:rPr>
          <w:rFonts w:eastAsia="Calibri"/>
          <w:sz w:val="24"/>
          <w:szCs w:val="24"/>
        </w:rPr>
        <w:t>spillovers in a M</w:t>
      </w:r>
      <w:r w:rsidR="00E968DD">
        <w:rPr>
          <w:rFonts w:eastAsia="Calibri"/>
          <w:sz w:val="24"/>
          <w:szCs w:val="24"/>
        </w:rPr>
        <w:t>S-VAR</w:t>
      </w:r>
      <w:r>
        <w:rPr>
          <w:rFonts w:eastAsia="Calibri"/>
          <w:sz w:val="24"/>
          <w:szCs w:val="24"/>
        </w:rPr>
        <w:t xml:space="preserve">. This multivariate specification allowed us to capture </w:t>
      </w:r>
      <w:proofErr w:type="gramStart"/>
      <w:r>
        <w:rPr>
          <w:rFonts w:eastAsia="Calibri"/>
          <w:sz w:val="24"/>
          <w:szCs w:val="24"/>
        </w:rPr>
        <w:t>all of</w:t>
      </w:r>
      <w:proofErr w:type="gramEnd"/>
      <w:r>
        <w:rPr>
          <w:rFonts w:eastAsia="Calibri"/>
          <w:sz w:val="24"/>
          <w:szCs w:val="24"/>
        </w:rPr>
        <w:t xml:space="preserve"> the features outlined by our theoretical </w:t>
      </w:r>
      <w:r w:rsidR="004F257D">
        <w:rPr>
          <w:rFonts w:eastAsia="Calibri"/>
          <w:sz w:val="24"/>
          <w:szCs w:val="24"/>
        </w:rPr>
        <w:t>model</w:t>
      </w:r>
      <w:r w:rsidR="00B67F3F">
        <w:rPr>
          <w:rFonts w:eastAsia="Calibri"/>
          <w:sz w:val="24"/>
          <w:szCs w:val="24"/>
        </w:rPr>
        <w:t xml:space="preserve"> as well as the empirical dynamics of regional vacancy rates. The MS-VAR models tend to fit the data quite well, suggesting that a given region’s vacancy rate is well-informed by both migration flows and other regions’ vacancy rates.</w:t>
      </w:r>
    </w:p>
    <w:p w14:paraId="74F1779E" w14:textId="2187F9A8" w:rsidR="00855EBF" w:rsidRDefault="00F90B3C" w:rsidP="00F938E4">
      <w:pPr>
        <w:spacing w:after="200" w:line="276" w:lineRule="auto"/>
        <w:ind w:firstLine="720"/>
        <w:rPr>
          <w:rFonts w:eastAsia="Calibri"/>
          <w:sz w:val="24"/>
          <w:szCs w:val="24"/>
        </w:rPr>
      </w:pPr>
      <w:r>
        <w:rPr>
          <w:rFonts w:eastAsia="Calibri"/>
          <w:sz w:val="24"/>
          <w:szCs w:val="24"/>
        </w:rPr>
        <w:t>The</w:t>
      </w:r>
      <w:r w:rsidR="0013325F">
        <w:rPr>
          <w:rFonts w:eastAsia="Calibri"/>
          <w:sz w:val="24"/>
          <w:szCs w:val="24"/>
        </w:rPr>
        <w:t>se</w:t>
      </w:r>
      <w:r>
        <w:rPr>
          <w:rFonts w:eastAsia="Calibri"/>
          <w:sz w:val="24"/>
          <w:szCs w:val="24"/>
        </w:rPr>
        <w:t xml:space="preserve"> findings </w:t>
      </w:r>
      <w:r w:rsidR="0013325F">
        <w:rPr>
          <w:rFonts w:eastAsia="Calibri"/>
          <w:sz w:val="24"/>
          <w:szCs w:val="24"/>
        </w:rPr>
        <w:t>are</w:t>
      </w:r>
      <w:r>
        <w:rPr>
          <w:rFonts w:eastAsia="Calibri"/>
          <w:sz w:val="24"/>
          <w:szCs w:val="24"/>
        </w:rPr>
        <w:t xml:space="preserve"> intriguing. </w:t>
      </w:r>
      <w:r w:rsidR="00C52936">
        <w:rPr>
          <w:rFonts w:eastAsia="Calibri"/>
          <w:sz w:val="24"/>
          <w:szCs w:val="24"/>
        </w:rPr>
        <w:t>Change in the number of p</w:t>
      </w:r>
      <w:r w:rsidR="006A0899">
        <w:rPr>
          <w:rFonts w:eastAsia="Calibri"/>
          <w:sz w:val="24"/>
          <w:szCs w:val="24"/>
        </w:rPr>
        <w:t xml:space="preserve">eople living outside of </w:t>
      </w:r>
      <w:r w:rsidR="001C2357">
        <w:rPr>
          <w:rFonts w:eastAsia="Calibri"/>
          <w:sz w:val="24"/>
          <w:szCs w:val="24"/>
        </w:rPr>
        <w:t>the South who do not desire to migrate in</w:t>
      </w:r>
      <w:r w:rsidR="00272FB1">
        <w:rPr>
          <w:rFonts w:eastAsia="Calibri"/>
          <w:sz w:val="24"/>
          <w:szCs w:val="24"/>
        </w:rPr>
        <w:t>to the South</w:t>
      </w:r>
      <w:r w:rsidR="0050145E">
        <w:rPr>
          <w:rFonts w:eastAsia="Calibri"/>
          <w:sz w:val="24"/>
          <w:szCs w:val="24"/>
        </w:rPr>
        <w:t xml:space="preserve">, </w:t>
      </w:r>
      <w:r w:rsidR="00232122">
        <w:rPr>
          <w:rFonts w:eastAsia="Calibri"/>
          <w:sz w:val="24"/>
          <w:szCs w:val="24"/>
        </w:rPr>
        <w:t>is</w:t>
      </w:r>
      <w:r w:rsidR="0050145E">
        <w:rPr>
          <w:rFonts w:eastAsia="Calibri"/>
          <w:sz w:val="24"/>
          <w:szCs w:val="24"/>
        </w:rPr>
        <w:t xml:space="preserve"> the primary driver of vacancy rates in the South</w:t>
      </w:r>
      <w:r w:rsidR="006036DE">
        <w:rPr>
          <w:rFonts w:eastAsia="Calibri"/>
          <w:sz w:val="24"/>
          <w:szCs w:val="24"/>
        </w:rPr>
        <w:t xml:space="preserve"> during high vacancy regimes</w:t>
      </w:r>
      <w:r w:rsidR="0050145E">
        <w:rPr>
          <w:rFonts w:eastAsia="Calibri"/>
          <w:sz w:val="24"/>
          <w:szCs w:val="24"/>
        </w:rPr>
        <w:t>. Similar reasoning holds for the Midwest. But we do not see this phenomen</w:t>
      </w:r>
      <w:r w:rsidR="00272FB1">
        <w:rPr>
          <w:rFonts w:eastAsia="Calibri"/>
          <w:sz w:val="24"/>
          <w:szCs w:val="24"/>
        </w:rPr>
        <w:t>on in the Northeast and the West</w:t>
      </w:r>
      <w:r w:rsidR="00084965">
        <w:rPr>
          <w:rFonts w:eastAsia="Calibri"/>
          <w:sz w:val="24"/>
          <w:szCs w:val="24"/>
        </w:rPr>
        <w:t xml:space="preserve">; vacancy rates </w:t>
      </w:r>
      <w:r w:rsidR="005D3868">
        <w:rPr>
          <w:rFonts w:eastAsia="Calibri"/>
          <w:sz w:val="24"/>
          <w:szCs w:val="24"/>
        </w:rPr>
        <w:t>responses to</w:t>
      </w:r>
      <w:r w:rsidR="00084965">
        <w:rPr>
          <w:rFonts w:eastAsia="Calibri"/>
          <w:sz w:val="24"/>
          <w:szCs w:val="24"/>
        </w:rPr>
        <w:t xml:space="preserve"> migration in these regions</w:t>
      </w:r>
      <w:r w:rsidR="005D3868">
        <w:rPr>
          <w:rFonts w:eastAsia="Calibri"/>
          <w:sz w:val="24"/>
          <w:szCs w:val="24"/>
        </w:rPr>
        <w:t xml:space="preserve"> are symmetric across vacancy rate regimes</w:t>
      </w:r>
      <w:r w:rsidR="00084965">
        <w:rPr>
          <w:rFonts w:eastAsia="Calibri"/>
          <w:sz w:val="24"/>
          <w:szCs w:val="24"/>
        </w:rPr>
        <w:t>.</w:t>
      </w:r>
      <w:r w:rsidR="00D447E9">
        <w:rPr>
          <w:rFonts w:eastAsia="Calibri"/>
          <w:sz w:val="24"/>
          <w:szCs w:val="24"/>
        </w:rPr>
        <w:t xml:space="preserve"> </w:t>
      </w:r>
    </w:p>
    <w:p w14:paraId="75646BA8" w14:textId="78816ED4" w:rsidR="00F90B3C" w:rsidRDefault="00185C82" w:rsidP="00F938E4">
      <w:pPr>
        <w:spacing w:after="200" w:line="276" w:lineRule="auto"/>
        <w:ind w:firstLine="720"/>
        <w:rPr>
          <w:rFonts w:eastAsia="Calibri"/>
          <w:sz w:val="24"/>
          <w:szCs w:val="24"/>
        </w:rPr>
      </w:pPr>
      <w:r>
        <w:rPr>
          <w:rFonts w:eastAsia="Calibri"/>
          <w:sz w:val="24"/>
          <w:szCs w:val="24"/>
        </w:rPr>
        <w:t>To explain the</w:t>
      </w:r>
      <w:r w:rsidR="0048336E">
        <w:rPr>
          <w:rFonts w:eastAsia="Calibri"/>
          <w:sz w:val="24"/>
          <w:szCs w:val="24"/>
        </w:rPr>
        <w:t xml:space="preserve"> intuition behind these</w:t>
      </w:r>
      <w:r>
        <w:rPr>
          <w:rFonts w:eastAsia="Calibri"/>
          <w:sz w:val="24"/>
          <w:szCs w:val="24"/>
        </w:rPr>
        <w:t xml:space="preserve"> factors, </w:t>
      </w:r>
      <w:r w:rsidR="00B45674">
        <w:rPr>
          <w:rFonts w:eastAsia="Calibri"/>
          <w:sz w:val="24"/>
          <w:szCs w:val="24"/>
        </w:rPr>
        <w:t xml:space="preserve">the inequality argument proposed by </w:t>
      </w:r>
      <w:proofErr w:type="spellStart"/>
      <w:r w:rsidR="00B45674">
        <w:rPr>
          <w:rFonts w:eastAsia="Calibri"/>
          <w:sz w:val="24"/>
          <w:szCs w:val="24"/>
        </w:rPr>
        <w:t>Bayoumi</w:t>
      </w:r>
      <w:proofErr w:type="spellEnd"/>
      <w:r w:rsidR="00B45674">
        <w:rPr>
          <w:rFonts w:eastAsia="Calibri"/>
          <w:sz w:val="24"/>
          <w:szCs w:val="24"/>
        </w:rPr>
        <w:t xml:space="preserve"> and </w:t>
      </w:r>
      <w:proofErr w:type="spellStart"/>
      <w:r w:rsidR="00B45674">
        <w:rPr>
          <w:rFonts w:eastAsia="Calibri"/>
          <w:sz w:val="24"/>
          <w:szCs w:val="24"/>
        </w:rPr>
        <w:t>Barkema</w:t>
      </w:r>
      <w:proofErr w:type="spellEnd"/>
      <w:r w:rsidR="00B45674">
        <w:rPr>
          <w:rFonts w:eastAsia="Calibri"/>
          <w:sz w:val="24"/>
          <w:szCs w:val="24"/>
        </w:rPr>
        <w:t xml:space="preserve"> (2019) may provide some </w:t>
      </w:r>
      <w:r w:rsidR="0054329E">
        <w:rPr>
          <w:rFonts w:eastAsia="Calibri"/>
          <w:sz w:val="24"/>
          <w:szCs w:val="24"/>
        </w:rPr>
        <w:t>insights</w:t>
      </w:r>
      <w:r w:rsidR="00B45674">
        <w:rPr>
          <w:rFonts w:eastAsia="Calibri"/>
          <w:sz w:val="24"/>
          <w:szCs w:val="24"/>
        </w:rPr>
        <w:t xml:space="preserve">. </w:t>
      </w:r>
      <w:r w:rsidR="005B6ECA">
        <w:rPr>
          <w:rFonts w:eastAsia="Calibri"/>
          <w:sz w:val="24"/>
          <w:szCs w:val="24"/>
        </w:rPr>
        <w:t>F</w:t>
      </w:r>
      <w:r w:rsidR="007F5C24">
        <w:rPr>
          <w:rFonts w:eastAsia="Calibri"/>
          <w:sz w:val="24"/>
          <w:szCs w:val="24"/>
        </w:rPr>
        <w:t xml:space="preserve">irst note that the West and Northeast – with many high-tech </w:t>
      </w:r>
      <w:r w:rsidR="002C4E98">
        <w:rPr>
          <w:rFonts w:eastAsia="Calibri"/>
          <w:sz w:val="24"/>
          <w:szCs w:val="24"/>
        </w:rPr>
        <w:t>centers such as Boston, New York, Washington DC, San Francisco, San Jose, and Los Angeles -</w:t>
      </w:r>
      <w:r w:rsidR="007F5C24">
        <w:rPr>
          <w:rFonts w:eastAsia="Calibri"/>
          <w:sz w:val="24"/>
          <w:szCs w:val="24"/>
        </w:rPr>
        <w:t xml:space="preserve"> tend to be t</w:t>
      </w:r>
      <w:r w:rsidR="008E16E0">
        <w:rPr>
          <w:rFonts w:eastAsia="Calibri"/>
          <w:sz w:val="24"/>
          <w:szCs w:val="24"/>
        </w:rPr>
        <w:t>he two</w:t>
      </w:r>
      <w:r w:rsidR="007F5C24">
        <w:rPr>
          <w:rFonts w:eastAsia="Calibri"/>
          <w:sz w:val="24"/>
          <w:szCs w:val="24"/>
        </w:rPr>
        <w:t xml:space="preserve"> mo</w:t>
      </w:r>
      <w:r w:rsidR="008E16E0">
        <w:rPr>
          <w:rFonts w:eastAsia="Calibri"/>
          <w:sz w:val="24"/>
          <w:szCs w:val="24"/>
        </w:rPr>
        <w:t>st</w:t>
      </w:r>
      <w:r w:rsidR="007F5C24">
        <w:rPr>
          <w:rFonts w:eastAsia="Calibri"/>
          <w:sz w:val="24"/>
          <w:szCs w:val="24"/>
        </w:rPr>
        <w:t xml:space="preserve"> prosperous regions</w:t>
      </w:r>
      <w:r w:rsidR="002C4E98">
        <w:rPr>
          <w:rFonts w:eastAsia="Calibri"/>
          <w:sz w:val="24"/>
          <w:szCs w:val="24"/>
        </w:rPr>
        <w:t>. On the other hand,</w:t>
      </w:r>
      <w:r w:rsidR="007F5C24">
        <w:rPr>
          <w:rFonts w:eastAsia="Calibri"/>
          <w:sz w:val="24"/>
          <w:szCs w:val="24"/>
        </w:rPr>
        <w:t xml:space="preserve"> the South and Midwest tend to be less prosperous</w:t>
      </w:r>
      <w:r w:rsidR="00A771E6">
        <w:rPr>
          <w:rFonts w:eastAsia="Calibri"/>
          <w:sz w:val="24"/>
          <w:szCs w:val="24"/>
        </w:rPr>
        <w:t>, given the average incomes in many cities in those two regions</w:t>
      </w:r>
      <w:r w:rsidR="007F5C24">
        <w:rPr>
          <w:rFonts w:eastAsia="Calibri"/>
          <w:sz w:val="24"/>
          <w:szCs w:val="24"/>
        </w:rPr>
        <w:t>.</w:t>
      </w:r>
      <w:r w:rsidR="005B6ECA">
        <w:rPr>
          <w:rFonts w:eastAsia="Calibri"/>
          <w:sz w:val="24"/>
          <w:szCs w:val="24"/>
        </w:rPr>
        <w:t xml:space="preserve"> </w:t>
      </w:r>
      <w:proofErr w:type="spellStart"/>
      <w:r w:rsidR="005B6ECA">
        <w:rPr>
          <w:rFonts w:eastAsia="Calibri"/>
          <w:sz w:val="24"/>
          <w:szCs w:val="24"/>
        </w:rPr>
        <w:t>Bayoumi</w:t>
      </w:r>
      <w:proofErr w:type="spellEnd"/>
      <w:r w:rsidR="005B6ECA">
        <w:rPr>
          <w:rFonts w:eastAsia="Calibri"/>
          <w:sz w:val="24"/>
          <w:szCs w:val="24"/>
        </w:rPr>
        <w:t xml:space="preserve"> and </w:t>
      </w:r>
      <w:proofErr w:type="spellStart"/>
      <w:r w:rsidR="005B6ECA">
        <w:rPr>
          <w:rFonts w:eastAsia="Calibri"/>
          <w:sz w:val="24"/>
          <w:szCs w:val="24"/>
        </w:rPr>
        <w:t>Barkema</w:t>
      </w:r>
      <w:proofErr w:type="spellEnd"/>
      <w:r w:rsidR="005B6ECA">
        <w:rPr>
          <w:rFonts w:eastAsia="Calibri"/>
          <w:sz w:val="24"/>
          <w:szCs w:val="24"/>
        </w:rPr>
        <w:t xml:space="preserve"> (2019) find that </w:t>
      </w:r>
      <w:r w:rsidR="0088059B">
        <w:rPr>
          <w:rFonts w:eastAsia="Calibri"/>
          <w:sz w:val="24"/>
          <w:szCs w:val="24"/>
        </w:rPr>
        <w:t>migration from more to less prosperous areas has been hampered by the fact that earnings in the less prosperous areas have fallen</w:t>
      </w:r>
      <w:r w:rsidR="00426BCD">
        <w:rPr>
          <w:rFonts w:eastAsia="Calibri"/>
          <w:sz w:val="24"/>
          <w:szCs w:val="24"/>
        </w:rPr>
        <w:t xml:space="preserve"> by</w:t>
      </w:r>
      <w:r w:rsidR="0088059B">
        <w:rPr>
          <w:rFonts w:eastAsia="Calibri"/>
          <w:sz w:val="24"/>
          <w:szCs w:val="24"/>
        </w:rPr>
        <w:t xml:space="preserve"> more than housing costs in those areas.</w:t>
      </w:r>
      <w:r w:rsidR="00F35F0B">
        <w:rPr>
          <w:rFonts w:eastAsia="Calibri"/>
          <w:sz w:val="24"/>
          <w:szCs w:val="24"/>
        </w:rPr>
        <w:t xml:space="preserve"> </w:t>
      </w:r>
      <w:r w:rsidR="00E60BFD">
        <w:rPr>
          <w:rFonts w:eastAsia="Calibri"/>
          <w:sz w:val="24"/>
          <w:szCs w:val="24"/>
        </w:rPr>
        <w:t xml:space="preserve">In our context, individuals who are happy living in the more prosperous regions (Northeast and West) </w:t>
      </w:r>
      <w:r w:rsidR="007D31D3">
        <w:rPr>
          <w:rFonts w:eastAsia="Calibri"/>
          <w:sz w:val="24"/>
          <w:szCs w:val="24"/>
        </w:rPr>
        <w:t xml:space="preserve">who do not desire to migrate to the South or Midwest may be driving higher vacancy rates in the South and Midwest during high vacancy rate regimes. </w:t>
      </w:r>
      <w:r w:rsidR="00F35F0B">
        <w:rPr>
          <w:rFonts w:eastAsia="Calibri"/>
          <w:sz w:val="24"/>
          <w:szCs w:val="24"/>
        </w:rPr>
        <w:t>Th</w:t>
      </w:r>
      <w:r w:rsidR="00D27EB4">
        <w:rPr>
          <w:rFonts w:eastAsia="Calibri"/>
          <w:sz w:val="24"/>
          <w:szCs w:val="24"/>
        </w:rPr>
        <w:t xml:space="preserve">is is </w:t>
      </w:r>
      <w:r w:rsidR="00054567">
        <w:rPr>
          <w:rFonts w:eastAsia="Calibri"/>
          <w:sz w:val="24"/>
          <w:szCs w:val="24"/>
        </w:rPr>
        <w:t xml:space="preserve">particularly relevant </w:t>
      </w:r>
      <w:r w:rsidR="004C2CC8">
        <w:rPr>
          <w:rFonts w:eastAsia="Calibri"/>
          <w:sz w:val="24"/>
          <w:szCs w:val="24"/>
        </w:rPr>
        <w:t>for</w:t>
      </w:r>
      <w:r w:rsidR="00054567">
        <w:rPr>
          <w:rFonts w:eastAsia="Calibri"/>
          <w:sz w:val="24"/>
          <w:szCs w:val="24"/>
        </w:rPr>
        <w:t xml:space="preserve"> </w:t>
      </w:r>
      <w:r w:rsidR="00D27EB4">
        <w:rPr>
          <w:rFonts w:eastAsia="Calibri"/>
          <w:sz w:val="24"/>
          <w:szCs w:val="24"/>
        </w:rPr>
        <w:t>the South and Midwes</w:t>
      </w:r>
      <w:r w:rsidR="004C2CC8">
        <w:rPr>
          <w:rFonts w:eastAsia="Calibri"/>
          <w:sz w:val="24"/>
          <w:szCs w:val="24"/>
        </w:rPr>
        <w:t>t since they are</w:t>
      </w:r>
      <w:r w:rsidR="00D27EB4">
        <w:rPr>
          <w:rFonts w:eastAsia="Calibri"/>
          <w:sz w:val="24"/>
          <w:szCs w:val="24"/>
        </w:rPr>
        <w:t xml:space="preserve"> two regions with decreasing earnings </w:t>
      </w:r>
      <w:r w:rsidR="00D556DC">
        <w:rPr>
          <w:rFonts w:eastAsia="Calibri"/>
          <w:sz w:val="24"/>
          <w:szCs w:val="24"/>
        </w:rPr>
        <w:t xml:space="preserve">generally </w:t>
      </w:r>
      <w:r w:rsidR="00D27EB4">
        <w:rPr>
          <w:rFonts w:eastAsia="Calibri"/>
          <w:sz w:val="24"/>
          <w:szCs w:val="24"/>
        </w:rPr>
        <w:t>dominating decreasing housing costs</w:t>
      </w:r>
      <w:r w:rsidR="00054567">
        <w:rPr>
          <w:rFonts w:eastAsia="Calibri"/>
          <w:sz w:val="24"/>
          <w:szCs w:val="24"/>
        </w:rPr>
        <w:t>.</w:t>
      </w:r>
      <w:r w:rsidR="00CE652A">
        <w:rPr>
          <w:rFonts w:eastAsia="Calibri"/>
          <w:sz w:val="24"/>
          <w:szCs w:val="24"/>
        </w:rPr>
        <w:t xml:space="preserve"> I</w:t>
      </w:r>
      <w:r w:rsidR="00054567">
        <w:rPr>
          <w:rFonts w:eastAsia="Calibri"/>
          <w:sz w:val="24"/>
          <w:szCs w:val="24"/>
        </w:rPr>
        <w:t>ndividuals living in the Northeast or West</w:t>
      </w:r>
      <w:r w:rsidR="00CE652A">
        <w:rPr>
          <w:rFonts w:eastAsia="Calibri"/>
          <w:sz w:val="24"/>
          <w:szCs w:val="24"/>
        </w:rPr>
        <w:t xml:space="preserve"> are </w:t>
      </w:r>
      <w:r w:rsidR="00CB2C49">
        <w:rPr>
          <w:rFonts w:eastAsia="Calibri"/>
          <w:sz w:val="24"/>
          <w:szCs w:val="24"/>
        </w:rPr>
        <w:t>general</w:t>
      </w:r>
      <w:r w:rsidR="00CE652A">
        <w:rPr>
          <w:rFonts w:eastAsia="Calibri"/>
          <w:sz w:val="24"/>
          <w:szCs w:val="24"/>
        </w:rPr>
        <w:t>ly earning more than their counterparts in the South or Midwest, and therefore their incentives to migrate to the South or Midwest may be relatively low</w:t>
      </w:r>
      <w:r w:rsidR="00B9077D">
        <w:rPr>
          <w:rFonts w:eastAsia="Calibri"/>
          <w:sz w:val="24"/>
          <w:szCs w:val="24"/>
        </w:rPr>
        <w:t xml:space="preserve">. This </w:t>
      </w:r>
      <w:r w:rsidR="00E20EB6">
        <w:rPr>
          <w:rFonts w:eastAsia="Calibri"/>
          <w:sz w:val="24"/>
          <w:szCs w:val="24"/>
        </w:rPr>
        <w:t xml:space="preserve">may </w:t>
      </w:r>
      <w:r w:rsidR="00B9077D">
        <w:rPr>
          <w:rFonts w:eastAsia="Calibri"/>
          <w:sz w:val="24"/>
          <w:szCs w:val="24"/>
        </w:rPr>
        <w:t xml:space="preserve">exacerbate the vacancy rate </w:t>
      </w:r>
      <w:r w:rsidR="00FF0C17">
        <w:rPr>
          <w:rFonts w:eastAsia="Calibri"/>
          <w:sz w:val="24"/>
          <w:szCs w:val="24"/>
        </w:rPr>
        <w:t>increases</w:t>
      </w:r>
      <w:r w:rsidR="005A1551">
        <w:rPr>
          <w:rFonts w:eastAsia="Calibri"/>
          <w:sz w:val="24"/>
          <w:szCs w:val="24"/>
        </w:rPr>
        <w:t xml:space="preserve"> </w:t>
      </w:r>
      <w:r w:rsidR="00B9077D">
        <w:rPr>
          <w:rFonts w:eastAsia="Calibri"/>
          <w:sz w:val="24"/>
          <w:szCs w:val="24"/>
        </w:rPr>
        <w:t xml:space="preserve">in the South and Midwest during times of high vacancy rates in those regions – </w:t>
      </w:r>
      <w:r w:rsidR="00E20EB6">
        <w:rPr>
          <w:rFonts w:eastAsia="Calibri"/>
          <w:sz w:val="24"/>
          <w:szCs w:val="24"/>
        </w:rPr>
        <w:t xml:space="preserve">as </w:t>
      </w:r>
      <w:r w:rsidR="00B9077D">
        <w:rPr>
          <w:rFonts w:eastAsia="Calibri"/>
          <w:sz w:val="24"/>
          <w:szCs w:val="24"/>
        </w:rPr>
        <w:t>there ar</w:t>
      </w:r>
      <w:r w:rsidR="0093478A">
        <w:rPr>
          <w:rFonts w:eastAsia="Calibri"/>
          <w:sz w:val="24"/>
          <w:szCs w:val="24"/>
        </w:rPr>
        <w:t>e relatively few</w:t>
      </w:r>
      <w:r w:rsidR="00B9077D">
        <w:rPr>
          <w:rFonts w:eastAsia="Calibri"/>
          <w:sz w:val="24"/>
          <w:szCs w:val="24"/>
        </w:rPr>
        <w:t xml:space="preserve"> </w:t>
      </w:r>
      <w:r w:rsidR="00AA29E2">
        <w:rPr>
          <w:rFonts w:eastAsia="Calibri"/>
          <w:sz w:val="24"/>
          <w:szCs w:val="24"/>
        </w:rPr>
        <w:t xml:space="preserve">potential in-migrants who are able to sop up the </w:t>
      </w:r>
      <w:r w:rsidR="0093478A">
        <w:rPr>
          <w:rFonts w:eastAsia="Calibri"/>
          <w:sz w:val="24"/>
          <w:szCs w:val="24"/>
        </w:rPr>
        <w:t xml:space="preserve">growing </w:t>
      </w:r>
      <w:r w:rsidR="00AA29E2">
        <w:rPr>
          <w:rFonts w:eastAsia="Calibri"/>
          <w:sz w:val="24"/>
          <w:szCs w:val="24"/>
        </w:rPr>
        <w:t>excess supply of housing</w:t>
      </w:r>
      <w:r w:rsidR="00054567">
        <w:rPr>
          <w:rFonts w:eastAsia="Calibri"/>
          <w:sz w:val="24"/>
          <w:szCs w:val="24"/>
        </w:rPr>
        <w:t>.</w:t>
      </w:r>
    </w:p>
    <w:p w14:paraId="523E7FE1" w14:textId="77777777" w:rsidR="00B50F1D" w:rsidRPr="00B50F1D" w:rsidRDefault="00B50F1D" w:rsidP="00B50F1D">
      <w:pPr>
        <w:spacing w:after="200" w:line="276" w:lineRule="auto"/>
        <w:rPr>
          <w:rFonts w:eastAsia="Calibri"/>
          <w:b/>
          <w:sz w:val="24"/>
          <w:szCs w:val="24"/>
        </w:rPr>
      </w:pPr>
      <w:r w:rsidRPr="00B50F1D">
        <w:rPr>
          <w:rFonts w:eastAsia="Calibri"/>
          <w:b/>
          <w:sz w:val="24"/>
          <w:szCs w:val="24"/>
        </w:rPr>
        <w:lastRenderedPageBreak/>
        <w:t>References</w:t>
      </w:r>
    </w:p>
    <w:p w14:paraId="42BCC36A" w14:textId="5C9552B6" w:rsidR="00B50F1D" w:rsidRPr="00915D62" w:rsidRDefault="00B50F1D" w:rsidP="00B50F1D">
      <w:pPr>
        <w:spacing w:after="200" w:line="276" w:lineRule="auto"/>
        <w:rPr>
          <w:rFonts w:eastAsia="Calibri"/>
          <w:sz w:val="24"/>
          <w:szCs w:val="24"/>
        </w:rPr>
      </w:pPr>
      <w:proofErr w:type="spellStart"/>
      <w:r w:rsidRPr="00915D62">
        <w:rPr>
          <w:rFonts w:eastAsia="Calibri"/>
          <w:sz w:val="24"/>
          <w:szCs w:val="24"/>
        </w:rPr>
        <w:t>Alessandri</w:t>
      </w:r>
      <w:proofErr w:type="spellEnd"/>
      <w:r w:rsidRPr="00915D62">
        <w:rPr>
          <w:rFonts w:eastAsia="Calibri"/>
          <w:sz w:val="24"/>
          <w:szCs w:val="24"/>
        </w:rPr>
        <w:t xml:space="preserve">, </w:t>
      </w:r>
      <w:proofErr w:type="spellStart"/>
      <w:r w:rsidRPr="00915D62">
        <w:rPr>
          <w:rFonts w:eastAsia="Calibri"/>
          <w:sz w:val="24"/>
          <w:szCs w:val="24"/>
        </w:rPr>
        <w:t>Piergiorgio</w:t>
      </w:r>
      <w:proofErr w:type="spellEnd"/>
      <w:r w:rsidRPr="00915D62">
        <w:rPr>
          <w:rFonts w:eastAsia="Calibri"/>
          <w:sz w:val="24"/>
          <w:szCs w:val="24"/>
        </w:rPr>
        <w:t xml:space="preserve">, and Mumtaz, Haroon. 2019. “Financial </w:t>
      </w:r>
      <w:r w:rsidR="00BE6E38" w:rsidRPr="00915D62">
        <w:rPr>
          <w:rFonts w:eastAsia="Calibri"/>
          <w:sz w:val="24"/>
          <w:szCs w:val="24"/>
        </w:rPr>
        <w:t>R</w:t>
      </w:r>
      <w:r w:rsidRPr="00915D62">
        <w:rPr>
          <w:rFonts w:eastAsia="Calibri"/>
          <w:sz w:val="24"/>
          <w:szCs w:val="24"/>
        </w:rPr>
        <w:t xml:space="preserve">egimes and </w:t>
      </w:r>
      <w:r w:rsidR="00BE6E38" w:rsidRPr="00915D62">
        <w:rPr>
          <w:rFonts w:eastAsia="Calibri"/>
          <w:sz w:val="24"/>
          <w:szCs w:val="24"/>
        </w:rPr>
        <w:t>U</w:t>
      </w:r>
      <w:r w:rsidRPr="00915D62">
        <w:rPr>
          <w:rFonts w:eastAsia="Calibri"/>
          <w:sz w:val="24"/>
          <w:szCs w:val="24"/>
        </w:rPr>
        <w:t xml:space="preserve">ncertainty </w:t>
      </w:r>
      <w:r w:rsidR="00F92182">
        <w:rPr>
          <w:rFonts w:eastAsia="Calibri"/>
          <w:sz w:val="24"/>
          <w:szCs w:val="24"/>
        </w:rPr>
        <w:t>S</w:t>
      </w:r>
      <w:r w:rsidRPr="00915D62">
        <w:rPr>
          <w:rFonts w:eastAsia="Calibri"/>
          <w:sz w:val="24"/>
          <w:szCs w:val="24"/>
        </w:rPr>
        <w:t xml:space="preserve">hocks,” </w:t>
      </w:r>
      <w:r w:rsidRPr="00915D62">
        <w:rPr>
          <w:rFonts w:eastAsia="Calibri"/>
          <w:i/>
          <w:sz w:val="24"/>
          <w:szCs w:val="24"/>
        </w:rPr>
        <w:t>Journal of Monetary Economics</w:t>
      </w:r>
      <w:r w:rsidRPr="00915D62">
        <w:rPr>
          <w:rFonts w:eastAsia="Calibri"/>
          <w:sz w:val="24"/>
          <w:szCs w:val="24"/>
        </w:rPr>
        <w:t>, 101, pp. 31-46.</w:t>
      </w:r>
    </w:p>
    <w:p w14:paraId="5EA189D4" w14:textId="2A5E5A75" w:rsidR="00B50F1D" w:rsidRDefault="00B50F1D" w:rsidP="00B50F1D">
      <w:pPr>
        <w:spacing w:after="200" w:line="276" w:lineRule="auto"/>
        <w:rPr>
          <w:rFonts w:eastAsia="Calibri"/>
          <w:sz w:val="24"/>
          <w:szCs w:val="24"/>
        </w:rPr>
      </w:pPr>
      <w:proofErr w:type="spellStart"/>
      <w:r w:rsidRPr="00915D62">
        <w:rPr>
          <w:rFonts w:eastAsia="Calibri"/>
          <w:sz w:val="24"/>
          <w:szCs w:val="24"/>
        </w:rPr>
        <w:t>Anenberg</w:t>
      </w:r>
      <w:proofErr w:type="spellEnd"/>
      <w:r w:rsidRPr="00915D62">
        <w:rPr>
          <w:rFonts w:eastAsia="Calibri"/>
          <w:sz w:val="24"/>
          <w:szCs w:val="24"/>
        </w:rPr>
        <w:t xml:space="preserve">, Elliot. 2016. “Information Frictions and Housing Market Dynamics,” </w:t>
      </w:r>
      <w:r w:rsidRPr="00915D62">
        <w:rPr>
          <w:rFonts w:eastAsia="Calibri"/>
          <w:i/>
          <w:sz w:val="24"/>
          <w:szCs w:val="24"/>
        </w:rPr>
        <w:t>International Economic Review</w:t>
      </w:r>
      <w:r w:rsidRPr="00915D62">
        <w:rPr>
          <w:rFonts w:eastAsia="Calibri"/>
          <w:sz w:val="24"/>
          <w:szCs w:val="24"/>
        </w:rPr>
        <w:t>, 57(4), pp. 1449-1479.</w:t>
      </w:r>
    </w:p>
    <w:p w14:paraId="00C0FCF8" w14:textId="12D276C7" w:rsidR="00A65C48" w:rsidRPr="00915D62" w:rsidRDefault="00A65C48" w:rsidP="00B50F1D">
      <w:pPr>
        <w:spacing w:after="200" w:line="276" w:lineRule="auto"/>
        <w:rPr>
          <w:rFonts w:eastAsia="Calibri"/>
          <w:sz w:val="24"/>
          <w:szCs w:val="24"/>
        </w:rPr>
      </w:pPr>
      <w:r w:rsidRPr="00A65C48">
        <w:rPr>
          <w:rFonts w:eastAsia="Calibri"/>
          <w:sz w:val="24"/>
          <w:szCs w:val="24"/>
        </w:rPr>
        <w:t xml:space="preserve">Auerbach, Alan J and </w:t>
      </w:r>
      <w:proofErr w:type="spellStart"/>
      <w:r w:rsidRPr="00A65C48">
        <w:rPr>
          <w:rFonts w:eastAsia="Calibri"/>
          <w:sz w:val="24"/>
          <w:szCs w:val="24"/>
        </w:rPr>
        <w:t>Gorodnichenko</w:t>
      </w:r>
      <w:proofErr w:type="spellEnd"/>
      <w:r w:rsidR="00184F5B">
        <w:rPr>
          <w:rFonts w:eastAsia="Calibri"/>
          <w:sz w:val="24"/>
          <w:szCs w:val="24"/>
        </w:rPr>
        <w:t xml:space="preserve">, </w:t>
      </w:r>
      <w:proofErr w:type="spellStart"/>
      <w:r w:rsidR="00184F5B" w:rsidRPr="00A65C48">
        <w:rPr>
          <w:rFonts w:eastAsia="Calibri"/>
          <w:sz w:val="24"/>
          <w:szCs w:val="24"/>
        </w:rPr>
        <w:t>Yuriy</w:t>
      </w:r>
      <w:proofErr w:type="spellEnd"/>
      <w:r w:rsidR="00184F5B">
        <w:rPr>
          <w:rFonts w:eastAsia="Calibri"/>
          <w:sz w:val="24"/>
          <w:szCs w:val="24"/>
        </w:rPr>
        <w:t>.</w:t>
      </w:r>
      <w:r w:rsidRPr="00A65C48">
        <w:rPr>
          <w:rFonts w:eastAsia="Calibri"/>
          <w:sz w:val="24"/>
          <w:szCs w:val="24"/>
        </w:rPr>
        <w:t xml:space="preserve"> 2012. “Measuring the Output Responses to Fiscal Policy</w:t>
      </w:r>
      <w:r w:rsidR="00184F5B">
        <w:rPr>
          <w:rFonts w:eastAsia="Calibri"/>
          <w:sz w:val="24"/>
          <w:szCs w:val="24"/>
        </w:rPr>
        <w:t>,</w:t>
      </w:r>
      <w:r w:rsidRPr="00A65C48">
        <w:rPr>
          <w:rFonts w:eastAsia="Calibri"/>
          <w:sz w:val="24"/>
          <w:szCs w:val="24"/>
        </w:rPr>
        <w:t xml:space="preserve">” </w:t>
      </w:r>
      <w:r w:rsidRPr="00FB6EE4">
        <w:rPr>
          <w:rFonts w:eastAsia="Calibri"/>
          <w:i/>
          <w:iCs/>
          <w:sz w:val="24"/>
          <w:szCs w:val="24"/>
        </w:rPr>
        <w:t>American Economic Journal: Economic Policy</w:t>
      </w:r>
      <w:r w:rsidRPr="00A65C48">
        <w:rPr>
          <w:rFonts w:eastAsia="Calibri"/>
          <w:sz w:val="24"/>
          <w:szCs w:val="24"/>
        </w:rPr>
        <w:t xml:space="preserve"> 4(2)</w:t>
      </w:r>
      <w:r w:rsidR="00184F5B">
        <w:rPr>
          <w:rFonts w:eastAsia="Calibri"/>
          <w:sz w:val="24"/>
          <w:szCs w:val="24"/>
        </w:rPr>
        <w:t>, pp.</w:t>
      </w:r>
      <w:r w:rsidRPr="00A65C48">
        <w:rPr>
          <w:rFonts w:eastAsia="Calibri"/>
          <w:sz w:val="24"/>
          <w:szCs w:val="24"/>
        </w:rPr>
        <w:t xml:space="preserve"> 1–27. </w:t>
      </w:r>
    </w:p>
    <w:p w14:paraId="76317F6D" w14:textId="67C75141" w:rsidR="00B50F1D" w:rsidRPr="00915D62" w:rsidRDefault="00B50F1D" w:rsidP="00B50F1D">
      <w:pPr>
        <w:spacing w:after="200" w:line="276" w:lineRule="auto"/>
        <w:rPr>
          <w:rFonts w:eastAsia="Calibri"/>
          <w:sz w:val="24"/>
          <w:szCs w:val="24"/>
        </w:rPr>
      </w:pPr>
      <w:proofErr w:type="spellStart"/>
      <w:r w:rsidRPr="00915D62">
        <w:rPr>
          <w:rFonts w:eastAsia="Calibri"/>
          <w:sz w:val="24"/>
          <w:szCs w:val="24"/>
        </w:rPr>
        <w:t>Bayoumi</w:t>
      </w:r>
      <w:proofErr w:type="spellEnd"/>
      <w:r w:rsidRPr="00915D62">
        <w:rPr>
          <w:rFonts w:eastAsia="Calibri"/>
          <w:sz w:val="24"/>
          <w:szCs w:val="24"/>
        </w:rPr>
        <w:t>, Tami</w:t>
      </w:r>
      <w:r w:rsidR="00F92182">
        <w:rPr>
          <w:rFonts w:eastAsia="Calibri"/>
          <w:sz w:val="24"/>
          <w:szCs w:val="24"/>
        </w:rPr>
        <w:t>m</w:t>
      </w:r>
      <w:r w:rsidRPr="00915D62">
        <w:rPr>
          <w:rFonts w:eastAsia="Calibri"/>
          <w:sz w:val="24"/>
          <w:szCs w:val="24"/>
        </w:rPr>
        <w:t xml:space="preserve"> and </w:t>
      </w:r>
      <w:proofErr w:type="spellStart"/>
      <w:r w:rsidRPr="00915D62">
        <w:rPr>
          <w:rFonts w:eastAsia="Calibri"/>
          <w:sz w:val="24"/>
          <w:szCs w:val="24"/>
        </w:rPr>
        <w:t>Barkema</w:t>
      </w:r>
      <w:proofErr w:type="spellEnd"/>
      <w:r w:rsidRPr="00915D62">
        <w:rPr>
          <w:rFonts w:eastAsia="Calibri"/>
          <w:sz w:val="24"/>
          <w:szCs w:val="24"/>
        </w:rPr>
        <w:t xml:space="preserve">, </w:t>
      </w:r>
      <w:proofErr w:type="spellStart"/>
      <w:r w:rsidRPr="00915D62">
        <w:rPr>
          <w:rFonts w:eastAsia="Calibri"/>
          <w:sz w:val="24"/>
          <w:szCs w:val="24"/>
        </w:rPr>
        <w:t>Jelle</w:t>
      </w:r>
      <w:proofErr w:type="spellEnd"/>
      <w:r w:rsidRPr="00915D62">
        <w:rPr>
          <w:rFonts w:eastAsia="Calibri"/>
          <w:sz w:val="24"/>
          <w:szCs w:val="24"/>
        </w:rPr>
        <w:t xml:space="preserve">. 2019. “Stranded! How Rising Inequality Suppressed US Migration and Hurt Those </w:t>
      </w:r>
      <w:r w:rsidR="00F92182">
        <w:rPr>
          <w:rFonts w:eastAsia="Calibri"/>
          <w:sz w:val="24"/>
          <w:szCs w:val="24"/>
        </w:rPr>
        <w:t>‘</w:t>
      </w:r>
      <w:r w:rsidRPr="00915D62">
        <w:rPr>
          <w:rFonts w:eastAsia="Calibri"/>
          <w:sz w:val="24"/>
          <w:szCs w:val="24"/>
        </w:rPr>
        <w:t>Left Behind</w:t>
      </w:r>
      <w:r w:rsidR="00F92182">
        <w:rPr>
          <w:rFonts w:eastAsia="Calibri"/>
          <w:sz w:val="24"/>
          <w:szCs w:val="24"/>
        </w:rPr>
        <w:t>,</w:t>
      </w:r>
      <w:r w:rsidRPr="00915D62">
        <w:rPr>
          <w:rFonts w:eastAsia="Calibri"/>
          <w:sz w:val="24"/>
          <w:szCs w:val="24"/>
        </w:rPr>
        <w:t>’” IMF Working Paper WP/19/122, June.</w:t>
      </w:r>
    </w:p>
    <w:p w14:paraId="63F26AA3" w14:textId="77777777" w:rsidR="00B50F1D" w:rsidRPr="00915D62" w:rsidRDefault="00B50F1D" w:rsidP="00B50F1D">
      <w:pPr>
        <w:spacing w:after="200" w:line="276" w:lineRule="auto"/>
        <w:rPr>
          <w:rFonts w:eastAsia="Calibri"/>
          <w:sz w:val="24"/>
          <w:szCs w:val="24"/>
        </w:rPr>
      </w:pPr>
      <w:proofErr w:type="spellStart"/>
      <w:r w:rsidRPr="00915D62">
        <w:rPr>
          <w:rFonts w:eastAsia="Calibri"/>
          <w:sz w:val="24"/>
          <w:szCs w:val="24"/>
        </w:rPr>
        <w:t>Billio</w:t>
      </w:r>
      <w:proofErr w:type="spellEnd"/>
      <w:r w:rsidRPr="00915D62">
        <w:rPr>
          <w:rFonts w:eastAsia="Calibri"/>
          <w:sz w:val="24"/>
          <w:szCs w:val="24"/>
        </w:rPr>
        <w:t xml:space="preserve">, Monica; </w:t>
      </w:r>
      <w:proofErr w:type="spellStart"/>
      <w:r w:rsidRPr="00915D62">
        <w:rPr>
          <w:rFonts w:eastAsia="Calibri"/>
          <w:sz w:val="24"/>
          <w:szCs w:val="24"/>
        </w:rPr>
        <w:t>Casarin</w:t>
      </w:r>
      <w:proofErr w:type="spellEnd"/>
      <w:r w:rsidRPr="00915D62">
        <w:rPr>
          <w:rFonts w:eastAsia="Calibri"/>
          <w:sz w:val="24"/>
          <w:szCs w:val="24"/>
        </w:rPr>
        <w:t xml:space="preserve">, Roberto; </w:t>
      </w:r>
      <w:proofErr w:type="spellStart"/>
      <w:r w:rsidRPr="00915D62">
        <w:rPr>
          <w:rFonts w:eastAsia="Calibri"/>
          <w:sz w:val="24"/>
          <w:szCs w:val="24"/>
        </w:rPr>
        <w:t>Ravazzolo</w:t>
      </w:r>
      <w:proofErr w:type="spellEnd"/>
      <w:r w:rsidRPr="00915D62">
        <w:rPr>
          <w:rFonts w:eastAsia="Calibri"/>
          <w:sz w:val="24"/>
          <w:szCs w:val="24"/>
        </w:rPr>
        <w:t xml:space="preserve">, Francesco; and van Dijk, Herman K. 2016. “Interconnections between Eurozone and US Booms and Busts Using a Bayesian Panel Markov-Switching VAR Model,” </w:t>
      </w:r>
      <w:r w:rsidRPr="00915D62">
        <w:rPr>
          <w:rFonts w:eastAsia="Calibri"/>
          <w:i/>
          <w:sz w:val="24"/>
          <w:szCs w:val="24"/>
        </w:rPr>
        <w:t>Journal of Applied Econometrics</w:t>
      </w:r>
      <w:r w:rsidRPr="00915D62">
        <w:rPr>
          <w:rFonts w:eastAsia="Calibri"/>
          <w:sz w:val="24"/>
          <w:szCs w:val="24"/>
        </w:rPr>
        <w:t>, 31(7), pp. 1352-1370.</w:t>
      </w:r>
    </w:p>
    <w:p w14:paraId="65F1DABC" w14:textId="68F46992" w:rsidR="00B50F1D" w:rsidRPr="00915D62" w:rsidRDefault="00B50F1D" w:rsidP="00B50F1D">
      <w:pPr>
        <w:spacing w:after="200" w:line="276" w:lineRule="auto"/>
        <w:rPr>
          <w:rFonts w:eastAsia="Calibri"/>
          <w:sz w:val="24"/>
          <w:szCs w:val="24"/>
        </w:rPr>
      </w:pPr>
      <w:r w:rsidRPr="00915D62">
        <w:rPr>
          <w:rFonts w:eastAsia="Calibri"/>
          <w:sz w:val="24"/>
          <w:szCs w:val="24"/>
        </w:rPr>
        <w:t xml:space="preserve">Blake, Andrew and Mumtaz, Haroon. 2015. "Applied Bayesian Econometrics for </w:t>
      </w:r>
      <w:r w:rsidR="00BE6E38" w:rsidRPr="00915D62">
        <w:rPr>
          <w:rFonts w:eastAsia="Calibri"/>
          <w:sz w:val="24"/>
          <w:szCs w:val="24"/>
        </w:rPr>
        <w:t>C</w:t>
      </w:r>
      <w:r w:rsidRPr="00915D62">
        <w:rPr>
          <w:rFonts w:eastAsia="Calibri"/>
          <w:sz w:val="24"/>
          <w:szCs w:val="24"/>
        </w:rPr>
        <w:t xml:space="preserve">entral </w:t>
      </w:r>
      <w:r w:rsidR="00BE6E38" w:rsidRPr="00915D62">
        <w:rPr>
          <w:rFonts w:eastAsia="Calibri"/>
          <w:sz w:val="24"/>
          <w:szCs w:val="24"/>
        </w:rPr>
        <w:t>B</w:t>
      </w:r>
      <w:r w:rsidRPr="00915D62">
        <w:rPr>
          <w:rFonts w:eastAsia="Calibri"/>
          <w:sz w:val="24"/>
          <w:szCs w:val="24"/>
        </w:rPr>
        <w:t xml:space="preserve">ankers," </w:t>
      </w:r>
      <w:r w:rsidRPr="00915D62">
        <w:rPr>
          <w:rFonts w:eastAsia="Calibri"/>
          <w:i/>
          <w:sz w:val="24"/>
          <w:szCs w:val="24"/>
        </w:rPr>
        <w:t>Handbooks</w:t>
      </w:r>
      <w:r w:rsidRPr="00915D62">
        <w:rPr>
          <w:rFonts w:eastAsia="Calibri"/>
          <w:sz w:val="24"/>
          <w:szCs w:val="24"/>
        </w:rPr>
        <w:t>, Centre for Central Banking Studies, Bank of England, number 36.</w:t>
      </w:r>
    </w:p>
    <w:p w14:paraId="0A61513E" w14:textId="77777777" w:rsidR="00B50F1D" w:rsidRPr="00915D62" w:rsidRDefault="00B50F1D" w:rsidP="00B50F1D">
      <w:pPr>
        <w:spacing w:after="200" w:line="276" w:lineRule="auto"/>
        <w:rPr>
          <w:rFonts w:eastAsia="Calibri"/>
          <w:sz w:val="24"/>
          <w:szCs w:val="24"/>
        </w:rPr>
      </w:pPr>
      <w:proofErr w:type="spellStart"/>
      <w:r w:rsidRPr="00915D62">
        <w:rPr>
          <w:rFonts w:eastAsia="Calibri"/>
          <w:sz w:val="24"/>
          <w:szCs w:val="24"/>
        </w:rPr>
        <w:t>Cermeño</w:t>
      </w:r>
      <w:proofErr w:type="spellEnd"/>
      <w:r w:rsidRPr="00915D62">
        <w:rPr>
          <w:rFonts w:eastAsia="Calibri"/>
          <w:sz w:val="24"/>
          <w:szCs w:val="24"/>
        </w:rPr>
        <w:t>, Rodolfo. 2002. “Growth Convergence Clubs: Evidence from Markov-Switching Models Using Panel Data,” 10</w:t>
      </w:r>
      <w:r w:rsidRPr="00915D62">
        <w:rPr>
          <w:rFonts w:eastAsia="Calibri"/>
          <w:sz w:val="24"/>
          <w:szCs w:val="24"/>
          <w:vertAlign w:val="superscript"/>
        </w:rPr>
        <w:t>th</w:t>
      </w:r>
      <w:r w:rsidRPr="00915D62">
        <w:rPr>
          <w:rFonts w:eastAsia="Calibri"/>
          <w:sz w:val="24"/>
          <w:szCs w:val="24"/>
        </w:rPr>
        <w:t xml:space="preserve"> International Conference on Panel Data Discussion Paper D5-3, July.</w:t>
      </w:r>
    </w:p>
    <w:p w14:paraId="52765D10" w14:textId="77777777" w:rsidR="00B50F1D" w:rsidRPr="00915D62" w:rsidRDefault="00B50F1D" w:rsidP="00B50F1D">
      <w:pPr>
        <w:autoSpaceDE w:val="0"/>
        <w:autoSpaceDN w:val="0"/>
        <w:adjustRightInd w:val="0"/>
        <w:spacing w:after="0" w:line="240" w:lineRule="auto"/>
        <w:rPr>
          <w:rFonts w:eastAsia="Calibri"/>
          <w:bCs/>
          <w:sz w:val="24"/>
          <w:szCs w:val="24"/>
        </w:rPr>
      </w:pPr>
      <w:r w:rsidRPr="00915D62">
        <w:rPr>
          <w:rFonts w:eastAsia="Calibri"/>
          <w:bCs/>
          <w:sz w:val="24"/>
          <w:szCs w:val="24"/>
        </w:rPr>
        <w:t xml:space="preserve">Cheshire, Paul; </w:t>
      </w:r>
      <w:proofErr w:type="spellStart"/>
      <w:r w:rsidRPr="00915D62">
        <w:rPr>
          <w:rFonts w:eastAsia="Calibri"/>
          <w:bCs/>
          <w:sz w:val="24"/>
          <w:szCs w:val="24"/>
        </w:rPr>
        <w:t>Hilber</w:t>
      </w:r>
      <w:proofErr w:type="spellEnd"/>
      <w:r w:rsidRPr="00915D62">
        <w:rPr>
          <w:rFonts w:eastAsia="Calibri"/>
          <w:bCs/>
          <w:sz w:val="24"/>
          <w:szCs w:val="24"/>
        </w:rPr>
        <w:t xml:space="preserve">, Christian; and </w:t>
      </w:r>
      <w:proofErr w:type="spellStart"/>
      <w:r w:rsidRPr="00915D62">
        <w:rPr>
          <w:rFonts w:eastAsia="Calibri"/>
          <w:bCs/>
          <w:sz w:val="24"/>
          <w:szCs w:val="24"/>
        </w:rPr>
        <w:t>Koster</w:t>
      </w:r>
      <w:proofErr w:type="spellEnd"/>
      <w:r w:rsidRPr="00915D62">
        <w:rPr>
          <w:rFonts w:eastAsia="Calibri"/>
          <w:bCs/>
          <w:sz w:val="24"/>
          <w:szCs w:val="24"/>
        </w:rPr>
        <w:t>, Hans.  2015. “Regulating Housing Vacancies Away? The Paradoxical Effects of Mismatch,” Spatial Economics Research Centre Discussion Paper 181, July.</w:t>
      </w:r>
    </w:p>
    <w:p w14:paraId="4B446768" w14:textId="77777777" w:rsidR="00B50F1D" w:rsidRPr="00915D62" w:rsidRDefault="00B50F1D" w:rsidP="00B50F1D">
      <w:pPr>
        <w:autoSpaceDE w:val="0"/>
        <w:autoSpaceDN w:val="0"/>
        <w:adjustRightInd w:val="0"/>
        <w:spacing w:after="0" w:line="240" w:lineRule="auto"/>
        <w:rPr>
          <w:rFonts w:eastAsia="Calibri"/>
          <w:bCs/>
          <w:sz w:val="24"/>
          <w:szCs w:val="24"/>
        </w:rPr>
      </w:pPr>
    </w:p>
    <w:p w14:paraId="1A3FDE85" w14:textId="6D50DC6E" w:rsidR="00B50F1D" w:rsidRPr="00915D62" w:rsidRDefault="00B50F1D" w:rsidP="00B50F1D">
      <w:pPr>
        <w:autoSpaceDE w:val="0"/>
        <w:autoSpaceDN w:val="0"/>
        <w:adjustRightInd w:val="0"/>
        <w:spacing w:after="0" w:line="240" w:lineRule="auto"/>
        <w:rPr>
          <w:rFonts w:eastAsia="Calibri"/>
          <w:bCs/>
          <w:sz w:val="24"/>
          <w:szCs w:val="24"/>
        </w:rPr>
      </w:pPr>
      <w:proofErr w:type="spellStart"/>
      <w:r w:rsidRPr="00915D62">
        <w:rPr>
          <w:rFonts w:eastAsia="Calibri"/>
          <w:bCs/>
          <w:sz w:val="24"/>
          <w:szCs w:val="24"/>
        </w:rPr>
        <w:t>Ehrmann</w:t>
      </w:r>
      <w:proofErr w:type="spellEnd"/>
      <w:r w:rsidRPr="00915D62">
        <w:rPr>
          <w:rFonts w:eastAsia="Calibri"/>
          <w:bCs/>
          <w:sz w:val="24"/>
          <w:szCs w:val="24"/>
        </w:rPr>
        <w:t>, Michael; Ellison, Martin; and Valla, Natacha. 2003. “Regime-</w:t>
      </w:r>
      <w:r w:rsidR="00F92182">
        <w:rPr>
          <w:rFonts w:eastAsia="Calibri"/>
          <w:bCs/>
          <w:sz w:val="24"/>
          <w:szCs w:val="24"/>
        </w:rPr>
        <w:t>D</w:t>
      </w:r>
      <w:r w:rsidRPr="00915D62">
        <w:rPr>
          <w:rFonts w:eastAsia="Calibri"/>
          <w:bCs/>
          <w:sz w:val="24"/>
          <w:szCs w:val="24"/>
        </w:rPr>
        <w:t xml:space="preserve">ependent </w:t>
      </w:r>
      <w:r w:rsidR="00F92182">
        <w:rPr>
          <w:rFonts w:eastAsia="Calibri"/>
          <w:bCs/>
          <w:sz w:val="24"/>
          <w:szCs w:val="24"/>
        </w:rPr>
        <w:t>I</w:t>
      </w:r>
      <w:r w:rsidRPr="00915D62">
        <w:rPr>
          <w:rFonts w:eastAsia="Calibri"/>
          <w:bCs/>
          <w:sz w:val="24"/>
          <w:szCs w:val="24"/>
        </w:rPr>
        <w:t xml:space="preserve">mpulse </w:t>
      </w:r>
      <w:r w:rsidR="00F92182">
        <w:rPr>
          <w:rFonts w:eastAsia="Calibri"/>
          <w:bCs/>
          <w:sz w:val="24"/>
          <w:szCs w:val="24"/>
        </w:rPr>
        <w:t>R</w:t>
      </w:r>
      <w:r w:rsidRPr="00915D62">
        <w:rPr>
          <w:rFonts w:eastAsia="Calibri"/>
          <w:bCs/>
          <w:sz w:val="24"/>
          <w:szCs w:val="24"/>
        </w:rPr>
        <w:t xml:space="preserve">esponse </w:t>
      </w:r>
      <w:r w:rsidR="00F92182">
        <w:rPr>
          <w:rFonts w:eastAsia="Calibri"/>
          <w:bCs/>
          <w:sz w:val="24"/>
          <w:szCs w:val="24"/>
        </w:rPr>
        <w:t>F</w:t>
      </w:r>
      <w:r w:rsidRPr="00915D62">
        <w:rPr>
          <w:rFonts w:eastAsia="Calibri"/>
          <w:bCs/>
          <w:sz w:val="24"/>
          <w:szCs w:val="24"/>
        </w:rPr>
        <w:t>unctions in a Markov-</w:t>
      </w:r>
      <w:r w:rsidR="00F92182">
        <w:rPr>
          <w:rFonts w:eastAsia="Calibri"/>
          <w:bCs/>
          <w:sz w:val="24"/>
          <w:szCs w:val="24"/>
        </w:rPr>
        <w:t>S</w:t>
      </w:r>
      <w:r w:rsidRPr="00915D62">
        <w:rPr>
          <w:rFonts w:eastAsia="Calibri"/>
          <w:bCs/>
          <w:sz w:val="24"/>
          <w:szCs w:val="24"/>
        </w:rPr>
        <w:t xml:space="preserve">witching </w:t>
      </w:r>
      <w:r w:rsidR="00F92182">
        <w:rPr>
          <w:rFonts w:eastAsia="Calibri"/>
          <w:bCs/>
          <w:sz w:val="24"/>
          <w:szCs w:val="24"/>
        </w:rPr>
        <w:t>V</w:t>
      </w:r>
      <w:r w:rsidRPr="00915D62">
        <w:rPr>
          <w:rFonts w:eastAsia="Calibri"/>
          <w:bCs/>
          <w:sz w:val="24"/>
          <w:szCs w:val="24"/>
        </w:rPr>
        <w:t xml:space="preserve">ector </w:t>
      </w:r>
      <w:r w:rsidR="00F92182">
        <w:rPr>
          <w:rFonts w:eastAsia="Calibri"/>
          <w:bCs/>
          <w:sz w:val="24"/>
          <w:szCs w:val="24"/>
        </w:rPr>
        <w:t>A</w:t>
      </w:r>
      <w:r w:rsidRPr="00915D62">
        <w:rPr>
          <w:rFonts w:eastAsia="Calibri"/>
          <w:bCs/>
          <w:sz w:val="24"/>
          <w:szCs w:val="24"/>
        </w:rPr>
        <w:t xml:space="preserve">utoregression </w:t>
      </w:r>
      <w:r w:rsidR="00F92182">
        <w:rPr>
          <w:rFonts w:eastAsia="Calibri"/>
          <w:bCs/>
          <w:sz w:val="24"/>
          <w:szCs w:val="24"/>
        </w:rPr>
        <w:t>M</w:t>
      </w:r>
      <w:r w:rsidRPr="00915D62">
        <w:rPr>
          <w:rFonts w:eastAsia="Calibri"/>
          <w:bCs/>
          <w:sz w:val="24"/>
          <w:szCs w:val="24"/>
        </w:rPr>
        <w:t xml:space="preserve">odel,” </w:t>
      </w:r>
      <w:r w:rsidRPr="00915D62">
        <w:rPr>
          <w:rFonts w:eastAsia="Calibri"/>
          <w:bCs/>
          <w:i/>
          <w:sz w:val="24"/>
          <w:szCs w:val="24"/>
        </w:rPr>
        <w:t>Economics Letters</w:t>
      </w:r>
      <w:r w:rsidRPr="00915D62">
        <w:rPr>
          <w:rFonts w:eastAsia="Calibri"/>
          <w:bCs/>
          <w:sz w:val="24"/>
          <w:szCs w:val="24"/>
        </w:rPr>
        <w:t>, 78(3), pp. 295-299.</w:t>
      </w:r>
    </w:p>
    <w:p w14:paraId="1F4850B6" w14:textId="77777777" w:rsidR="00B50F1D" w:rsidRPr="00915D62" w:rsidRDefault="00B50F1D" w:rsidP="00B50F1D">
      <w:pPr>
        <w:autoSpaceDE w:val="0"/>
        <w:autoSpaceDN w:val="0"/>
        <w:adjustRightInd w:val="0"/>
        <w:spacing w:after="0" w:line="240" w:lineRule="auto"/>
        <w:rPr>
          <w:rFonts w:eastAsia="Calibri"/>
          <w:bCs/>
          <w:sz w:val="24"/>
          <w:szCs w:val="24"/>
        </w:rPr>
      </w:pPr>
    </w:p>
    <w:p w14:paraId="344D1907" w14:textId="77777777" w:rsidR="00B50F1D" w:rsidRPr="00915D62" w:rsidRDefault="00B50F1D" w:rsidP="00B50F1D">
      <w:pPr>
        <w:autoSpaceDE w:val="0"/>
        <w:autoSpaceDN w:val="0"/>
        <w:adjustRightInd w:val="0"/>
        <w:spacing w:after="0" w:line="240" w:lineRule="auto"/>
        <w:rPr>
          <w:rFonts w:eastAsia="Calibri"/>
          <w:sz w:val="24"/>
          <w:szCs w:val="24"/>
        </w:rPr>
      </w:pPr>
      <w:proofErr w:type="spellStart"/>
      <w:r w:rsidRPr="00915D62">
        <w:rPr>
          <w:rFonts w:eastAsia="Calibri"/>
          <w:sz w:val="24"/>
          <w:szCs w:val="24"/>
        </w:rPr>
        <w:t>Fritzsche</w:t>
      </w:r>
      <w:proofErr w:type="spellEnd"/>
      <w:r w:rsidRPr="00915D62">
        <w:rPr>
          <w:rFonts w:eastAsia="Calibri"/>
          <w:sz w:val="24"/>
          <w:szCs w:val="24"/>
        </w:rPr>
        <w:t xml:space="preserve">, </w:t>
      </w:r>
      <w:proofErr w:type="spellStart"/>
      <w:r w:rsidRPr="00915D62">
        <w:rPr>
          <w:rFonts w:eastAsia="Calibri"/>
          <w:sz w:val="24"/>
          <w:szCs w:val="24"/>
        </w:rPr>
        <w:t>Carolin</w:t>
      </w:r>
      <w:proofErr w:type="spellEnd"/>
      <w:r w:rsidRPr="00915D62">
        <w:rPr>
          <w:rFonts w:eastAsia="Calibri"/>
          <w:sz w:val="24"/>
          <w:szCs w:val="24"/>
        </w:rPr>
        <w:t xml:space="preserve"> and </w:t>
      </w:r>
      <w:proofErr w:type="spellStart"/>
      <w:r w:rsidRPr="00915D62">
        <w:rPr>
          <w:rFonts w:eastAsia="Calibri"/>
          <w:sz w:val="24"/>
          <w:szCs w:val="24"/>
        </w:rPr>
        <w:t>Vandrei</w:t>
      </w:r>
      <w:proofErr w:type="spellEnd"/>
      <w:r w:rsidRPr="00915D62">
        <w:rPr>
          <w:rFonts w:eastAsia="Calibri"/>
          <w:sz w:val="24"/>
          <w:szCs w:val="24"/>
        </w:rPr>
        <w:t xml:space="preserve">, Lars. 2014. “Theoretical Causes for Vacancies in the Housing Market,” </w:t>
      </w:r>
      <w:r w:rsidRPr="00915D62">
        <w:rPr>
          <w:rFonts w:eastAsia="Calibri"/>
          <w:i/>
          <w:sz w:val="24"/>
          <w:szCs w:val="24"/>
        </w:rPr>
        <w:t>Credit and Capital Markets</w:t>
      </w:r>
      <w:r w:rsidRPr="00915D62">
        <w:rPr>
          <w:rFonts w:eastAsia="Calibri"/>
          <w:sz w:val="24"/>
          <w:szCs w:val="24"/>
        </w:rPr>
        <w:t>, 47(3), pp. 465-483.</w:t>
      </w:r>
    </w:p>
    <w:p w14:paraId="0CC60341" w14:textId="77777777" w:rsidR="00B50F1D" w:rsidRPr="00915D62" w:rsidRDefault="00B50F1D" w:rsidP="00B50F1D">
      <w:pPr>
        <w:autoSpaceDE w:val="0"/>
        <w:autoSpaceDN w:val="0"/>
        <w:adjustRightInd w:val="0"/>
        <w:spacing w:after="0" w:line="240" w:lineRule="auto"/>
        <w:rPr>
          <w:rFonts w:eastAsia="Calibri"/>
          <w:sz w:val="24"/>
          <w:szCs w:val="24"/>
        </w:rPr>
      </w:pPr>
    </w:p>
    <w:p w14:paraId="237782B2" w14:textId="77777777" w:rsidR="00B50F1D" w:rsidRPr="00915D62" w:rsidRDefault="00B50F1D" w:rsidP="00B50F1D">
      <w:pPr>
        <w:autoSpaceDE w:val="0"/>
        <w:autoSpaceDN w:val="0"/>
        <w:adjustRightInd w:val="0"/>
        <w:spacing w:after="0" w:line="240" w:lineRule="auto"/>
        <w:rPr>
          <w:rFonts w:eastAsia="Calibri"/>
          <w:bCs/>
          <w:sz w:val="24"/>
          <w:szCs w:val="24"/>
        </w:rPr>
      </w:pPr>
      <w:r w:rsidRPr="00915D62">
        <w:rPr>
          <w:rFonts w:eastAsia="Calibri"/>
          <w:sz w:val="24"/>
          <w:szCs w:val="24"/>
        </w:rPr>
        <w:t xml:space="preserve">Frey, William H. 2019. “For the First Time on Record, Fewer than 10% of Americans Moved in a Year,” </w:t>
      </w:r>
      <w:r w:rsidRPr="00915D62">
        <w:rPr>
          <w:rFonts w:eastAsia="Calibri"/>
          <w:i/>
          <w:sz w:val="24"/>
          <w:szCs w:val="24"/>
        </w:rPr>
        <w:t>Brookings – the Avenue</w:t>
      </w:r>
      <w:r w:rsidRPr="00915D62">
        <w:rPr>
          <w:rFonts w:eastAsia="Calibri"/>
          <w:sz w:val="24"/>
          <w:szCs w:val="24"/>
        </w:rPr>
        <w:t>, November 22.</w:t>
      </w:r>
    </w:p>
    <w:p w14:paraId="3ADDB557" w14:textId="557792FF" w:rsidR="00B50F1D" w:rsidRDefault="00B50F1D" w:rsidP="00B50F1D">
      <w:pPr>
        <w:autoSpaceDE w:val="0"/>
        <w:autoSpaceDN w:val="0"/>
        <w:adjustRightInd w:val="0"/>
        <w:spacing w:after="0" w:line="240" w:lineRule="auto"/>
        <w:rPr>
          <w:rFonts w:eastAsia="Calibri"/>
          <w:bCs/>
          <w:sz w:val="24"/>
          <w:szCs w:val="24"/>
        </w:rPr>
      </w:pPr>
    </w:p>
    <w:p w14:paraId="674F1FA5" w14:textId="05EBBB3E" w:rsidR="006D66EA" w:rsidRDefault="006D66EA" w:rsidP="00B50F1D">
      <w:pPr>
        <w:autoSpaceDE w:val="0"/>
        <w:autoSpaceDN w:val="0"/>
        <w:adjustRightInd w:val="0"/>
        <w:spacing w:after="0" w:line="240" w:lineRule="auto"/>
        <w:rPr>
          <w:rFonts w:eastAsia="Calibri"/>
          <w:bCs/>
          <w:sz w:val="24"/>
          <w:szCs w:val="24"/>
        </w:rPr>
      </w:pPr>
      <w:proofErr w:type="spellStart"/>
      <w:r w:rsidRPr="006D66EA">
        <w:rPr>
          <w:rFonts w:eastAsia="Calibri"/>
          <w:bCs/>
          <w:sz w:val="24"/>
          <w:szCs w:val="24"/>
        </w:rPr>
        <w:t>Frühwirth-Schnatter</w:t>
      </w:r>
      <w:proofErr w:type="spellEnd"/>
      <w:r w:rsidRPr="006D66EA">
        <w:rPr>
          <w:rFonts w:eastAsia="Calibri"/>
          <w:bCs/>
          <w:sz w:val="24"/>
          <w:szCs w:val="24"/>
        </w:rPr>
        <w:t xml:space="preserve">, Sylvia. 2006. </w:t>
      </w:r>
      <w:r w:rsidRPr="005A1551">
        <w:rPr>
          <w:rFonts w:eastAsia="Calibri"/>
          <w:bCs/>
          <w:i/>
          <w:iCs/>
          <w:sz w:val="24"/>
          <w:szCs w:val="24"/>
        </w:rPr>
        <w:t>Finite Mixture and Markov Switching Models</w:t>
      </w:r>
      <w:r w:rsidRPr="005A1551">
        <w:rPr>
          <w:rFonts w:eastAsia="Calibri"/>
          <w:bCs/>
          <w:sz w:val="24"/>
          <w:szCs w:val="24"/>
        </w:rPr>
        <w:t>,</w:t>
      </w:r>
      <w:r w:rsidRPr="006D66EA">
        <w:rPr>
          <w:rFonts w:eastAsia="Calibri"/>
          <w:bCs/>
          <w:sz w:val="24"/>
          <w:szCs w:val="24"/>
        </w:rPr>
        <w:t xml:space="preserve"> Springer Series in Statistics</w:t>
      </w:r>
      <w:r>
        <w:rPr>
          <w:rFonts w:eastAsia="Calibri"/>
          <w:bCs/>
          <w:sz w:val="24"/>
          <w:szCs w:val="24"/>
        </w:rPr>
        <w:t>,</w:t>
      </w:r>
      <w:r w:rsidRPr="006D66EA">
        <w:rPr>
          <w:rFonts w:eastAsia="Calibri"/>
          <w:bCs/>
          <w:sz w:val="24"/>
          <w:szCs w:val="24"/>
        </w:rPr>
        <w:t xml:space="preserve"> New York: Springer-Verlag.</w:t>
      </w:r>
    </w:p>
    <w:p w14:paraId="314C4172" w14:textId="77777777" w:rsidR="006D66EA" w:rsidRPr="00915D62" w:rsidRDefault="006D66EA" w:rsidP="00B50F1D">
      <w:pPr>
        <w:autoSpaceDE w:val="0"/>
        <w:autoSpaceDN w:val="0"/>
        <w:adjustRightInd w:val="0"/>
        <w:spacing w:after="0" w:line="240" w:lineRule="auto"/>
        <w:rPr>
          <w:rFonts w:eastAsia="Calibri"/>
          <w:bCs/>
          <w:sz w:val="24"/>
          <w:szCs w:val="24"/>
        </w:rPr>
      </w:pPr>
    </w:p>
    <w:p w14:paraId="668299CD" w14:textId="77777777" w:rsidR="00B50F1D" w:rsidRPr="00915D62" w:rsidRDefault="00B50F1D" w:rsidP="00B50F1D">
      <w:pPr>
        <w:autoSpaceDE w:val="0"/>
        <w:autoSpaceDN w:val="0"/>
        <w:adjustRightInd w:val="0"/>
        <w:spacing w:after="0" w:line="240" w:lineRule="auto"/>
        <w:rPr>
          <w:rFonts w:eastAsia="Calibri"/>
          <w:sz w:val="24"/>
          <w:szCs w:val="24"/>
        </w:rPr>
      </w:pPr>
      <w:r w:rsidRPr="00915D62">
        <w:rPr>
          <w:rFonts w:eastAsia="Calibri"/>
          <w:sz w:val="24"/>
          <w:szCs w:val="24"/>
        </w:rPr>
        <w:t xml:space="preserve">Gabriel, Stuart A. and </w:t>
      </w:r>
      <w:proofErr w:type="spellStart"/>
      <w:r w:rsidRPr="00915D62">
        <w:rPr>
          <w:rFonts w:eastAsia="Calibri"/>
          <w:sz w:val="24"/>
          <w:szCs w:val="24"/>
        </w:rPr>
        <w:t>Nothaft</w:t>
      </w:r>
      <w:proofErr w:type="spellEnd"/>
      <w:r w:rsidRPr="00915D62">
        <w:rPr>
          <w:rFonts w:eastAsia="Calibri"/>
          <w:sz w:val="24"/>
          <w:szCs w:val="24"/>
        </w:rPr>
        <w:t xml:space="preserve">, Frank E. 1988. “Rental Housing Markets and the Natural Vacancy Rate,” </w:t>
      </w:r>
      <w:r w:rsidRPr="00915D62">
        <w:rPr>
          <w:rFonts w:eastAsia="Calibri"/>
          <w:i/>
          <w:sz w:val="24"/>
          <w:szCs w:val="24"/>
        </w:rPr>
        <w:t>Real Estate Economics</w:t>
      </w:r>
      <w:r w:rsidRPr="00915D62">
        <w:rPr>
          <w:rFonts w:eastAsia="Calibri"/>
          <w:sz w:val="24"/>
          <w:szCs w:val="24"/>
        </w:rPr>
        <w:t xml:space="preserve">, 16(4), pp. 419-429. </w:t>
      </w:r>
    </w:p>
    <w:p w14:paraId="3B534D73" w14:textId="77777777" w:rsidR="00B50F1D" w:rsidRPr="00915D62" w:rsidRDefault="00B50F1D" w:rsidP="00B50F1D">
      <w:pPr>
        <w:autoSpaceDE w:val="0"/>
        <w:autoSpaceDN w:val="0"/>
        <w:adjustRightInd w:val="0"/>
        <w:spacing w:after="0" w:line="240" w:lineRule="auto"/>
        <w:rPr>
          <w:rFonts w:eastAsia="Calibri"/>
          <w:bCs/>
          <w:sz w:val="24"/>
          <w:szCs w:val="24"/>
        </w:rPr>
      </w:pPr>
    </w:p>
    <w:p w14:paraId="05CF17E9" w14:textId="77777777" w:rsidR="00B50F1D" w:rsidRPr="00915D62" w:rsidRDefault="00B50F1D" w:rsidP="00B50F1D">
      <w:pPr>
        <w:spacing w:after="200" w:line="276" w:lineRule="auto"/>
        <w:rPr>
          <w:rFonts w:eastAsia="AdvGulliv-R"/>
          <w:sz w:val="24"/>
          <w:szCs w:val="24"/>
        </w:rPr>
      </w:pPr>
      <w:proofErr w:type="spellStart"/>
      <w:r w:rsidRPr="00915D62">
        <w:rPr>
          <w:rFonts w:eastAsia="AdvGulliv-R"/>
          <w:sz w:val="24"/>
          <w:szCs w:val="24"/>
        </w:rPr>
        <w:lastRenderedPageBreak/>
        <w:t>Genesove</w:t>
      </w:r>
      <w:proofErr w:type="spellEnd"/>
      <w:r w:rsidRPr="00915D62">
        <w:rPr>
          <w:rFonts w:eastAsia="AdvGulliv-R"/>
          <w:sz w:val="24"/>
          <w:szCs w:val="24"/>
        </w:rPr>
        <w:t xml:space="preserve">, David and Mayer, Christopher. 2001. “Loss Aversion and Seller Behavior: Evidence from the Housing Market,” </w:t>
      </w:r>
      <w:r w:rsidRPr="00915D62">
        <w:rPr>
          <w:rFonts w:eastAsia="AdvGulliv-R"/>
          <w:i/>
          <w:sz w:val="24"/>
          <w:szCs w:val="24"/>
        </w:rPr>
        <w:t>Quarterly Journal of Economics</w:t>
      </w:r>
      <w:r w:rsidRPr="00915D62">
        <w:rPr>
          <w:rFonts w:eastAsia="AdvGulliv-R"/>
          <w:sz w:val="24"/>
          <w:szCs w:val="24"/>
        </w:rPr>
        <w:t>, 116(4), pp. 1233-1260.</w:t>
      </w:r>
    </w:p>
    <w:p w14:paraId="74D50508" w14:textId="77777777" w:rsidR="00B50F1D" w:rsidRPr="00915D62" w:rsidRDefault="00B50F1D" w:rsidP="00B50F1D">
      <w:pPr>
        <w:spacing w:after="200" w:line="276" w:lineRule="auto"/>
        <w:rPr>
          <w:rFonts w:eastAsia="AdvGulliv-R"/>
          <w:sz w:val="24"/>
          <w:szCs w:val="24"/>
        </w:rPr>
      </w:pPr>
      <w:r w:rsidRPr="00915D62">
        <w:rPr>
          <w:rFonts w:eastAsia="AdvGulliv-R"/>
          <w:sz w:val="24"/>
          <w:szCs w:val="24"/>
        </w:rPr>
        <w:t xml:space="preserve">Goodman, Jr., John L. and </w:t>
      </w:r>
      <w:proofErr w:type="spellStart"/>
      <w:r w:rsidRPr="00915D62">
        <w:rPr>
          <w:rFonts w:eastAsia="AdvGulliv-R"/>
          <w:sz w:val="24"/>
          <w:szCs w:val="24"/>
        </w:rPr>
        <w:t>Ittner</w:t>
      </w:r>
      <w:proofErr w:type="spellEnd"/>
      <w:r w:rsidRPr="00915D62">
        <w:rPr>
          <w:rFonts w:eastAsia="AdvGulliv-R"/>
          <w:sz w:val="24"/>
          <w:szCs w:val="24"/>
        </w:rPr>
        <w:t xml:space="preserve">, John B. 1992. “The Accuracy of </w:t>
      </w:r>
      <w:proofErr w:type="gramStart"/>
      <w:r w:rsidRPr="00915D62">
        <w:rPr>
          <w:rFonts w:eastAsia="AdvGulliv-R"/>
          <w:sz w:val="24"/>
          <w:szCs w:val="24"/>
        </w:rPr>
        <w:t>Home Owners’</w:t>
      </w:r>
      <w:proofErr w:type="gramEnd"/>
      <w:r w:rsidRPr="00915D62">
        <w:rPr>
          <w:rFonts w:eastAsia="AdvGulliv-R"/>
          <w:sz w:val="24"/>
          <w:szCs w:val="24"/>
        </w:rPr>
        <w:t xml:space="preserve"> Estimates of House Value,” </w:t>
      </w:r>
      <w:r w:rsidRPr="00915D62">
        <w:rPr>
          <w:rFonts w:eastAsia="AdvGulliv-R"/>
          <w:i/>
          <w:sz w:val="24"/>
          <w:szCs w:val="24"/>
        </w:rPr>
        <w:t>Journal of Housing Economics</w:t>
      </w:r>
      <w:r w:rsidRPr="00915D62">
        <w:rPr>
          <w:rFonts w:eastAsia="AdvGulliv-R"/>
          <w:sz w:val="24"/>
          <w:szCs w:val="24"/>
        </w:rPr>
        <w:t xml:space="preserve"> 2(4), pp. 339-357.</w:t>
      </w:r>
    </w:p>
    <w:p w14:paraId="2B2EF75F" w14:textId="2E684441" w:rsidR="00B50F1D" w:rsidRDefault="00B50F1D" w:rsidP="00B50F1D">
      <w:pPr>
        <w:spacing w:after="200" w:line="276" w:lineRule="auto"/>
        <w:rPr>
          <w:rFonts w:eastAsia="AdvGulliv-R"/>
          <w:sz w:val="24"/>
          <w:szCs w:val="24"/>
        </w:rPr>
      </w:pPr>
      <w:proofErr w:type="spellStart"/>
      <w:r w:rsidRPr="00915D62">
        <w:rPr>
          <w:rFonts w:eastAsia="AdvGulliv-R"/>
          <w:sz w:val="24"/>
          <w:szCs w:val="24"/>
        </w:rPr>
        <w:t>Guren</w:t>
      </w:r>
      <w:proofErr w:type="spellEnd"/>
      <w:r w:rsidRPr="00915D62">
        <w:rPr>
          <w:rFonts w:eastAsia="AdvGulliv-R"/>
          <w:sz w:val="24"/>
          <w:szCs w:val="24"/>
        </w:rPr>
        <w:t xml:space="preserve">, Adam. 2018. “House Price Momentum and Strategic Complementarity,” </w:t>
      </w:r>
      <w:r w:rsidRPr="00915D62">
        <w:rPr>
          <w:rFonts w:eastAsia="AdvGulliv-R"/>
          <w:i/>
          <w:sz w:val="24"/>
          <w:szCs w:val="24"/>
        </w:rPr>
        <w:t>Journal of Political Economy</w:t>
      </w:r>
      <w:r w:rsidRPr="00915D62">
        <w:rPr>
          <w:rFonts w:eastAsia="AdvGulliv-R"/>
          <w:sz w:val="24"/>
          <w:szCs w:val="24"/>
        </w:rPr>
        <w:t xml:space="preserve">, 126(3), pp. 1172-1218. </w:t>
      </w:r>
    </w:p>
    <w:p w14:paraId="710F3891" w14:textId="446AA24E" w:rsidR="00A65C48" w:rsidRPr="00915D62" w:rsidRDefault="00A65C48" w:rsidP="00B50F1D">
      <w:pPr>
        <w:spacing w:after="200" w:line="276" w:lineRule="auto"/>
        <w:rPr>
          <w:rFonts w:eastAsia="AdvGulliv-R"/>
          <w:sz w:val="24"/>
          <w:szCs w:val="24"/>
        </w:rPr>
      </w:pPr>
      <w:r w:rsidRPr="00A65C48">
        <w:rPr>
          <w:rFonts w:eastAsia="AdvGulliv-R"/>
          <w:sz w:val="24"/>
          <w:szCs w:val="24"/>
        </w:rPr>
        <w:t>Hall, Stephen G.</w:t>
      </w:r>
      <w:r>
        <w:rPr>
          <w:rFonts w:eastAsia="AdvGulliv-R"/>
          <w:sz w:val="24"/>
          <w:szCs w:val="24"/>
        </w:rPr>
        <w:t>;</w:t>
      </w:r>
      <w:r w:rsidRPr="00A65C48">
        <w:rPr>
          <w:rFonts w:eastAsia="AdvGulliv-R"/>
          <w:sz w:val="24"/>
          <w:szCs w:val="24"/>
        </w:rPr>
        <w:t xml:space="preserve"> </w:t>
      </w:r>
      <w:proofErr w:type="spellStart"/>
      <w:r w:rsidRPr="00A65C48">
        <w:rPr>
          <w:rFonts w:eastAsia="AdvGulliv-R"/>
          <w:sz w:val="24"/>
          <w:szCs w:val="24"/>
        </w:rPr>
        <w:t>Psaradakis</w:t>
      </w:r>
      <w:proofErr w:type="spellEnd"/>
      <w:r w:rsidRPr="00A65C48">
        <w:rPr>
          <w:rFonts w:eastAsia="AdvGulliv-R"/>
          <w:sz w:val="24"/>
          <w:szCs w:val="24"/>
        </w:rPr>
        <w:t>, Zacharias</w:t>
      </w:r>
      <w:r>
        <w:rPr>
          <w:rFonts w:eastAsia="AdvGulliv-R"/>
          <w:sz w:val="24"/>
          <w:szCs w:val="24"/>
        </w:rPr>
        <w:t>;</w:t>
      </w:r>
      <w:r w:rsidRPr="00A65C48">
        <w:rPr>
          <w:rFonts w:eastAsia="AdvGulliv-R"/>
          <w:sz w:val="24"/>
          <w:szCs w:val="24"/>
        </w:rPr>
        <w:t xml:space="preserve"> and Sola</w:t>
      </w:r>
      <w:r>
        <w:rPr>
          <w:rFonts w:eastAsia="AdvGulliv-R"/>
          <w:sz w:val="24"/>
          <w:szCs w:val="24"/>
        </w:rPr>
        <w:t xml:space="preserve">, </w:t>
      </w:r>
      <w:r w:rsidRPr="00A65C48">
        <w:rPr>
          <w:rFonts w:eastAsia="AdvGulliv-R"/>
          <w:sz w:val="24"/>
          <w:szCs w:val="24"/>
        </w:rPr>
        <w:t>Martin</w:t>
      </w:r>
      <w:r>
        <w:rPr>
          <w:rFonts w:eastAsia="AdvGulliv-R"/>
          <w:sz w:val="24"/>
          <w:szCs w:val="24"/>
        </w:rPr>
        <w:t xml:space="preserve">. </w:t>
      </w:r>
      <w:r w:rsidRPr="00A65C48">
        <w:rPr>
          <w:rFonts w:eastAsia="AdvGulliv-R"/>
          <w:sz w:val="24"/>
          <w:szCs w:val="24"/>
        </w:rPr>
        <w:t>1999. “Detecting Periodically Collapsing Bubbles: A Markov-Switching Unit Root Test</w:t>
      </w:r>
      <w:r>
        <w:rPr>
          <w:rFonts w:eastAsia="AdvGulliv-R"/>
          <w:sz w:val="24"/>
          <w:szCs w:val="24"/>
        </w:rPr>
        <w:t>,</w:t>
      </w:r>
      <w:r w:rsidRPr="00A65C48">
        <w:rPr>
          <w:rFonts w:eastAsia="AdvGulliv-R"/>
          <w:sz w:val="24"/>
          <w:szCs w:val="24"/>
        </w:rPr>
        <w:t xml:space="preserve">” </w:t>
      </w:r>
      <w:r w:rsidRPr="005A1551">
        <w:rPr>
          <w:rFonts w:eastAsia="AdvGulliv-R"/>
          <w:i/>
          <w:iCs/>
          <w:sz w:val="24"/>
          <w:szCs w:val="24"/>
        </w:rPr>
        <w:t>Journal of Applied Econometrics</w:t>
      </w:r>
      <w:r w:rsidRPr="00A65C48">
        <w:rPr>
          <w:rFonts w:eastAsia="AdvGulliv-R"/>
          <w:sz w:val="24"/>
          <w:szCs w:val="24"/>
        </w:rPr>
        <w:t xml:space="preserve"> 14(2)</w:t>
      </w:r>
      <w:r>
        <w:rPr>
          <w:rFonts w:eastAsia="AdvGulliv-R"/>
          <w:sz w:val="24"/>
          <w:szCs w:val="24"/>
        </w:rPr>
        <w:t>, pp.</w:t>
      </w:r>
      <w:r w:rsidRPr="00A65C48">
        <w:rPr>
          <w:rFonts w:eastAsia="AdvGulliv-R"/>
          <w:sz w:val="24"/>
          <w:szCs w:val="24"/>
        </w:rPr>
        <w:t xml:space="preserve"> 143–</w:t>
      </w:r>
      <w:r>
        <w:rPr>
          <w:rFonts w:eastAsia="AdvGulliv-R"/>
          <w:sz w:val="24"/>
          <w:szCs w:val="24"/>
        </w:rPr>
        <w:t>1</w:t>
      </w:r>
      <w:r w:rsidRPr="00A65C48">
        <w:rPr>
          <w:rFonts w:eastAsia="AdvGulliv-R"/>
          <w:sz w:val="24"/>
          <w:szCs w:val="24"/>
        </w:rPr>
        <w:t>54.</w:t>
      </w:r>
    </w:p>
    <w:p w14:paraId="43D4CDE7" w14:textId="52255D13" w:rsidR="00B50F1D" w:rsidRPr="00915D62" w:rsidRDefault="00B50F1D" w:rsidP="00B50F1D">
      <w:pPr>
        <w:spacing w:after="200" w:line="276" w:lineRule="auto"/>
        <w:rPr>
          <w:rFonts w:eastAsia="AdvGulliv-R"/>
          <w:sz w:val="24"/>
          <w:szCs w:val="24"/>
        </w:rPr>
      </w:pPr>
      <w:r w:rsidRPr="00915D62">
        <w:rPr>
          <w:rFonts w:eastAsia="AdvGulliv-R"/>
          <w:sz w:val="24"/>
          <w:szCs w:val="24"/>
        </w:rPr>
        <w:t>Hamilton, James D. 1989. “A New Approach to the Economic Analysis o</w:t>
      </w:r>
      <w:r w:rsidR="006A0888">
        <w:rPr>
          <w:rFonts w:eastAsia="AdvGulliv-R"/>
          <w:sz w:val="24"/>
          <w:szCs w:val="24"/>
        </w:rPr>
        <w:t>f</w:t>
      </w:r>
      <w:r w:rsidRPr="00915D62">
        <w:rPr>
          <w:rFonts w:eastAsia="AdvGulliv-R"/>
          <w:sz w:val="24"/>
          <w:szCs w:val="24"/>
        </w:rPr>
        <w:t xml:space="preserve"> Nonstationary Time Series and the Business Cycle,” </w:t>
      </w:r>
      <w:proofErr w:type="spellStart"/>
      <w:r w:rsidRPr="00915D62">
        <w:rPr>
          <w:rFonts w:eastAsia="AdvGulliv-R"/>
          <w:i/>
          <w:sz w:val="24"/>
          <w:szCs w:val="24"/>
        </w:rPr>
        <w:t>Econometrica</w:t>
      </w:r>
      <w:proofErr w:type="spellEnd"/>
      <w:r w:rsidRPr="00915D62">
        <w:rPr>
          <w:rFonts w:eastAsia="AdvGulliv-R"/>
          <w:sz w:val="24"/>
          <w:szCs w:val="24"/>
        </w:rPr>
        <w:t>, 57(2), pp. 357-384.</w:t>
      </w:r>
    </w:p>
    <w:p w14:paraId="55EC0151" w14:textId="77777777" w:rsidR="00B50F1D" w:rsidRPr="00915D62" w:rsidRDefault="00B50F1D" w:rsidP="00B50F1D">
      <w:pPr>
        <w:spacing w:after="200" w:line="276" w:lineRule="auto"/>
        <w:rPr>
          <w:rFonts w:eastAsia="AdvGulliv-R"/>
          <w:sz w:val="24"/>
          <w:szCs w:val="24"/>
        </w:rPr>
      </w:pPr>
      <w:r w:rsidRPr="00915D62">
        <w:rPr>
          <w:rFonts w:eastAsia="AdvGulliv-R"/>
          <w:sz w:val="24"/>
          <w:szCs w:val="24"/>
        </w:rPr>
        <w:t xml:space="preserve">Hamilton, James D. 1994. </w:t>
      </w:r>
      <w:r w:rsidRPr="00915D62">
        <w:rPr>
          <w:rFonts w:eastAsia="AdvGulliv-R"/>
          <w:i/>
          <w:sz w:val="24"/>
          <w:szCs w:val="24"/>
        </w:rPr>
        <w:t>Time-Series Analysis</w:t>
      </w:r>
      <w:r w:rsidRPr="00915D62">
        <w:rPr>
          <w:rFonts w:eastAsia="AdvGulliv-R"/>
          <w:sz w:val="24"/>
          <w:szCs w:val="24"/>
        </w:rPr>
        <w:t>, Princeton, NJ: Princeton University Press.</w:t>
      </w:r>
    </w:p>
    <w:p w14:paraId="59FB5791" w14:textId="78A70BED" w:rsidR="00B50F1D" w:rsidRPr="00915D62" w:rsidRDefault="00B50F1D" w:rsidP="00B50F1D">
      <w:pPr>
        <w:spacing w:after="200" w:line="276" w:lineRule="auto"/>
        <w:rPr>
          <w:rFonts w:eastAsia="AdvGulliv-R"/>
          <w:sz w:val="24"/>
          <w:szCs w:val="24"/>
        </w:rPr>
      </w:pPr>
      <w:r w:rsidRPr="00915D62">
        <w:rPr>
          <w:rFonts w:eastAsia="AdvGulliv-R"/>
          <w:sz w:val="24"/>
          <w:szCs w:val="24"/>
        </w:rPr>
        <w:t xml:space="preserve">Hamilton, James D. 2010. “Regime </w:t>
      </w:r>
      <w:r w:rsidR="00BE6E38" w:rsidRPr="00915D62">
        <w:rPr>
          <w:rFonts w:eastAsia="AdvGulliv-R"/>
          <w:sz w:val="24"/>
          <w:szCs w:val="24"/>
        </w:rPr>
        <w:t>S</w:t>
      </w:r>
      <w:r w:rsidRPr="00915D62">
        <w:rPr>
          <w:rFonts w:eastAsia="AdvGulliv-R"/>
          <w:sz w:val="24"/>
          <w:szCs w:val="24"/>
        </w:rPr>
        <w:t xml:space="preserve">witching </w:t>
      </w:r>
      <w:r w:rsidR="00BE6E38" w:rsidRPr="00915D62">
        <w:rPr>
          <w:rFonts w:eastAsia="AdvGulliv-R"/>
          <w:sz w:val="24"/>
          <w:szCs w:val="24"/>
        </w:rPr>
        <w:t>M</w:t>
      </w:r>
      <w:r w:rsidRPr="00915D62">
        <w:rPr>
          <w:rFonts w:eastAsia="AdvGulliv-R"/>
          <w:sz w:val="24"/>
          <w:szCs w:val="24"/>
        </w:rPr>
        <w:t xml:space="preserve">odels,” </w:t>
      </w:r>
      <w:r w:rsidR="006A0888">
        <w:rPr>
          <w:rFonts w:eastAsia="AdvGulliv-R"/>
          <w:sz w:val="24"/>
          <w:szCs w:val="24"/>
        </w:rPr>
        <w:t>i</w:t>
      </w:r>
      <w:r w:rsidRPr="00915D62">
        <w:rPr>
          <w:rFonts w:eastAsia="AdvGulliv-R"/>
          <w:sz w:val="24"/>
          <w:szCs w:val="24"/>
        </w:rPr>
        <w:t xml:space="preserve">n </w:t>
      </w:r>
      <w:proofErr w:type="spellStart"/>
      <w:r w:rsidR="006A0888" w:rsidRPr="008C0CB6">
        <w:rPr>
          <w:rFonts w:eastAsia="AdvGulliv-R"/>
          <w:i/>
          <w:sz w:val="24"/>
          <w:szCs w:val="24"/>
        </w:rPr>
        <w:t>Macroeconometrics</w:t>
      </w:r>
      <w:proofErr w:type="spellEnd"/>
      <w:r w:rsidR="006A0888" w:rsidRPr="008C0CB6">
        <w:rPr>
          <w:rFonts w:eastAsia="AdvGulliv-R"/>
          <w:i/>
          <w:sz w:val="24"/>
          <w:szCs w:val="24"/>
        </w:rPr>
        <w:t xml:space="preserve"> and Time Series Analysis</w:t>
      </w:r>
      <w:r w:rsidR="006A0888">
        <w:rPr>
          <w:rFonts w:eastAsia="AdvGulliv-R"/>
          <w:iCs/>
          <w:sz w:val="24"/>
          <w:szCs w:val="24"/>
        </w:rPr>
        <w:t>, ed. by</w:t>
      </w:r>
      <w:r w:rsidR="006A0888" w:rsidRPr="00915D62">
        <w:rPr>
          <w:rFonts w:eastAsia="AdvGulliv-R"/>
          <w:sz w:val="24"/>
          <w:szCs w:val="24"/>
        </w:rPr>
        <w:t xml:space="preserve"> </w:t>
      </w:r>
      <w:proofErr w:type="spellStart"/>
      <w:r w:rsidRPr="00915D62">
        <w:rPr>
          <w:rFonts w:eastAsia="AdvGulliv-R"/>
          <w:sz w:val="24"/>
          <w:szCs w:val="24"/>
        </w:rPr>
        <w:t>Durlauf</w:t>
      </w:r>
      <w:proofErr w:type="spellEnd"/>
      <w:r w:rsidRPr="00915D62">
        <w:rPr>
          <w:rFonts w:eastAsia="AdvGulliv-R"/>
          <w:sz w:val="24"/>
          <w:szCs w:val="24"/>
        </w:rPr>
        <w:t xml:space="preserve"> S</w:t>
      </w:r>
      <w:r w:rsidR="006A0888">
        <w:rPr>
          <w:rFonts w:eastAsia="AdvGulliv-R"/>
          <w:sz w:val="24"/>
          <w:szCs w:val="24"/>
        </w:rPr>
        <w:t xml:space="preserve">teven </w:t>
      </w:r>
      <w:r w:rsidRPr="00915D62">
        <w:rPr>
          <w:rFonts w:eastAsia="AdvGulliv-R"/>
          <w:sz w:val="24"/>
          <w:szCs w:val="24"/>
        </w:rPr>
        <w:t>N</w:t>
      </w:r>
      <w:r w:rsidR="006A0888">
        <w:rPr>
          <w:rFonts w:eastAsia="AdvGulliv-R"/>
          <w:sz w:val="24"/>
          <w:szCs w:val="24"/>
        </w:rPr>
        <w:t>. and</w:t>
      </w:r>
      <w:r w:rsidRPr="00915D62">
        <w:rPr>
          <w:rFonts w:eastAsia="AdvGulliv-R"/>
          <w:sz w:val="24"/>
          <w:szCs w:val="24"/>
        </w:rPr>
        <w:t xml:space="preserve"> Blume</w:t>
      </w:r>
      <w:r w:rsidR="006A0888">
        <w:rPr>
          <w:rFonts w:eastAsia="AdvGulliv-R"/>
          <w:sz w:val="24"/>
          <w:szCs w:val="24"/>
        </w:rPr>
        <w:t>,</w:t>
      </w:r>
      <w:r w:rsidRPr="00915D62">
        <w:rPr>
          <w:rFonts w:eastAsia="AdvGulliv-R"/>
          <w:sz w:val="24"/>
          <w:szCs w:val="24"/>
        </w:rPr>
        <w:t xml:space="preserve"> L</w:t>
      </w:r>
      <w:r w:rsidR="006A0888">
        <w:rPr>
          <w:rFonts w:eastAsia="AdvGulliv-R"/>
          <w:sz w:val="24"/>
          <w:szCs w:val="24"/>
        </w:rPr>
        <w:t xml:space="preserve">awrence </w:t>
      </w:r>
      <w:r w:rsidRPr="00915D62">
        <w:rPr>
          <w:rFonts w:eastAsia="AdvGulliv-R"/>
          <w:sz w:val="24"/>
          <w:szCs w:val="24"/>
        </w:rPr>
        <w:t>E.</w:t>
      </w:r>
      <w:r w:rsidR="006A0888">
        <w:rPr>
          <w:rFonts w:eastAsia="AdvGulliv-R"/>
          <w:sz w:val="24"/>
          <w:szCs w:val="24"/>
        </w:rPr>
        <w:t>,</w:t>
      </w:r>
      <w:r w:rsidRPr="00915D62">
        <w:rPr>
          <w:rFonts w:eastAsia="AdvGulliv-R"/>
          <w:sz w:val="24"/>
          <w:szCs w:val="24"/>
        </w:rPr>
        <w:t xml:space="preserve"> The New Palgrave Economics Collection. Palgrave Macmillan, London</w:t>
      </w:r>
      <w:r w:rsidR="006A0888">
        <w:rPr>
          <w:rFonts w:eastAsia="AdvGulliv-R"/>
          <w:sz w:val="24"/>
          <w:szCs w:val="24"/>
        </w:rPr>
        <w:t xml:space="preserve">, pp. 202-209. </w:t>
      </w:r>
    </w:p>
    <w:p w14:paraId="38A7BC34" w14:textId="77777777" w:rsidR="00B50F1D" w:rsidRPr="00915D62" w:rsidRDefault="00B50F1D" w:rsidP="00B50F1D">
      <w:pPr>
        <w:spacing w:after="200" w:line="276" w:lineRule="auto"/>
        <w:rPr>
          <w:rFonts w:eastAsia="Calibri"/>
          <w:sz w:val="24"/>
          <w:szCs w:val="24"/>
        </w:rPr>
      </w:pPr>
      <w:r w:rsidRPr="00915D62">
        <w:rPr>
          <w:rFonts w:eastAsia="Calibri"/>
          <w:sz w:val="24"/>
          <w:szCs w:val="24"/>
        </w:rPr>
        <w:t xml:space="preserve">Hamilton, James D. and </w:t>
      </w:r>
      <w:proofErr w:type="spellStart"/>
      <w:r w:rsidRPr="00915D62">
        <w:rPr>
          <w:rFonts w:eastAsia="Calibri"/>
          <w:sz w:val="24"/>
          <w:szCs w:val="24"/>
        </w:rPr>
        <w:t>Owyang</w:t>
      </w:r>
      <w:proofErr w:type="spellEnd"/>
      <w:r w:rsidRPr="00915D62">
        <w:rPr>
          <w:rFonts w:eastAsia="Calibri"/>
          <w:sz w:val="24"/>
          <w:szCs w:val="24"/>
        </w:rPr>
        <w:t xml:space="preserve">, Michael T. 2012. “The Propagation of Regional Recessions,” </w:t>
      </w:r>
      <w:r w:rsidRPr="00915D62">
        <w:rPr>
          <w:rFonts w:eastAsia="Calibri"/>
          <w:i/>
          <w:sz w:val="24"/>
          <w:szCs w:val="24"/>
        </w:rPr>
        <w:t>Review of Economics and Statistics</w:t>
      </w:r>
      <w:r w:rsidRPr="00915D62">
        <w:rPr>
          <w:rFonts w:eastAsia="Calibri"/>
          <w:sz w:val="24"/>
          <w:szCs w:val="24"/>
        </w:rPr>
        <w:t>, 94(4), pp. 935-947.</w:t>
      </w:r>
    </w:p>
    <w:p w14:paraId="15EBD7A2" w14:textId="77777777" w:rsidR="00B50F1D" w:rsidRPr="00915D62" w:rsidRDefault="00B50F1D" w:rsidP="00B50F1D">
      <w:pPr>
        <w:spacing w:after="0" w:line="240" w:lineRule="auto"/>
        <w:outlineLvl w:val="0"/>
        <w:rPr>
          <w:rFonts w:eastAsia="Calibri"/>
          <w:color w:val="222222"/>
          <w:kern w:val="36"/>
          <w:sz w:val="24"/>
          <w:szCs w:val="24"/>
          <w:lang w:val="en"/>
        </w:rPr>
      </w:pPr>
      <w:r w:rsidRPr="00915D62">
        <w:rPr>
          <w:rFonts w:eastAsia="Calibri"/>
          <w:color w:val="222222"/>
          <w:kern w:val="36"/>
          <w:sz w:val="24"/>
          <w:szCs w:val="24"/>
          <w:lang w:val="en"/>
        </w:rPr>
        <w:t xml:space="preserve">Han, Lu and Strange, William C. 2015. “The Microstructure of Housing Markets: Search, Bargaining, and Brokerage,” in </w:t>
      </w:r>
      <w:r w:rsidRPr="00915D62">
        <w:rPr>
          <w:rFonts w:eastAsia="Calibri"/>
          <w:i/>
          <w:color w:val="222222"/>
          <w:kern w:val="36"/>
          <w:sz w:val="24"/>
          <w:szCs w:val="24"/>
          <w:lang w:val="en"/>
        </w:rPr>
        <w:t>Handbook of Regional and Urban Economics, Volume 5B,</w:t>
      </w:r>
      <w:r w:rsidRPr="00915D62">
        <w:rPr>
          <w:rFonts w:eastAsia="Calibri"/>
          <w:color w:val="222222"/>
          <w:kern w:val="36"/>
          <w:sz w:val="24"/>
          <w:szCs w:val="24"/>
          <w:lang w:val="en"/>
        </w:rPr>
        <w:t xml:space="preserve"> ed. by </w:t>
      </w:r>
      <w:proofErr w:type="spellStart"/>
      <w:r w:rsidRPr="00915D62">
        <w:rPr>
          <w:rFonts w:eastAsia="Calibri"/>
          <w:color w:val="222222"/>
          <w:kern w:val="36"/>
          <w:sz w:val="24"/>
          <w:szCs w:val="24"/>
          <w:lang w:val="en"/>
        </w:rPr>
        <w:t>Duranton</w:t>
      </w:r>
      <w:proofErr w:type="spellEnd"/>
      <w:r w:rsidRPr="00915D62">
        <w:rPr>
          <w:rFonts w:eastAsia="Calibri"/>
          <w:color w:val="222222"/>
          <w:kern w:val="36"/>
          <w:sz w:val="24"/>
          <w:szCs w:val="24"/>
          <w:lang w:val="en"/>
        </w:rPr>
        <w:t>, Gilles; Henderson, Vernon: and Strange, William, North Holland, pp. 813-886.</w:t>
      </w:r>
    </w:p>
    <w:p w14:paraId="13BC12EF" w14:textId="77777777" w:rsidR="00B50F1D" w:rsidRPr="00915D62" w:rsidRDefault="00B50F1D" w:rsidP="00B50F1D">
      <w:pPr>
        <w:spacing w:after="0" w:line="240" w:lineRule="auto"/>
        <w:outlineLvl w:val="0"/>
        <w:rPr>
          <w:rFonts w:eastAsia="Calibri"/>
          <w:color w:val="222222"/>
          <w:kern w:val="36"/>
          <w:sz w:val="24"/>
          <w:szCs w:val="24"/>
          <w:lang w:val="en"/>
        </w:rPr>
      </w:pPr>
    </w:p>
    <w:p w14:paraId="312F0D54" w14:textId="7AD39ECA" w:rsidR="00B50F1D" w:rsidRPr="00915D62" w:rsidRDefault="00B50F1D" w:rsidP="00B50F1D">
      <w:pPr>
        <w:spacing w:after="0" w:line="240" w:lineRule="auto"/>
        <w:outlineLvl w:val="0"/>
        <w:rPr>
          <w:rFonts w:eastAsia="Calibri"/>
          <w:color w:val="222222"/>
          <w:kern w:val="36"/>
          <w:sz w:val="24"/>
          <w:szCs w:val="24"/>
          <w:lang w:val="en"/>
        </w:rPr>
      </w:pPr>
      <w:r w:rsidRPr="00915D62">
        <w:rPr>
          <w:rFonts w:eastAsia="Calibri"/>
          <w:color w:val="222222"/>
          <w:kern w:val="36"/>
          <w:sz w:val="24"/>
          <w:szCs w:val="24"/>
          <w:lang w:val="en"/>
        </w:rPr>
        <w:t xml:space="preserve">Harrison, Austin and </w:t>
      </w:r>
      <w:proofErr w:type="spellStart"/>
      <w:r w:rsidRPr="00915D62">
        <w:rPr>
          <w:rFonts w:eastAsia="Calibri"/>
          <w:color w:val="222222"/>
          <w:kern w:val="36"/>
          <w:sz w:val="24"/>
          <w:szCs w:val="24"/>
          <w:lang w:val="en"/>
        </w:rPr>
        <w:t>Immergluck</w:t>
      </w:r>
      <w:proofErr w:type="spellEnd"/>
      <w:r w:rsidRPr="00915D62">
        <w:rPr>
          <w:rFonts w:eastAsia="Calibri"/>
          <w:color w:val="222222"/>
          <w:kern w:val="36"/>
          <w:sz w:val="24"/>
          <w:szCs w:val="24"/>
          <w:lang w:val="en"/>
        </w:rPr>
        <w:t xml:space="preserve">, Dan. 2020. “The Battle of the Belts: Comparing Housing Vacancy in Larger Metros in the Sun Belt and the Rust Belt </w:t>
      </w:r>
      <w:r w:rsidR="00BE6E38" w:rsidRPr="00915D62">
        <w:rPr>
          <w:rFonts w:eastAsia="Calibri"/>
          <w:color w:val="222222"/>
          <w:kern w:val="36"/>
          <w:sz w:val="24"/>
          <w:szCs w:val="24"/>
          <w:lang w:val="en"/>
        </w:rPr>
        <w:t>s</w:t>
      </w:r>
      <w:r w:rsidRPr="00915D62">
        <w:rPr>
          <w:rFonts w:eastAsia="Calibri"/>
          <w:color w:val="222222"/>
          <w:kern w:val="36"/>
          <w:sz w:val="24"/>
          <w:szCs w:val="24"/>
          <w:lang w:val="en"/>
        </w:rPr>
        <w:t>ince the Mortgage Crisis, 2012 to 2019,” working paper, July.</w:t>
      </w:r>
    </w:p>
    <w:p w14:paraId="751F1353" w14:textId="77777777" w:rsidR="00B50F1D" w:rsidRPr="00915D62" w:rsidRDefault="00B50F1D" w:rsidP="00B50F1D">
      <w:pPr>
        <w:spacing w:after="0" w:line="240" w:lineRule="auto"/>
        <w:outlineLvl w:val="0"/>
        <w:rPr>
          <w:rFonts w:eastAsia="Calibri"/>
          <w:color w:val="222222"/>
          <w:kern w:val="36"/>
          <w:sz w:val="24"/>
          <w:szCs w:val="24"/>
          <w:lang w:val="en"/>
        </w:rPr>
      </w:pPr>
    </w:p>
    <w:p w14:paraId="44353FC1" w14:textId="6FB6FE57" w:rsidR="00B50F1D" w:rsidRPr="00915D62" w:rsidRDefault="00B50F1D" w:rsidP="00B50F1D">
      <w:pPr>
        <w:spacing w:after="200" w:line="276" w:lineRule="auto"/>
        <w:rPr>
          <w:rFonts w:eastAsia="Calibri"/>
          <w:sz w:val="24"/>
          <w:szCs w:val="24"/>
        </w:rPr>
      </w:pPr>
      <w:proofErr w:type="spellStart"/>
      <w:r w:rsidRPr="00915D62">
        <w:rPr>
          <w:rFonts w:eastAsia="Calibri"/>
          <w:sz w:val="24"/>
          <w:szCs w:val="24"/>
        </w:rPr>
        <w:t>Ihlanfeldt</w:t>
      </w:r>
      <w:proofErr w:type="spellEnd"/>
      <w:r w:rsidRPr="00915D62">
        <w:rPr>
          <w:rFonts w:eastAsia="Calibri"/>
          <w:sz w:val="24"/>
          <w:szCs w:val="24"/>
        </w:rPr>
        <w:t xml:space="preserve">, Keith and </w:t>
      </w:r>
      <w:proofErr w:type="spellStart"/>
      <w:r w:rsidRPr="00915D62">
        <w:rPr>
          <w:rFonts w:eastAsia="Calibri"/>
          <w:sz w:val="24"/>
          <w:szCs w:val="24"/>
        </w:rPr>
        <w:t>Mayock</w:t>
      </w:r>
      <w:proofErr w:type="spellEnd"/>
      <w:r w:rsidRPr="00915D62">
        <w:rPr>
          <w:rFonts w:eastAsia="Calibri"/>
          <w:sz w:val="24"/>
          <w:szCs w:val="24"/>
        </w:rPr>
        <w:t xml:space="preserve">, Tom. 2012. “Information, Search, and House Prices: Revisited,” </w:t>
      </w:r>
      <w:r w:rsidRPr="00915D62">
        <w:rPr>
          <w:rFonts w:eastAsia="Calibri"/>
          <w:i/>
          <w:sz w:val="24"/>
          <w:szCs w:val="24"/>
        </w:rPr>
        <w:t>Journal of Real Estate Finance and Economics</w:t>
      </w:r>
      <w:r w:rsidRPr="00915D62">
        <w:rPr>
          <w:rFonts w:eastAsia="Calibri"/>
          <w:sz w:val="24"/>
          <w:szCs w:val="24"/>
        </w:rPr>
        <w:t>, 44(1), pp. 90-115.</w:t>
      </w:r>
    </w:p>
    <w:p w14:paraId="49DB9878" w14:textId="77777777" w:rsidR="00B50F1D" w:rsidRPr="00915D62" w:rsidRDefault="00B50F1D" w:rsidP="00B50F1D">
      <w:pPr>
        <w:spacing w:after="200" w:line="276" w:lineRule="auto"/>
        <w:rPr>
          <w:rFonts w:eastAsia="Calibri"/>
          <w:sz w:val="24"/>
          <w:szCs w:val="24"/>
        </w:rPr>
      </w:pPr>
      <w:proofErr w:type="spellStart"/>
      <w:r w:rsidRPr="00915D62">
        <w:rPr>
          <w:rFonts w:eastAsia="Calibri"/>
          <w:sz w:val="24"/>
          <w:szCs w:val="24"/>
        </w:rPr>
        <w:t>Ihle</w:t>
      </w:r>
      <w:proofErr w:type="spellEnd"/>
      <w:r w:rsidRPr="00915D62">
        <w:rPr>
          <w:rFonts w:eastAsia="Calibri"/>
          <w:sz w:val="24"/>
          <w:szCs w:val="24"/>
        </w:rPr>
        <w:t xml:space="preserve">, Rico; von </w:t>
      </w:r>
      <w:proofErr w:type="spellStart"/>
      <w:r w:rsidRPr="00915D62">
        <w:rPr>
          <w:rFonts w:eastAsia="Calibri"/>
          <w:sz w:val="24"/>
          <w:szCs w:val="24"/>
        </w:rPr>
        <w:t>Cramon-Taubadel</w:t>
      </w:r>
      <w:proofErr w:type="spellEnd"/>
      <w:r w:rsidRPr="00915D62">
        <w:rPr>
          <w:rFonts w:eastAsia="Calibri"/>
          <w:sz w:val="24"/>
          <w:szCs w:val="24"/>
        </w:rPr>
        <w:t xml:space="preserve">, Stephan; and </w:t>
      </w:r>
      <w:proofErr w:type="spellStart"/>
      <w:r w:rsidRPr="00915D62">
        <w:rPr>
          <w:rFonts w:eastAsia="Calibri"/>
          <w:sz w:val="24"/>
          <w:szCs w:val="24"/>
        </w:rPr>
        <w:t>Zorya</w:t>
      </w:r>
      <w:proofErr w:type="spellEnd"/>
      <w:r w:rsidRPr="00915D62">
        <w:rPr>
          <w:rFonts w:eastAsia="Calibri"/>
          <w:sz w:val="24"/>
          <w:szCs w:val="24"/>
        </w:rPr>
        <w:t xml:space="preserve">, </w:t>
      </w:r>
      <w:proofErr w:type="spellStart"/>
      <w:r w:rsidRPr="00915D62">
        <w:rPr>
          <w:rFonts w:eastAsia="Calibri"/>
          <w:sz w:val="24"/>
          <w:szCs w:val="24"/>
        </w:rPr>
        <w:t>Sergiy</w:t>
      </w:r>
      <w:proofErr w:type="spellEnd"/>
      <w:r w:rsidRPr="00915D62">
        <w:rPr>
          <w:rFonts w:eastAsia="Calibri"/>
          <w:sz w:val="24"/>
          <w:szCs w:val="24"/>
        </w:rPr>
        <w:t xml:space="preserve">. 2009. “Markov-Switching Estimation of Spatial Maize Price Transmission Processes between Tanzania and Kenya,” </w:t>
      </w:r>
      <w:r w:rsidRPr="00915D62">
        <w:rPr>
          <w:rFonts w:eastAsia="Calibri"/>
          <w:i/>
          <w:sz w:val="24"/>
          <w:szCs w:val="24"/>
        </w:rPr>
        <w:t>American Journal of Agricultural Economics</w:t>
      </w:r>
      <w:r w:rsidRPr="00915D62">
        <w:rPr>
          <w:rFonts w:eastAsia="Calibri"/>
          <w:sz w:val="24"/>
          <w:szCs w:val="24"/>
        </w:rPr>
        <w:t>, 91(5), pp. 1432-1439.</w:t>
      </w:r>
    </w:p>
    <w:p w14:paraId="087506C5" w14:textId="7EA0A8F6" w:rsidR="00B50F1D" w:rsidRDefault="00B50F1D" w:rsidP="00B50F1D">
      <w:pPr>
        <w:spacing w:after="200" w:line="276" w:lineRule="auto"/>
        <w:rPr>
          <w:rFonts w:eastAsia="Calibri"/>
          <w:sz w:val="24"/>
          <w:szCs w:val="24"/>
        </w:rPr>
      </w:pPr>
      <w:proofErr w:type="spellStart"/>
      <w:r w:rsidRPr="00915D62">
        <w:rPr>
          <w:rFonts w:eastAsia="Calibri"/>
          <w:sz w:val="24"/>
          <w:szCs w:val="24"/>
        </w:rPr>
        <w:t>Ihrke</w:t>
      </w:r>
      <w:proofErr w:type="spellEnd"/>
      <w:r w:rsidRPr="00915D62">
        <w:rPr>
          <w:rFonts w:eastAsia="Calibri"/>
          <w:sz w:val="24"/>
          <w:szCs w:val="24"/>
        </w:rPr>
        <w:t xml:space="preserve">, David. 2014. “Reason for Moving: 2012 to 2013,” </w:t>
      </w:r>
      <w:r w:rsidRPr="00915D62">
        <w:rPr>
          <w:rFonts w:eastAsia="Calibri"/>
          <w:i/>
          <w:sz w:val="24"/>
          <w:szCs w:val="24"/>
        </w:rPr>
        <w:t>Current Population Reports, P20-574</w:t>
      </w:r>
      <w:r w:rsidRPr="00915D62">
        <w:rPr>
          <w:rFonts w:eastAsia="Calibri"/>
          <w:sz w:val="24"/>
          <w:szCs w:val="24"/>
        </w:rPr>
        <w:t>, Washington, DC: US Census Bureau.</w:t>
      </w:r>
    </w:p>
    <w:p w14:paraId="747EDE39" w14:textId="6876B68A" w:rsidR="00A65C48" w:rsidRPr="00915D62" w:rsidRDefault="00A65C48" w:rsidP="00B50F1D">
      <w:pPr>
        <w:spacing w:after="200" w:line="276" w:lineRule="auto"/>
        <w:rPr>
          <w:rFonts w:eastAsia="Calibri"/>
          <w:sz w:val="24"/>
          <w:szCs w:val="24"/>
        </w:rPr>
      </w:pPr>
      <w:r w:rsidRPr="00A65C48">
        <w:rPr>
          <w:rFonts w:eastAsia="Calibri"/>
          <w:sz w:val="24"/>
          <w:szCs w:val="24"/>
        </w:rPr>
        <w:t xml:space="preserve">Kanas, </w:t>
      </w:r>
      <w:proofErr w:type="spellStart"/>
      <w:r w:rsidRPr="00A65C48">
        <w:rPr>
          <w:rFonts w:eastAsia="Calibri"/>
          <w:sz w:val="24"/>
          <w:szCs w:val="24"/>
        </w:rPr>
        <w:t>Angelos</w:t>
      </w:r>
      <w:proofErr w:type="spellEnd"/>
      <w:r w:rsidR="00FF0C17">
        <w:rPr>
          <w:rFonts w:eastAsia="Calibri"/>
          <w:sz w:val="24"/>
          <w:szCs w:val="24"/>
        </w:rPr>
        <w:t xml:space="preserve"> And Genius, Margarita. 2005</w:t>
      </w:r>
      <w:r w:rsidRPr="00A65C48">
        <w:rPr>
          <w:rFonts w:eastAsia="Calibri"/>
          <w:sz w:val="24"/>
          <w:szCs w:val="24"/>
        </w:rPr>
        <w:t>. “</w:t>
      </w:r>
      <w:r w:rsidR="00FF0C17">
        <w:rPr>
          <w:rFonts w:eastAsia="Calibri"/>
          <w:sz w:val="24"/>
          <w:szCs w:val="24"/>
        </w:rPr>
        <w:t>Regime (Non) Stationarity in the US/UK Real Exchange Rate</w:t>
      </w:r>
      <w:r>
        <w:rPr>
          <w:rFonts w:eastAsia="Calibri"/>
          <w:sz w:val="24"/>
          <w:szCs w:val="24"/>
        </w:rPr>
        <w:t>,</w:t>
      </w:r>
      <w:r w:rsidRPr="00A65C48">
        <w:rPr>
          <w:rFonts w:eastAsia="Calibri"/>
          <w:sz w:val="24"/>
          <w:szCs w:val="24"/>
        </w:rPr>
        <w:t xml:space="preserve">” </w:t>
      </w:r>
      <w:r w:rsidR="00FF0C17" w:rsidRPr="005A1551">
        <w:rPr>
          <w:rFonts w:eastAsia="Calibri"/>
          <w:i/>
          <w:sz w:val="24"/>
          <w:szCs w:val="24"/>
        </w:rPr>
        <w:t>Economics Letters</w:t>
      </w:r>
      <w:r>
        <w:rPr>
          <w:rFonts w:eastAsia="Calibri"/>
          <w:sz w:val="24"/>
          <w:szCs w:val="24"/>
        </w:rPr>
        <w:t>,</w:t>
      </w:r>
      <w:r w:rsidRPr="00A65C48">
        <w:rPr>
          <w:rFonts w:eastAsia="Calibri"/>
          <w:sz w:val="24"/>
          <w:szCs w:val="24"/>
        </w:rPr>
        <w:t xml:space="preserve"> </w:t>
      </w:r>
      <w:r w:rsidR="00FF0C17">
        <w:rPr>
          <w:rFonts w:eastAsia="Calibri"/>
          <w:sz w:val="24"/>
          <w:szCs w:val="24"/>
        </w:rPr>
        <w:t>87</w:t>
      </w:r>
      <w:r w:rsidRPr="00A65C48">
        <w:rPr>
          <w:rFonts w:eastAsia="Calibri"/>
          <w:sz w:val="24"/>
          <w:szCs w:val="24"/>
        </w:rPr>
        <w:t>(</w:t>
      </w:r>
      <w:r w:rsidR="00FF0C17">
        <w:rPr>
          <w:rFonts w:eastAsia="Calibri"/>
          <w:sz w:val="24"/>
          <w:szCs w:val="24"/>
        </w:rPr>
        <w:t>3</w:t>
      </w:r>
      <w:r w:rsidRPr="00A65C48">
        <w:rPr>
          <w:rFonts w:eastAsia="Calibri"/>
          <w:sz w:val="24"/>
          <w:szCs w:val="24"/>
        </w:rPr>
        <w:t>)</w:t>
      </w:r>
      <w:r>
        <w:rPr>
          <w:rFonts w:eastAsia="Calibri"/>
          <w:sz w:val="24"/>
          <w:szCs w:val="24"/>
        </w:rPr>
        <w:t>, pp.</w:t>
      </w:r>
      <w:r w:rsidRPr="00A65C48">
        <w:rPr>
          <w:rFonts w:eastAsia="Calibri"/>
          <w:sz w:val="24"/>
          <w:szCs w:val="24"/>
        </w:rPr>
        <w:t xml:space="preserve"> </w:t>
      </w:r>
      <w:r w:rsidR="00FF0C17">
        <w:rPr>
          <w:rFonts w:eastAsia="Calibri"/>
          <w:sz w:val="24"/>
          <w:szCs w:val="24"/>
        </w:rPr>
        <w:t>407</w:t>
      </w:r>
      <w:r w:rsidRPr="00A65C48">
        <w:rPr>
          <w:rFonts w:eastAsia="Calibri"/>
          <w:sz w:val="24"/>
          <w:szCs w:val="24"/>
        </w:rPr>
        <w:t>–</w:t>
      </w:r>
      <w:r w:rsidR="00FF0C17">
        <w:rPr>
          <w:rFonts w:eastAsia="Calibri"/>
          <w:sz w:val="24"/>
          <w:szCs w:val="24"/>
        </w:rPr>
        <w:t>413</w:t>
      </w:r>
      <w:r w:rsidRPr="00A65C48">
        <w:rPr>
          <w:rFonts w:eastAsia="Calibri"/>
          <w:sz w:val="24"/>
          <w:szCs w:val="24"/>
        </w:rPr>
        <w:t>.</w:t>
      </w:r>
    </w:p>
    <w:p w14:paraId="0C915882" w14:textId="5A48373B" w:rsidR="00B50F1D" w:rsidRPr="00915D62" w:rsidRDefault="00B50F1D" w:rsidP="00B50F1D">
      <w:pPr>
        <w:spacing w:after="200" w:line="276" w:lineRule="auto"/>
        <w:rPr>
          <w:rFonts w:eastAsia="Calibri"/>
          <w:sz w:val="24"/>
          <w:szCs w:val="24"/>
        </w:rPr>
      </w:pPr>
      <w:r w:rsidRPr="00915D62">
        <w:rPr>
          <w:rFonts w:eastAsia="Calibri"/>
          <w:sz w:val="24"/>
          <w:szCs w:val="24"/>
        </w:rPr>
        <w:lastRenderedPageBreak/>
        <w:t>Kim, Chang-</w:t>
      </w:r>
      <w:proofErr w:type="spellStart"/>
      <w:r w:rsidRPr="00915D62">
        <w:rPr>
          <w:rFonts w:eastAsia="Calibri"/>
          <w:sz w:val="24"/>
          <w:szCs w:val="24"/>
        </w:rPr>
        <w:t>Jin</w:t>
      </w:r>
      <w:proofErr w:type="spellEnd"/>
      <w:r w:rsidRPr="00915D62">
        <w:rPr>
          <w:rFonts w:eastAsia="Calibri"/>
          <w:sz w:val="24"/>
          <w:szCs w:val="24"/>
        </w:rPr>
        <w:t xml:space="preserve"> and Nelson, Charles R. 1999. </w:t>
      </w:r>
      <w:r w:rsidRPr="00915D62">
        <w:rPr>
          <w:rFonts w:eastAsia="Calibri"/>
          <w:i/>
          <w:sz w:val="24"/>
          <w:szCs w:val="24"/>
        </w:rPr>
        <w:t>State-</w:t>
      </w:r>
      <w:r w:rsidR="007E5C15">
        <w:rPr>
          <w:rFonts w:eastAsia="Calibri"/>
          <w:i/>
          <w:sz w:val="24"/>
          <w:szCs w:val="24"/>
        </w:rPr>
        <w:t>S</w:t>
      </w:r>
      <w:r w:rsidRPr="00915D62">
        <w:rPr>
          <w:rFonts w:eastAsia="Calibri"/>
          <w:i/>
          <w:sz w:val="24"/>
          <w:szCs w:val="24"/>
        </w:rPr>
        <w:t xml:space="preserve">pace </w:t>
      </w:r>
      <w:r w:rsidR="00B77A4A" w:rsidRPr="00915D62">
        <w:rPr>
          <w:rFonts w:eastAsia="Calibri"/>
          <w:i/>
          <w:sz w:val="24"/>
          <w:szCs w:val="24"/>
        </w:rPr>
        <w:t>M</w:t>
      </w:r>
      <w:r w:rsidRPr="00915D62">
        <w:rPr>
          <w:rFonts w:eastAsia="Calibri"/>
          <w:i/>
          <w:sz w:val="24"/>
          <w:szCs w:val="24"/>
        </w:rPr>
        <w:t xml:space="preserve">odels with </w:t>
      </w:r>
      <w:r w:rsidR="00B77A4A" w:rsidRPr="00915D62">
        <w:rPr>
          <w:rFonts w:eastAsia="Calibri"/>
          <w:i/>
          <w:sz w:val="24"/>
          <w:szCs w:val="24"/>
        </w:rPr>
        <w:t>R</w:t>
      </w:r>
      <w:r w:rsidRPr="00915D62">
        <w:rPr>
          <w:rFonts w:eastAsia="Calibri"/>
          <w:i/>
          <w:sz w:val="24"/>
          <w:szCs w:val="24"/>
        </w:rPr>
        <w:t xml:space="preserve">egime </w:t>
      </w:r>
      <w:r w:rsidR="00B77A4A" w:rsidRPr="00915D62">
        <w:rPr>
          <w:rFonts w:eastAsia="Calibri"/>
          <w:i/>
          <w:sz w:val="24"/>
          <w:szCs w:val="24"/>
        </w:rPr>
        <w:t>S</w:t>
      </w:r>
      <w:r w:rsidRPr="00915D62">
        <w:rPr>
          <w:rFonts w:eastAsia="Calibri"/>
          <w:i/>
          <w:sz w:val="24"/>
          <w:szCs w:val="24"/>
        </w:rPr>
        <w:t>witching</w:t>
      </w:r>
      <w:r w:rsidRPr="00915D62">
        <w:rPr>
          <w:rFonts w:eastAsia="Calibri"/>
          <w:sz w:val="24"/>
          <w:szCs w:val="24"/>
        </w:rPr>
        <w:t>. MIT Press, Cambridge, Massachusetts</w:t>
      </w:r>
    </w:p>
    <w:p w14:paraId="3EFD3BC2" w14:textId="56C805BB" w:rsidR="00B50F1D" w:rsidRPr="00915D62" w:rsidRDefault="00B50F1D" w:rsidP="00B50F1D">
      <w:pPr>
        <w:spacing w:after="200" w:line="276" w:lineRule="auto"/>
        <w:rPr>
          <w:rFonts w:eastAsia="Calibri"/>
          <w:sz w:val="24"/>
          <w:szCs w:val="24"/>
        </w:rPr>
      </w:pPr>
      <w:r w:rsidRPr="00915D62">
        <w:rPr>
          <w:rFonts w:eastAsia="Calibri"/>
          <w:sz w:val="24"/>
          <w:szCs w:val="24"/>
        </w:rPr>
        <w:t xml:space="preserve">Koop, Gary; </w:t>
      </w:r>
      <w:proofErr w:type="spellStart"/>
      <w:r w:rsidRPr="00915D62">
        <w:rPr>
          <w:rFonts w:eastAsia="Calibri"/>
          <w:sz w:val="24"/>
          <w:szCs w:val="24"/>
        </w:rPr>
        <w:t>Pesaran</w:t>
      </w:r>
      <w:proofErr w:type="spellEnd"/>
      <w:r w:rsidRPr="00915D62">
        <w:rPr>
          <w:rFonts w:eastAsia="Calibri"/>
          <w:sz w:val="24"/>
          <w:szCs w:val="24"/>
        </w:rPr>
        <w:t xml:space="preserve">, M. Hashem; and Potter, Simon M. 1996. “Impulse </w:t>
      </w:r>
      <w:r w:rsidR="00B77A4A" w:rsidRPr="00915D62">
        <w:rPr>
          <w:rFonts w:eastAsia="Calibri"/>
          <w:sz w:val="24"/>
          <w:szCs w:val="24"/>
        </w:rPr>
        <w:t>R</w:t>
      </w:r>
      <w:r w:rsidRPr="00915D62">
        <w:rPr>
          <w:rFonts w:eastAsia="Calibri"/>
          <w:sz w:val="24"/>
          <w:szCs w:val="24"/>
        </w:rPr>
        <w:t xml:space="preserve">esponse </w:t>
      </w:r>
      <w:r w:rsidR="00B77A4A" w:rsidRPr="00915D62">
        <w:rPr>
          <w:rFonts w:eastAsia="Calibri"/>
          <w:sz w:val="24"/>
          <w:szCs w:val="24"/>
        </w:rPr>
        <w:t>A</w:t>
      </w:r>
      <w:r w:rsidRPr="00915D62">
        <w:rPr>
          <w:rFonts w:eastAsia="Calibri"/>
          <w:sz w:val="24"/>
          <w:szCs w:val="24"/>
        </w:rPr>
        <w:t xml:space="preserve">nalysis in </w:t>
      </w:r>
      <w:r w:rsidR="00B77A4A" w:rsidRPr="00915D62">
        <w:rPr>
          <w:rFonts w:eastAsia="Calibri"/>
          <w:sz w:val="24"/>
          <w:szCs w:val="24"/>
        </w:rPr>
        <w:t>N</w:t>
      </w:r>
      <w:r w:rsidRPr="00915D62">
        <w:rPr>
          <w:rFonts w:eastAsia="Calibri"/>
          <w:sz w:val="24"/>
          <w:szCs w:val="24"/>
        </w:rPr>
        <w:t xml:space="preserve">onlinear </w:t>
      </w:r>
      <w:r w:rsidR="00B77A4A" w:rsidRPr="00915D62">
        <w:rPr>
          <w:rFonts w:eastAsia="Calibri"/>
          <w:sz w:val="24"/>
          <w:szCs w:val="24"/>
        </w:rPr>
        <w:t>M</w:t>
      </w:r>
      <w:r w:rsidRPr="00915D62">
        <w:rPr>
          <w:rFonts w:eastAsia="Calibri"/>
          <w:sz w:val="24"/>
          <w:szCs w:val="24"/>
        </w:rPr>
        <w:t xml:space="preserve">ultivariate </w:t>
      </w:r>
      <w:r w:rsidR="00B77A4A" w:rsidRPr="00915D62">
        <w:rPr>
          <w:rFonts w:eastAsia="Calibri"/>
          <w:sz w:val="24"/>
          <w:szCs w:val="24"/>
        </w:rPr>
        <w:t>M</w:t>
      </w:r>
      <w:r w:rsidRPr="00915D62">
        <w:rPr>
          <w:rFonts w:eastAsia="Calibri"/>
          <w:sz w:val="24"/>
          <w:szCs w:val="24"/>
        </w:rPr>
        <w:t xml:space="preserve">odels,” </w:t>
      </w:r>
      <w:r w:rsidRPr="00915D62">
        <w:rPr>
          <w:rFonts w:eastAsia="Calibri"/>
          <w:i/>
          <w:sz w:val="24"/>
          <w:szCs w:val="24"/>
        </w:rPr>
        <w:t xml:space="preserve">Journal of </w:t>
      </w:r>
      <w:r w:rsidR="00B77A4A" w:rsidRPr="00915D62">
        <w:rPr>
          <w:rFonts w:eastAsia="Calibri"/>
          <w:i/>
          <w:sz w:val="24"/>
          <w:szCs w:val="24"/>
        </w:rPr>
        <w:t>E</w:t>
      </w:r>
      <w:r w:rsidRPr="00915D62">
        <w:rPr>
          <w:rFonts w:eastAsia="Calibri"/>
          <w:i/>
          <w:sz w:val="24"/>
          <w:szCs w:val="24"/>
        </w:rPr>
        <w:t>conometrics</w:t>
      </w:r>
      <w:r w:rsidRPr="00915D62">
        <w:rPr>
          <w:rFonts w:eastAsia="Calibri"/>
          <w:sz w:val="24"/>
          <w:szCs w:val="24"/>
        </w:rPr>
        <w:t>, 74(1), pp. 119-147.</w:t>
      </w:r>
    </w:p>
    <w:p w14:paraId="13EA54BA" w14:textId="77777777" w:rsidR="00B50F1D" w:rsidRPr="00915D62" w:rsidRDefault="00B50F1D" w:rsidP="00B50F1D">
      <w:pPr>
        <w:spacing w:after="200" w:line="276" w:lineRule="auto"/>
        <w:rPr>
          <w:rFonts w:eastAsia="Calibri"/>
          <w:sz w:val="24"/>
          <w:szCs w:val="24"/>
        </w:rPr>
      </w:pPr>
      <w:proofErr w:type="spellStart"/>
      <w:r w:rsidRPr="00915D62">
        <w:rPr>
          <w:rFonts w:eastAsia="Calibri"/>
          <w:sz w:val="24"/>
          <w:szCs w:val="24"/>
        </w:rPr>
        <w:t>Lisi</w:t>
      </w:r>
      <w:proofErr w:type="spellEnd"/>
      <w:r w:rsidRPr="00915D62">
        <w:rPr>
          <w:rFonts w:eastAsia="Calibri"/>
          <w:sz w:val="24"/>
          <w:szCs w:val="24"/>
        </w:rPr>
        <w:t>, Gaetano. 2015. “Real Estate Macroeconomics and the Four-Quadrant Model: DiPasquale-Wheaton-Colwell Meet Mortensen-</w:t>
      </w:r>
      <w:proofErr w:type="spellStart"/>
      <w:r w:rsidRPr="00915D62">
        <w:rPr>
          <w:rFonts w:eastAsia="Calibri"/>
          <w:sz w:val="24"/>
          <w:szCs w:val="24"/>
        </w:rPr>
        <w:t>Pissarides</w:t>
      </w:r>
      <w:proofErr w:type="spellEnd"/>
      <w:r w:rsidRPr="00915D62">
        <w:rPr>
          <w:rFonts w:eastAsia="Calibri"/>
          <w:sz w:val="24"/>
          <w:szCs w:val="24"/>
        </w:rPr>
        <w:t xml:space="preserve">,” </w:t>
      </w:r>
      <w:r w:rsidRPr="00915D62">
        <w:rPr>
          <w:rFonts w:eastAsia="Calibri"/>
          <w:i/>
          <w:sz w:val="24"/>
          <w:szCs w:val="24"/>
        </w:rPr>
        <w:t>Journal of Real Estate Practice and Education</w:t>
      </w:r>
      <w:r w:rsidRPr="00915D62">
        <w:rPr>
          <w:rFonts w:eastAsia="Calibri"/>
          <w:sz w:val="24"/>
          <w:szCs w:val="24"/>
        </w:rPr>
        <w:t>, 18(1), pp. 87-106.</w:t>
      </w:r>
    </w:p>
    <w:p w14:paraId="1FC10F7B" w14:textId="77777777" w:rsidR="00B50F1D" w:rsidRPr="00915D62" w:rsidRDefault="00B50F1D" w:rsidP="00B50F1D">
      <w:pPr>
        <w:spacing w:after="200" w:line="276" w:lineRule="auto"/>
        <w:rPr>
          <w:rFonts w:eastAsia="Calibri"/>
          <w:sz w:val="24"/>
          <w:szCs w:val="24"/>
        </w:rPr>
      </w:pPr>
      <w:r w:rsidRPr="00915D62">
        <w:rPr>
          <w:rFonts w:eastAsia="Calibri"/>
          <w:sz w:val="24"/>
          <w:szCs w:val="24"/>
        </w:rPr>
        <w:t xml:space="preserve">Merlo, Antonio and </w:t>
      </w:r>
      <w:proofErr w:type="spellStart"/>
      <w:r w:rsidRPr="00915D62">
        <w:rPr>
          <w:rFonts w:eastAsia="Calibri"/>
          <w:sz w:val="24"/>
          <w:szCs w:val="24"/>
        </w:rPr>
        <w:t>Ortalo-Magné</w:t>
      </w:r>
      <w:proofErr w:type="spellEnd"/>
      <w:r w:rsidRPr="00915D62">
        <w:rPr>
          <w:rFonts w:eastAsia="Calibri"/>
          <w:sz w:val="24"/>
          <w:szCs w:val="24"/>
        </w:rPr>
        <w:t xml:space="preserve">, François. 2004. “Bargaining over Residential Real Estate: Evidence from England,” </w:t>
      </w:r>
      <w:r w:rsidRPr="00915D62">
        <w:rPr>
          <w:rFonts w:eastAsia="Calibri"/>
          <w:i/>
          <w:sz w:val="24"/>
          <w:szCs w:val="24"/>
        </w:rPr>
        <w:t>Journal of Urban Economics</w:t>
      </w:r>
      <w:r w:rsidRPr="00915D62">
        <w:rPr>
          <w:rFonts w:eastAsia="Calibri"/>
          <w:sz w:val="24"/>
          <w:szCs w:val="24"/>
        </w:rPr>
        <w:t>, 56(2), pp. 192-216.</w:t>
      </w:r>
    </w:p>
    <w:p w14:paraId="4C7BA618" w14:textId="1F7BB45E" w:rsidR="00B50F1D" w:rsidRPr="00915D62" w:rsidRDefault="00B50F1D" w:rsidP="00B50F1D">
      <w:pPr>
        <w:spacing w:after="0" w:line="240" w:lineRule="auto"/>
        <w:outlineLvl w:val="0"/>
        <w:rPr>
          <w:rFonts w:eastAsia="Calibri"/>
          <w:sz w:val="24"/>
          <w:szCs w:val="24"/>
        </w:rPr>
      </w:pPr>
      <w:r w:rsidRPr="00915D62">
        <w:rPr>
          <w:rFonts w:eastAsia="Calibri"/>
          <w:sz w:val="24"/>
          <w:szCs w:val="24"/>
        </w:rPr>
        <w:t xml:space="preserve">Molloy, Raven. 2016. “Long-Term Vacant Housing in the United States,” </w:t>
      </w:r>
      <w:r w:rsidRPr="00915D62">
        <w:rPr>
          <w:rFonts w:eastAsia="Calibri"/>
          <w:i/>
          <w:sz w:val="24"/>
          <w:szCs w:val="24"/>
        </w:rPr>
        <w:t>Regional Science and Urban Economics</w:t>
      </w:r>
      <w:r w:rsidRPr="00915D62">
        <w:rPr>
          <w:rFonts w:eastAsia="Calibri"/>
          <w:sz w:val="24"/>
          <w:szCs w:val="24"/>
        </w:rPr>
        <w:t>, 59, pp. 118-129.</w:t>
      </w:r>
    </w:p>
    <w:p w14:paraId="3E9FBA57" w14:textId="77777777" w:rsidR="00B50F1D" w:rsidRPr="00915D62" w:rsidRDefault="00B50F1D" w:rsidP="00B50F1D">
      <w:pPr>
        <w:spacing w:after="0" w:line="240" w:lineRule="auto"/>
        <w:outlineLvl w:val="0"/>
        <w:rPr>
          <w:rFonts w:eastAsia="Calibri"/>
          <w:sz w:val="24"/>
          <w:szCs w:val="24"/>
        </w:rPr>
      </w:pPr>
    </w:p>
    <w:p w14:paraId="10BC6A5C" w14:textId="77777777" w:rsidR="00B50F1D" w:rsidRPr="00915D62" w:rsidRDefault="00B50F1D" w:rsidP="00B50F1D">
      <w:pPr>
        <w:spacing w:after="0" w:line="240" w:lineRule="auto"/>
        <w:outlineLvl w:val="0"/>
        <w:rPr>
          <w:rFonts w:eastAsia="Calibri"/>
          <w:sz w:val="24"/>
          <w:szCs w:val="24"/>
        </w:rPr>
      </w:pPr>
      <w:r w:rsidRPr="00915D62">
        <w:rPr>
          <w:rFonts w:eastAsia="Calibri"/>
          <w:sz w:val="24"/>
          <w:szCs w:val="24"/>
        </w:rPr>
        <w:t xml:space="preserve">Molloy, Raven; Smith, Christopher L; and Wozniak, Abigail, 2011. “Internal Migration in the United States,” </w:t>
      </w:r>
      <w:r w:rsidRPr="00915D62">
        <w:rPr>
          <w:rFonts w:eastAsia="Calibri"/>
          <w:i/>
          <w:sz w:val="24"/>
          <w:szCs w:val="24"/>
        </w:rPr>
        <w:t>Journal of Economic Perspectives</w:t>
      </w:r>
      <w:r w:rsidRPr="00915D62">
        <w:rPr>
          <w:rFonts w:eastAsia="Calibri"/>
          <w:sz w:val="24"/>
          <w:szCs w:val="24"/>
        </w:rPr>
        <w:t>, 25(3), pp. 173-196.</w:t>
      </w:r>
    </w:p>
    <w:p w14:paraId="2748FB3A" w14:textId="77777777" w:rsidR="00B50F1D" w:rsidRPr="00915D62" w:rsidRDefault="00B50F1D" w:rsidP="00B50F1D">
      <w:pPr>
        <w:spacing w:after="0" w:line="240" w:lineRule="auto"/>
        <w:outlineLvl w:val="0"/>
        <w:rPr>
          <w:rFonts w:eastAsia="Calibri"/>
          <w:sz w:val="24"/>
          <w:szCs w:val="24"/>
        </w:rPr>
      </w:pPr>
    </w:p>
    <w:p w14:paraId="35DAB590" w14:textId="67C33D22" w:rsidR="00B50F1D" w:rsidRDefault="00B50F1D" w:rsidP="00B50F1D">
      <w:pPr>
        <w:spacing w:after="0" w:line="240" w:lineRule="auto"/>
        <w:outlineLvl w:val="0"/>
        <w:rPr>
          <w:rFonts w:eastAsia="Calibri"/>
          <w:sz w:val="24"/>
          <w:szCs w:val="24"/>
        </w:rPr>
      </w:pPr>
      <w:r w:rsidRPr="00915D62">
        <w:rPr>
          <w:rFonts w:eastAsia="Calibri"/>
          <w:sz w:val="24"/>
          <w:szCs w:val="24"/>
        </w:rPr>
        <w:t xml:space="preserve">Molloy, Raven; Smith, Christopher L; and Wozniak, Abigail, 2017. “Job Changing and the Decline in Long Distance Migration in the </w:t>
      </w:r>
      <w:r w:rsidR="00921539">
        <w:rPr>
          <w:rFonts w:eastAsia="Calibri"/>
          <w:sz w:val="24"/>
          <w:szCs w:val="24"/>
        </w:rPr>
        <w:t>United States</w:t>
      </w:r>
      <w:r w:rsidRPr="00915D62">
        <w:rPr>
          <w:rFonts w:eastAsia="Calibri"/>
          <w:sz w:val="24"/>
          <w:szCs w:val="24"/>
        </w:rPr>
        <w:t xml:space="preserve">,” </w:t>
      </w:r>
      <w:r w:rsidRPr="00915D62">
        <w:rPr>
          <w:rFonts w:eastAsia="Calibri"/>
          <w:i/>
          <w:sz w:val="24"/>
          <w:szCs w:val="24"/>
        </w:rPr>
        <w:t>Demography</w:t>
      </w:r>
      <w:r w:rsidRPr="00915D62">
        <w:rPr>
          <w:rFonts w:eastAsia="Calibri"/>
          <w:sz w:val="24"/>
          <w:szCs w:val="24"/>
        </w:rPr>
        <w:t>, 54(2), 631-653.</w:t>
      </w:r>
    </w:p>
    <w:p w14:paraId="24691BFB" w14:textId="6F63208E" w:rsidR="00A65C48" w:rsidRDefault="00A65C48" w:rsidP="00B50F1D">
      <w:pPr>
        <w:spacing w:after="0" w:line="240" w:lineRule="auto"/>
        <w:outlineLvl w:val="0"/>
        <w:rPr>
          <w:rFonts w:eastAsia="Calibri"/>
          <w:sz w:val="24"/>
          <w:szCs w:val="24"/>
        </w:rPr>
      </w:pPr>
    </w:p>
    <w:p w14:paraId="48E4E684" w14:textId="49E169CB" w:rsidR="00A65C48" w:rsidRPr="00915D62" w:rsidRDefault="00A65C48" w:rsidP="00B50F1D">
      <w:pPr>
        <w:spacing w:after="0" w:line="240" w:lineRule="auto"/>
        <w:outlineLvl w:val="0"/>
        <w:rPr>
          <w:rFonts w:eastAsia="Calibri"/>
          <w:sz w:val="24"/>
          <w:szCs w:val="24"/>
        </w:rPr>
      </w:pPr>
      <w:r w:rsidRPr="00A65C48">
        <w:rPr>
          <w:rFonts w:eastAsia="Calibri"/>
          <w:sz w:val="24"/>
          <w:szCs w:val="24"/>
        </w:rPr>
        <w:t>Nelson, Charles R.</w:t>
      </w:r>
      <w:r>
        <w:rPr>
          <w:rFonts w:eastAsia="Calibri"/>
          <w:sz w:val="24"/>
          <w:szCs w:val="24"/>
        </w:rPr>
        <w:t>;</w:t>
      </w:r>
      <w:r w:rsidRPr="00A65C48">
        <w:rPr>
          <w:rFonts w:eastAsia="Calibri"/>
          <w:sz w:val="24"/>
          <w:szCs w:val="24"/>
        </w:rPr>
        <w:t xml:space="preserve"> </w:t>
      </w:r>
      <w:proofErr w:type="spellStart"/>
      <w:r w:rsidRPr="00A65C48">
        <w:rPr>
          <w:rFonts w:eastAsia="Calibri"/>
          <w:sz w:val="24"/>
          <w:szCs w:val="24"/>
        </w:rPr>
        <w:t>Piger</w:t>
      </w:r>
      <w:proofErr w:type="spellEnd"/>
      <w:r w:rsidRPr="00A65C48">
        <w:rPr>
          <w:rFonts w:eastAsia="Calibri"/>
          <w:sz w:val="24"/>
          <w:szCs w:val="24"/>
        </w:rPr>
        <w:t>, Jeremy</w:t>
      </w:r>
      <w:r>
        <w:rPr>
          <w:rFonts w:eastAsia="Calibri"/>
          <w:sz w:val="24"/>
          <w:szCs w:val="24"/>
        </w:rPr>
        <w:t>;</w:t>
      </w:r>
      <w:r w:rsidRPr="00A65C48">
        <w:rPr>
          <w:rFonts w:eastAsia="Calibri"/>
          <w:sz w:val="24"/>
          <w:szCs w:val="24"/>
        </w:rPr>
        <w:t xml:space="preserve"> and </w:t>
      </w:r>
      <w:proofErr w:type="spellStart"/>
      <w:r w:rsidRPr="00A65C48">
        <w:rPr>
          <w:rFonts w:eastAsia="Calibri"/>
          <w:sz w:val="24"/>
          <w:szCs w:val="24"/>
        </w:rPr>
        <w:t>Zivot</w:t>
      </w:r>
      <w:proofErr w:type="spellEnd"/>
      <w:r>
        <w:rPr>
          <w:rFonts w:eastAsia="Calibri"/>
          <w:sz w:val="24"/>
          <w:szCs w:val="24"/>
        </w:rPr>
        <w:t xml:space="preserve">, </w:t>
      </w:r>
      <w:r w:rsidRPr="00A65C48">
        <w:rPr>
          <w:rFonts w:eastAsia="Calibri"/>
          <w:sz w:val="24"/>
          <w:szCs w:val="24"/>
        </w:rPr>
        <w:t>Eric</w:t>
      </w:r>
      <w:r>
        <w:rPr>
          <w:rFonts w:eastAsia="Calibri"/>
          <w:sz w:val="24"/>
          <w:szCs w:val="24"/>
        </w:rPr>
        <w:t>.</w:t>
      </w:r>
      <w:r w:rsidRPr="00A65C48">
        <w:rPr>
          <w:rFonts w:eastAsia="Calibri"/>
          <w:sz w:val="24"/>
          <w:szCs w:val="24"/>
        </w:rPr>
        <w:t xml:space="preserve"> 2001. “Markov Regime Switching and Unit-Root Tests</w:t>
      </w:r>
      <w:r>
        <w:rPr>
          <w:rFonts w:eastAsia="Calibri"/>
          <w:sz w:val="24"/>
          <w:szCs w:val="24"/>
        </w:rPr>
        <w:t>,</w:t>
      </w:r>
      <w:r w:rsidRPr="00A65C48">
        <w:rPr>
          <w:rFonts w:eastAsia="Calibri"/>
          <w:sz w:val="24"/>
          <w:szCs w:val="24"/>
        </w:rPr>
        <w:t xml:space="preserve">” </w:t>
      </w:r>
      <w:r w:rsidRPr="005A1551">
        <w:rPr>
          <w:rFonts w:eastAsia="Calibri"/>
          <w:i/>
          <w:iCs/>
          <w:sz w:val="24"/>
          <w:szCs w:val="24"/>
        </w:rPr>
        <w:t>Journal of Business &amp; Economic Statistics</w:t>
      </w:r>
      <w:r>
        <w:rPr>
          <w:rFonts w:eastAsia="Calibri"/>
          <w:sz w:val="24"/>
          <w:szCs w:val="24"/>
        </w:rPr>
        <w:t>,</w:t>
      </w:r>
      <w:r w:rsidRPr="00A65C48">
        <w:rPr>
          <w:rFonts w:eastAsia="Calibri"/>
          <w:sz w:val="24"/>
          <w:szCs w:val="24"/>
        </w:rPr>
        <w:t xml:space="preserve"> 19(4)</w:t>
      </w:r>
      <w:r>
        <w:rPr>
          <w:rFonts w:eastAsia="Calibri"/>
          <w:sz w:val="24"/>
          <w:szCs w:val="24"/>
        </w:rPr>
        <w:t>, pp.</w:t>
      </w:r>
      <w:r w:rsidRPr="00A65C48">
        <w:rPr>
          <w:rFonts w:eastAsia="Calibri"/>
          <w:sz w:val="24"/>
          <w:szCs w:val="24"/>
        </w:rPr>
        <w:t xml:space="preserve"> 404–</w:t>
      </w:r>
      <w:r>
        <w:rPr>
          <w:rFonts w:eastAsia="Calibri"/>
          <w:sz w:val="24"/>
          <w:szCs w:val="24"/>
        </w:rPr>
        <w:t>4</w:t>
      </w:r>
      <w:r w:rsidRPr="00A65C48">
        <w:rPr>
          <w:rFonts w:eastAsia="Calibri"/>
          <w:sz w:val="24"/>
          <w:szCs w:val="24"/>
        </w:rPr>
        <w:t>15.</w:t>
      </w:r>
    </w:p>
    <w:p w14:paraId="227438D2" w14:textId="77777777" w:rsidR="00B50F1D" w:rsidRPr="00915D62" w:rsidRDefault="00B50F1D" w:rsidP="00B50F1D">
      <w:pPr>
        <w:spacing w:after="0" w:line="240" w:lineRule="auto"/>
        <w:outlineLvl w:val="0"/>
        <w:rPr>
          <w:rFonts w:eastAsia="Calibri"/>
          <w:sz w:val="24"/>
          <w:szCs w:val="24"/>
        </w:rPr>
      </w:pPr>
    </w:p>
    <w:p w14:paraId="5FB48C28" w14:textId="77777777" w:rsidR="00B50F1D" w:rsidRPr="00915D62" w:rsidRDefault="00B50F1D" w:rsidP="00B50F1D">
      <w:pPr>
        <w:autoSpaceDE w:val="0"/>
        <w:autoSpaceDN w:val="0"/>
        <w:adjustRightInd w:val="0"/>
        <w:spacing w:after="0" w:line="240" w:lineRule="auto"/>
        <w:rPr>
          <w:rFonts w:eastAsia="Calibri"/>
          <w:sz w:val="24"/>
          <w:szCs w:val="24"/>
        </w:rPr>
      </w:pPr>
      <w:proofErr w:type="spellStart"/>
      <w:r w:rsidRPr="00915D62">
        <w:rPr>
          <w:rFonts w:eastAsia="Calibri"/>
          <w:sz w:val="24"/>
          <w:szCs w:val="24"/>
        </w:rPr>
        <w:t>Piazzesi</w:t>
      </w:r>
      <w:proofErr w:type="spellEnd"/>
      <w:r w:rsidRPr="00915D62">
        <w:rPr>
          <w:rFonts w:eastAsia="Calibri"/>
          <w:sz w:val="24"/>
          <w:szCs w:val="24"/>
        </w:rPr>
        <w:t xml:space="preserve">, Monika; Schneider, Martin; and </w:t>
      </w:r>
      <w:proofErr w:type="spellStart"/>
      <w:r w:rsidRPr="00915D62">
        <w:rPr>
          <w:rFonts w:eastAsia="Calibri"/>
          <w:sz w:val="24"/>
          <w:szCs w:val="24"/>
        </w:rPr>
        <w:t>Stroebel</w:t>
      </w:r>
      <w:proofErr w:type="spellEnd"/>
      <w:r w:rsidRPr="00915D62">
        <w:rPr>
          <w:rFonts w:eastAsia="Calibri"/>
          <w:sz w:val="24"/>
          <w:szCs w:val="24"/>
        </w:rPr>
        <w:t xml:space="preserve">, Johannes. 2015. “Segmented Housing Search,” </w:t>
      </w:r>
      <w:r w:rsidRPr="00076AA5">
        <w:rPr>
          <w:rFonts w:eastAsia="Calibri"/>
          <w:iCs/>
          <w:sz w:val="24"/>
          <w:szCs w:val="24"/>
        </w:rPr>
        <w:t>NBER Working Paper</w:t>
      </w:r>
      <w:r w:rsidRPr="00915D62">
        <w:rPr>
          <w:rFonts w:eastAsia="Calibri"/>
          <w:sz w:val="24"/>
          <w:szCs w:val="24"/>
        </w:rPr>
        <w:t xml:space="preserve"> w20823.</w:t>
      </w:r>
    </w:p>
    <w:p w14:paraId="2C71B964" w14:textId="77777777" w:rsidR="00B50F1D" w:rsidRPr="00915D62" w:rsidRDefault="00B50F1D" w:rsidP="00B50F1D">
      <w:pPr>
        <w:autoSpaceDE w:val="0"/>
        <w:autoSpaceDN w:val="0"/>
        <w:adjustRightInd w:val="0"/>
        <w:spacing w:after="0" w:line="240" w:lineRule="auto"/>
        <w:rPr>
          <w:rFonts w:eastAsia="Calibri"/>
          <w:sz w:val="24"/>
          <w:szCs w:val="24"/>
        </w:rPr>
      </w:pPr>
    </w:p>
    <w:p w14:paraId="21E20985" w14:textId="03B5F595" w:rsidR="00B50F1D" w:rsidRDefault="00B50F1D" w:rsidP="00B50F1D">
      <w:pPr>
        <w:autoSpaceDE w:val="0"/>
        <w:autoSpaceDN w:val="0"/>
        <w:adjustRightInd w:val="0"/>
        <w:spacing w:after="0" w:line="240" w:lineRule="auto"/>
        <w:rPr>
          <w:rFonts w:eastAsia="Calibri"/>
          <w:sz w:val="24"/>
          <w:szCs w:val="24"/>
        </w:rPr>
      </w:pPr>
      <w:proofErr w:type="spellStart"/>
      <w:r w:rsidRPr="00915D62">
        <w:rPr>
          <w:rFonts w:eastAsia="Calibri"/>
          <w:sz w:val="24"/>
          <w:szCs w:val="24"/>
        </w:rPr>
        <w:t>Piger</w:t>
      </w:r>
      <w:proofErr w:type="spellEnd"/>
      <w:r w:rsidRPr="00915D62">
        <w:rPr>
          <w:rFonts w:eastAsia="Calibri"/>
          <w:sz w:val="24"/>
          <w:szCs w:val="24"/>
        </w:rPr>
        <w:t xml:space="preserve">, Jeremy. 2009. “Econometrics – Models of Regime Changes,” </w:t>
      </w:r>
      <w:r w:rsidR="00921539">
        <w:rPr>
          <w:rFonts w:eastAsia="Calibri"/>
          <w:sz w:val="24"/>
          <w:szCs w:val="24"/>
        </w:rPr>
        <w:t xml:space="preserve">in </w:t>
      </w:r>
      <w:r w:rsidRPr="00915D62">
        <w:rPr>
          <w:rFonts w:eastAsia="Calibri"/>
          <w:i/>
          <w:sz w:val="24"/>
          <w:szCs w:val="24"/>
        </w:rPr>
        <w:t>Encyclopedia of Complexity and System Science</w:t>
      </w:r>
      <w:r w:rsidRPr="00915D62">
        <w:rPr>
          <w:rFonts w:eastAsia="Calibri"/>
          <w:sz w:val="24"/>
          <w:szCs w:val="24"/>
        </w:rPr>
        <w:t xml:space="preserve">, </w:t>
      </w:r>
      <w:r w:rsidR="00921539">
        <w:rPr>
          <w:rFonts w:eastAsia="Calibri"/>
          <w:sz w:val="24"/>
          <w:szCs w:val="24"/>
        </w:rPr>
        <w:t xml:space="preserve">ed. by Meyers, Robert A., </w:t>
      </w:r>
      <w:r w:rsidRPr="00915D62">
        <w:rPr>
          <w:rFonts w:eastAsia="Calibri"/>
          <w:sz w:val="24"/>
          <w:szCs w:val="24"/>
        </w:rPr>
        <w:t>Springer, New York, 2744-2757.</w:t>
      </w:r>
    </w:p>
    <w:p w14:paraId="769AFAE4" w14:textId="3297EBA6" w:rsidR="006D66EA" w:rsidRDefault="006D66EA" w:rsidP="00B50F1D">
      <w:pPr>
        <w:autoSpaceDE w:val="0"/>
        <w:autoSpaceDN w:val="0"/>
        <w:adjustRightInd w:val="0"/>
        <w:spacing w:after="0" w:line="240" w:lineRule="auto"/>
        <w:rPr>
          <w:rFonts w:eastAsia="Calibri"/>
          <w:sz w:val="24"/>
          <w:szCs w:val="24"/>
        </w:rPr>
      </w:pPr>
    </w:p>
    <w:p w14:paraId="09380BA9" w14:textId="3E145456" w:rsidR="006D66EA" w:rsidRPr="00915D62" w:rsidRDefault="006D66EA" w:rsidP="00B50F1D">
      <w:pPr>
        <w:autoSpaceDE w:val="0"/>
        <w:autoSpaceDN w:val="0"/>
        <w:adjustRightInd w:val="0"/>
        <w:spacing w:after="0" w:line="240" w:lineRule="auto"/>
        <w:rPr>
          <w:rFonts w:eastAsia="Calibri"/>
          <w:sz w:val="24"/>
          <w:szCs w:val="24"/>
        </w:rPr>
      </w:pPr>
      <w:r w:rsidRPr="006D66EA">
        <w:rPr>
          <w:rFonts w:eastAsia="Calibri"/>
          <w:sz w:val="24"/>
          <w:szCs w:val="24"/>
        </w:rPr>
        <w:t xml:space="preserve">Sims, Christopher A. and </w:t>
      </w:r>
      <w:proofErr w:type="spellStart"/>
      <w:r w:rsidRPr="006D66EA">
        <w:rPr>
          <w:rFonts w:eastAsia="Calibri"/>
          <w:sz w:val="24"/>
          <w:szCs w:val="24"/>
        </w:rPr>
        <w:t>Zha</w:t>
      </w:r>
      <w:proofErr w:type="spellEnd"/>
      <w:r>
        <w:rPr>
          <w:rFonts w:eastAsia="Calibri"/>
          <w:sz w:val="24"/>
          <w:szCs w:val="24"/>
        </w:rPr>
        <w:t xml:space="preserve">, </w:t>
      </w:r>
      <w:r w:rsidRPr="006D66EA">
        <w:rPr>
          <w:rFonts w:eastAsia="Calibri"/>
          <w:sz w:val="24"/>
          <w:szCs w:val="24"/>
        </w:rPr>
        <w:t xml:space="preserve">Tao. 2006. “Were There Regime Switches in U.S. Monetary Policy?” </w:t>
      </w:r>
      <w:r w:rsidRPr="005A1551">
        <w:rPr>
          <w:rFonts w:eastAsia="Calibri"/>
          <w:i/>
          <w:iCs/>
          <w:sz w:val="24"/>
          <w:szCs w:val="24"/>
        </w:rPr>
        <w:t>American Economic Review</w:t>
      </w:r>
      <w:r w:rsidRPr="005A1551">
        <w:rPr>
          <w:rFonts w:eastAsia="Calibri"/>
          <w:sz w:val="24"/>
          <w:szCs w:val="24"/>
        </w:rPr>
        <w:t>,</w:t>
      </w:r>
      <w:r w:rsidRPr="006D66EA">
        <w:rPr>
          <w:rFonts w:eastAsia="Calibri"/>
          <w:sz w:val="24"/>
          <w:szCs w:val="24"/>
        </w:rPr>
        <w:t xml:space="preserve"> 96(1)</w:t>
      </w:r>
      <w:r>
        <w:rPr>
          <w:rFonts w:eastAsia="Calibri"/>
          <w:sz w:val="24"/>
          <w:szCs w:val="24"/>
        </w:rPr>
        <w:t xml:space="preserve">, pp. </w:t>
      </w:r>
      <w:r w:rsidRPr="006D66EA">
        <w:rPr>
          <w:rFonts w:eastAsia="Calibri"/>
          <w:sz w:val="24"/>
          <w:szCs w:val="24"/>
        </w:rPr>
        <w:t>54–81.</w:t>
      </w:r>
    </w:p>
    <w:p w14:paraId="0833270F" w14:textId="77777777" w:rsidR="00B50F1D" w:rsidRPr="00915D62" w:rsidRDefault="00B50F1D" w:rsidP="00B50F1D">
      <w:pPr>
        <w:autoSpaceDE w:val="0"/>
        <w:autoSpaceDN w:val="0"/>
        <w:adjustRightInd w:val="0"/>
        <w:spacing w:after="0" w:line="240" w:lineRule="auto"/>
        <w:rPr>
          <w:rFonts w:eastAsia="Calibri"/>
          <w:sz w:val="24"/>
          <w:szCs w:val="24"/>
        </w:rPr>
      </w:pPr>
    </w:p>
    <w:p w14:paraId="2D6E178F" w14:textId="77777777" w:rsidR="00B50F1D" w:rsidRPr="00915D62" w:rsidRDefault="00B50F1D" w:rsidP="00B50F1D">
      <w:pPr>
        <w:autoSpaceDE w:val="0"/>
        <w:autoSpaceDN w:val="0"/>
        <w:adjustRightInd w:val="0"/>
        <w:spacing w:after="0" w:line="240" w:lineRule="auto"/>
        <w:rPr>
          <w:rFonts w:eastAsia="Calibri"/>
          <w:sz w:val="24"/>
          <w:szCs w:val="24"/>
        </w:rPr>
      </w:pPr>
      <w:r w:rsidRPr="00915D62">
        <w:rPr>
          <w:rFonts w:eastAsia="Calibri"/>
          <w:sz w:val="24"/>
          <w:szCs w:val="24"/>
        </w:rPr>
        <w:t xml:space="preserve">Stein, Jeremy C. 1995. “Prices and Trading Volume in the Housing Market: A Model with Down-Payment Constraints,” </w:t>
      </w:r>
      <w:r w:rsidRPr="00915D62">
        <w:rPr>
          <w:rFonts w:eastAsia="Calibri"/>
          <w:i/>
          <w:sz w:val="24"/>
          <w:szCs w:val="24"/>
        </w:rPr>
        <w:t>Quarterly Journal of Economics</w:t>
      </w:r>
      <w:r w:rsidRPr="00915D62">
        <w:rPr>
          <w:rFonts w:eastAsia="Calibri"/>
          <w:sz w:val="24"/>
          <w:szCs w:val="24"/>
        </w:rPr>
        <w:t>,</w:t>
      </w:r>
      <w:r w:rsidRPr="00915D62">
        <w:rPr>
          <w:rFonts w:eastAsia="Calibri"/>
          <w:i/>
          <w:sz w:val="24"/>
          <w:szCs w:val="24"/>
        </w:rPr>
        <w:t xml:space="preserve"> </w:t>
      </w:r>
      <w:r w:rsidRPr="00915D62">
        <w:rPr>
          <w:rFonts w:eastAsia="Calibri"/>
          <w:sz w:val="24"/>
          <w:szCs w:val="24"/>
        </w:rPr>
        <w:t>110(2), pp. 379-406.</w:t>
      </w:r>
    </w:p>
    <w:p w14:paraId="738A89C2" w14:textId="77777777" w:rsidR="00B50F1D" w:rsidRPr="00915D62" w:rsidRDefault="00B50F1D" w:rsidP="00B50F1D">
      <w:pPr>
        <w:autoSpaceDE w:val="0"/>
        <w:autoSpaceDN w:val="0"/>
        <w:adjustRightInd w:val="0"/>
        <w:spacing w:after="0" w:line="240" w:lineRule="auto"/>
        <w:rPr>
          <w:rFonts w:eastAsia="Calibri"/>
          <w:sz w:val="24"/>
          <w:szCs w:val="24"/>
        </w:rPr>
      </w:pPr>
    </w:p>
    <w:p w14:paraId="24D3DC40" w14:textId="77777777" w:rsidR="00B50F1D" w:rsidRPr="00915D62" w:rsidRDefault="00B50F1D" w:rsidP="00B50F1D">
      <w:pPr>
        <w:spacing w:after="200" w:line="276" w:lineRule="auto"/>
        <w:rPr>
          <w:rFonts w:eastAsia="Calibri"/>
          <w:sz w:val="24"/>
          <w:szCs w:val="24"/>
        </w:rPr>
      </w:pPr>
      <w:r w:rsidRPr="00915D62">
        <w:rPr>
          <w:rFonts w:eastAsia="Calibri"/>
          <w:sz w:val="24"/>
          <w:szCs w:val="24"/>
        </w:rPr>
        <w:t xml:space="preserve">Wheaton, William C. 1990. “Vacancy, Search, and Prices in a Housing Market Matching Model,” </w:t>
      </w:r>
      <w:r w:rsidRPr="00915D62">
        <w:rPr>
          <w:rFonts w:eastAsia="Calibri"/>
          <w:i/>
          <w:sz w:val="24"/>
          <w:szCs w:val="24"/>
        </w:rPr>
        <w:t>Journal of Political Economy</w:t>
      </w:r>
      <w:r w:rsidRPr="00915D62">
        <w:rPr>
          <w:rFonts w:eastAsia="Calibri"/>
          <w:sz w:val="24"/>
          <w:szCs w:val="24"/>
        </w:rPr>
        <w:t>, 98(6), pp. 1270-1292.</w:t>
      </w:r>
    </w:p>
    <w:p w14:paraId="6EB557FE" w14:textId="77777777" w:rsidR="00B50F1D" w:rsidRPr="00915D62" w:rsidRDefault="00B50F1D" w:rsidP="00B50F1D">
      <w:pPr>
        <w:spacing w:after="200" w:line="276" w:lineRule="auto"/>
        <w:rPr>
          <w:rFonts w:eastAsia="Calibri"/>
          <w:sz w:val="24"/>
          <w:szCs w:val="24"/>
        </w:rPr>
      </w:pPr>
      <w:r w:rsidRPr="00915D62">
        <w:rPr>
          <w:rFonts w:eastAsia="Calibri"/>
          <w:sz w:val="24"/>
          <w:szCs w:val="24"/>
        </w:rPr>
        <w:t xml:space="preserve">Whitaker, Stephan and Fitzpatrick IV, Thomas J. 2013. “Deconstructing Distressed-Property Spillovers: The Effects of Vacant, Tax-Delinquent, and Foreclosed Properties in Housing Submarkets,” </w:t>
      </w:r>
      <w:r w:rsidRPr="00915D62">
        <w:rPr>
          <w:rFonts w:eastAsia="Calibri"/>
          <w:i/>
          <w:sz w:val="24"/>
          <w:szCs w:val="24"/>
        </w:rPr>
        <w:t>Journal of Housing Economics</w:t>
      </w:r>
      <w:r w:rsidRPr="00915D62">
        <w:rPr>
          <w:rFonts w:eastAsia="Calibri"/>
          <w:sz w:val="24"/>
          <w:szCs w:val="24"/>
        </w:rPr>
        <w:t>, 22(2), pp. 79-91.</w:t>
      </w:r>
    </w:p>
    <w:p w14:paraId="3DFD95D2" w14:textId="77777777" w:rsidR="00B50F1D" w:rsidRPr="00B50F1D" w:rsidRDefault="00B50F1D" w:rsidP="00B50F1D">
      <w:pPr>
        <w:spacing w:after="200" w:line="276" w:lineRule="auto"/>
        <w:rPr>
          <w:rFonts w:eastAsia="Calibri"/>
          <w:sz w:val="24"/>
          <w:szCs w:val="24"/>
        </w:rPr>
      </w:pPr>
      <w:r w:rsidRPr="00915D62">
        <w:rPr>
          <w:rFonts w:eastAsia="Calibri"/>
          <w:sz w:val="24"/>
          <w:szCs w:val="24"/>
        </w:rPr>
        <w:t xml:space="preserve">Williams, Joseph T. 1995. “Pricing Real Assets with Costly Search,” </w:t>
      </w:r>
      <w:r w:rsidRPr="00915D62">
        <w:rPr>
          <w:rFonts w:eastAsia="Calibri"/>
          <w:i/>
          <w:sz w:val="24"/>
          <w:szCs w:val="24"/>
        </w:rPr>
        <w:t xml:space="preserve">Review of Financial Studies, </w:t>
      </w:r>
      <w:r w:rsidRPr="00915D62">
        <w:rPr>
          <w:rFonts w:eastAsia="Calibri"/>
          <w:sz w:val="24"/>
          <w:szCs w:val="24"/>
        </w:rPr>
        <w:t>8(1), pp. 55-90.</w:t>
      </w:r>
    </w:p>
    <w:p w14:paraId="1E277701" w14:textId="54B65860" w:rsidR="00B50F1D" w:rsidRPr="00B50F1D" w:rsidRDefault="00B50F1D" w:rsidP="00B50F1D">
      <w:pPr>
        <w:spacing w:after="200" w:line="276" w:lineRule="auto"/>
        <w:rPr>
          <w:rFonts w:eastAsia="Calibri"/>
          <w:sz w:val="24"/>
          <w:szCs w:val="24"/>
        </w:rPr>
      </w:pPr>
    </w:p>
    <w:p w14:paraId="6B0D2E2A" w14:textId="77777777" w:rsidR="00B50F1D" w:rsidRPr="00B50F1D" w:rsidRDefault="00B50F1D" w:rsidP="00B50F1D">
      <w:pPr>
        <w:spacing w:after="200" w:line="276" w:lineRule="auto"/>
        <w:jc w:val="center"/>
        <w:rPr>
          <w:rFonts w:eastAsia="Calibri"/>
          <w:sz w:val="24"/>
          <w:szCs w:val="24"/>
        </w:rPr>
      </w:pPr>
      <w:r w:rsidRPr="00B50F1D">
        <w:rPr>
          <w:rFonts w:eastAsia="Calibri"/>
          <w:sz w:val="24"/>
          <w:szCs w:val="24"/>
        </w:rPr>
        <w:t>Table 1</w:t>
      </w:r>
    </w:p>
    <w:p w14:paraId="73B0E210" w14:textId="77777777" w:rsidR="00B50F1D" w:rsidRPr="00B50F1D" w:rsidRDefault="00B50F1D" w:rsidP="00B50F1D">
      <w:pPr>
        <w:spacing w:after="200" w:line="276" w:lineRule="auto"/>
        <w:jc w:val="center"/>
        <w:rPr>
          <w:rFonts w:eastAsia="Calibri"/>
          <w:sz w:val="24"/>
          <w:szCs w:val="24"/>
        </w:rPr>
      </w:pPr>
      <w:r w:rsidRPr="00B50F1D">
        <w:rPr>
          <w:rFonts w:eastAsia="Calibri"/>
          <w:sz w:val="24"/>
          <w:szCs w:val="24"/>
        </w:rPr>
        <w:t>United States Univariate Markov-Switching Models</w:t>
      </w:r>
    </w:p>
    <w:tbl>
      <w:tblPr>
        <w:tblW w:w="0" w:type="auto"/>
        <w:jc w:val="center"/>
        <w:tblLook w:val="04A0" w:firstRow="1" w:lastRow="0" w:firstColumn="1" w:lastColumn="0" w:noHBand="0" w:noVBand="1"/>
      </w:tblPr>
      <w:tblGrid>
        <w:gridCol w:w="1736"/>
        <w:gridCol w:w="956"/>
        <w:gridCol w:w="956"/>
        <w:gridCol w:w="956"/>
        <w:gridCol w:w="956"/>
      </w:tblGrid>
      <w:tr w:rsidR="00B50F1D" w:rsidRPr="00B50F1D" w14:paraId="2744636C" w14:textId="77777777" w:rsidTr="005D3E3E">
        <w:trPr>
          <w:trHeight w:val="300"/>
          <w:jc w:val="center"/>
        </w:trPr>
        <w:tc>
          <w:tcPr>
            <w:tcW w:w="0" w:type="auto"/>
            <w:tcBorders>
              <w:top w:val="single" w:sz="4" w:space="0" w:color="auto"/>
              <w:left w:val="nil"/>
              <w:bottom w:val="single" w:sz="4" w:space="0" w:color="auto"/>
              <w:right w:val="nil"/>
            </w:tcBorders>
            <w:shd w:val="clear" w:color="auto" w:fill="auto"/>
            <w:noWrap/>
            <w:vAlign w:val="bottom"/>
            <w:hideMark/>
          </w:tcPr>
          <w:p w14:paraId="63DD73BA" w14:textId="77777777" w:rsidR="00B50F1D" w:rsidRPr="00B50F1D" w:rsidRDefault="00B50F1D" w:rsidP="00B50F1D">
            <w:pPr>
              <w:spacing w:after="0" w:line="240" w:lineRule="auto"/>
              <w:rPr>
                <w:rFonts w:eastAsia="Times New Roman"/>
                <w:sz w:val="24"/>
                <w:szCs w:val="24"/>
              </w:rPr>
            </w:pPr>
          </w:p>
        </w:tc>
        <w:tc>
          <w:tcPr>
            <w:tcW w:w="0" w:type="auto"/>
            <w:tcBorders>
              <w:top w:val="single" w:sz="4" w:space="0" w:color="auto"/>
              <w:left w:val="nil"/>
              <w:bottom w:val="single" w:sz="4" w:space="0" w:color="auto"/>
              <w:right w:val="nil"/>
            </w:tcBorders>
            <w:shd w:val="clear" w:color="auto" w:fill="auto"/>
            <w:noWrap/>
            <w:vAlign w:val="bottom"/>
            <w:hideMark/>
          </w:tcPr>
          <w:p w14:paraId="41AD8069"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MS2</w:t>
            </w:r>
          </w:p>
        </w:tc>
        <w:tc>
          <w:tcPr>
            <w:tcW w:w="0" w:type="auto"/>
            <w:tcBorders>
              <w:top w:val="single" w:sz="4" w:space="0" w:color="auto"/>
              <w:left w:val="nil"/>
              <w:bottom w:val="single" w:sz="4" w:space="0" w:color="auto"/>
              <w:right w:val="nil"/>
            </w:tcBorders>
            <w:shd w:val="clear" w:color="auto" w:fill="auto"/>
            <w:noWrap/>
            <w:vAlign w:val="bottom"/>
            <w:hideMark/>
          </w:tcPr>
          <w:p w14:paraId="38240DD1"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MS3</w:t>
            </w:r>
          </w:p>
        </w:tc>
        <w:tc>
          <w:tcPr>
            <w:tcW w:w="0" w:type="auto"/>
            <w:tcBorders>
              <w:top w:val="single" w:sz="4" w:space="0" w:color="auto"/>
              <w:left w:val="nil"/>
              <w:bottom w:val="single" w:sz="4" w:space="0" w:color="auto"/>
              <w:right w:val="nil"/>
            </w:tcBorders>
            <w:shd w:val="clear" w:color="auto" w:fill="auto"/>
            <w:noWrap/>
            <w:vAlign w:val="bottom"/>
            <w:hideMark/>
          </w:tcPr>
          <w:p w14:paraId="5A32E450"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MS2AR</w:t>
            </w:r>
          </w:p>
        </w:tc>
        <w:tc>
          <w:tcPr>
            <w:tcW w:w="0" w:type="auto"/>
            <w:tcBorders>
              <w:top w:val="single" w:sz="4" w:space="0" w:color="auto"/>
              <w:left w:val="nil"/>
              <w:bottom w:val="single" w:sz="4" w:space="0" w:color="auto"/>
              <w:right w:val="nil"/>
            </w:tcBorders>
            <w:shd w:val="clear" w:color="auto" w:fill="auto"/>
            <w:noWrap/>
            <w:vAlign w:val="bottom"/>
            <w:hideMark/>
          </w:tcPr>
          <w:p w14:paraId="6D6DC5A6"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MS3AR</w:t>
            </w:r>
          </w:p>
        </w:tc>
      </w:tr>
      <w:tr w:rsidR="00B50F1D" w:rsidRPr="00B50F1D" w14:paraId="70A9C25E"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05A6F24A" w14:textId="77777777" w:rsidR="00B50F1D" w:rsidRPr="00B50F1D" w:rsidRDefault="00B50F1D" w:rsidP="00B50F1D">
            <w:pPr>
              <w:spacing w:after="0" w:line="240" w:lineRule="auto"/>
              <w:rPr>
                <w:rFonts w:eastAsia="Times New Roman"/>
                <w:i/>
                <w:sz w:val="24"/>
                <w:szCs w:val="24"/>
              </w:rPr>
            </w:pPr>
            <w:r w:rsidRPr="00B50F1D">
              <w:rPr>
                <w:rFonts w:eastAsia="Times New Roman"/>
                <w:i/>
                <w:color w:val="000000"/>
                <w:sz w:val="24"/>
                <w:szCs w:val="24"/>
              </w:rPr>
              <w:t>Regime 1</w:t>
            </w:r>
          </w:p>
        </w:tc>
      </w:tr>
      <w:tr w:rsidR="00B50F1D" w:rsidRPr="00B50F1D" w14:paraId="0188795C" w14:textId="77777777" w:rsidTr="005D3E3E">
        <w:trPr>
          <w:trHeight w:val="300"/>
          <w:jc w:val="center"/>
        </w:trPr>
        <w:tc>
          <w:tcPr>
            <w:tcW w:w="0" w:type="auto"/>
            <w:tcBorders>
              <w:top w:val="single" w:sz="4" w:space="0" w:color="auto"/>
              <w:left w:val="nil"/>
              <w:bottom w:val="nil"/>
              <w:right w:val="nil"/>
            </w:tcBorders>
            <w:shd w:val="clear" w:color="auto" w:fill="auto"/>
            <w:noWrap/>
            <w:vAlign w:val="bottom"/>
            <w:hideMark/>
          </w:tcPr>
          <w:p w14:paraId="3B9286E9" w14:textId="77777777" w:rsidR="00B50F1D" w:rsidRPr="00B50F1D" w:rsidRDefault="00B50F1D" w:rsidP="00B50F1D">
            <w:pPr>
              <w:spacing w:after="0" w:line="240" w:lineRule="auto"/>
              <w:rPr>
                <w:rFonts w:eastAsia="Times New Roman"/>
                <w:color w:val="000000"/>
                <w:sz w:val="24"/>
                <w:szCs w:val="24"/>
              </w:rPr>
            </w:pPr>
            <m:oMath>
              <m:r>
                <w:rPr>
                  <w:rFonts w:ascii="Cambria Math" w:eastAsia="Times New Roman" w:hAnsi="Cambria Math"/>
                  <w:color w:val="000000"/>
                  <w:sz w:val="24"/>
                  <w:szCs w:val="24"/>
                </w:rPr>
                <m:t>U</m:t>
              </m:r>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S</m:t>
                  </m:r>
                </m:e>
                <m:sub>
                  <m:r>
                    <w:rPr>
                      <w:rFonts w:ascii="Cambria Math" w:eastAsia="Times New Roman" w:hAnsi="Cambria Math"/>
                      <w:color w:val="000000"/>
                      <w:sz w:val="24"/>
                      <w:szCs w:val="24"/>
                    </w:rPr>
                    <m:t>t-1</m:t>
                  </m:r>
                </m:sub>
              </m:sSub>
            </m:oMath>
            <w:r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7F4E6EB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single" w:sz="4" w:space="0" w:color="auto"/>
              <w:left w:val="nil"/>
              <w:bottom w:val="nil"/>
              <w:right w:val="nil"/>
            </w:tcBorders>
            <w:shd w:val="clear" w:color="auto" w:fill="auto"/>
            <w:noWrap/>
            <w:vAlign w:val="center"/>
            <w:hideMark/>
          </w:tcPr>
          <w:p w14:paraId="7EFB172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single" w:sz="4" w:space="0" w:color="auto"/>
              <w:left w:val="nil"/>
              <w:bottom w:val="nil"/>
              <w:right w:val="nil"/>
            </w:tcBorders>
            <w:shd w:val="clear" w:color="auto" w:fill="auto"/>
            <w:noWrap/>
            <w:vAlign w:val="center"/>
            <w:hideMark/>
          </w:tcPr>
          <w:p w14:paraId="01B54DB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0.97</w:t>
            </w:r>
          </w:p>
        </w:tc>
        <w:tc>
          <w:tcPr>
            <w:tcW w:w="0" w:type="auto"/>
            <w:tcBorders>
              <w:top w:val="single" w:sz="4" w:space="0" w:color="auto"/>
              <w:left w:val="nil"/>
              <w:bottom w:val="nil"/>
              <w:right w:val="nil"/>
            </w:tcBorders>
            <w:shd w:val="clear" w:color="auto" w:fill="auto"/>
            <w:noWrap/>
            <w:vAlign w:val="center"/>
            <w:hideMark/>
          </w:tcPr>
          <w:p w14:paraId="2372ADF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0.93</w:t>
            </w:r>
          </w:p>
        </w:tc>
      </w:tr>
      <w:tr w:rsidR="00B50F1D" w:rsidRPr="00B50F1D" w14:paraId="1CFB0A18"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6BA4715F"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1E9E372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36B5EED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7C987FA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0.02</w:t>
            </w:r>
          </w:p>
        </w:tc>
        <w:tc>
          <w:tcPr>
            <w:tcW w:w="0" w:type="auto"/>
            <w:tcBorders>
              <w:top w:val="nil"/>
              <w:left w:val="nil"/>
              <w:bottom w:val="nil"/>
              <w:right w:val="nil"/>
            </w:tcBorders>
            <w:shd w:val="clear" w:color="auto" w:fill="auto"/>
            <w:noWrap/>
            <w:vAlign w:val="center"/>
            <w:hideMark/>
          </w:tcPr>
          <w:p w14:paraId="01650EF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0.03</w:t>
            </w:r>
          </w:p>
        </w:tc>
      </w:tr>
      <w:tr w:rsidR="00B50F1D" w:rsidRPr="00B50F1D" w14:paraId="33B2DB75"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65BF0CB1" w14:textId="77777777" w:rsidR="00B50F1D" w:rsidRPr="00B50F1D" w:rsidRDefault="00B50F1D" w:rsidP="00B50F1D">
            <w:pPr>
              <w:spacing w:after="0" w:line="240" w:lineRule="auto"/>
              <w:rPr>
                <w:rFonts w:eastAsia="Times New Roman"/>
                <w:color w:val="000000"/>
                <w:sz w:val="24"/>
                <w:szCs w:val="24"/>
              </w:rPr>
            </w:pPr>
            <w:r w:rsidRPr="00B50F1D">
              <w:rPr>
                <w:rFonts w:eastAsia="Times New Roman"/>
                <w:color w:val="000000"/>
                <w:sz w:val="24"/>
                <w:szCs w:val="24"/>
              </w:rPr>
              <w:t>Constant</w:t>
            </w:r>
          </w:p>
        </w:tc>
        <w:tc>
          <w:tcPr>
            <w:tcW w:w="0" w:type="auto"/>
            <w:tcBorders>
              <w:top w:val="nil"/>
              <w:left w:val="nil"/>
              <w:bottom w:val="nil"/>
              <w:right w:val="nil"/>
            </w:tcBorders>
            <w:shd w:val="clear" w:color="auto" w:fill="auto"/>
            <w:noWrap/>
            <w:vAlign w:val="center"/>
            <w:hideMark/>
          </w:tcPr>
          <w:p w14:paraId="6D56BCB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1.43</w:t>
            </w:r>
          </w:p>
        </w:tc>
        <w:tc>
          <w:tcPr>
            <w:tcW w:w="0" w:type="auto"/>
            <w:tcBorders>
              <w:top w:val="nil"/>
              <w:left w:val="nil"/>
              <w:bottom w:val="nil"/>
              <w:right w:val="nil"/>
            </w:tcBorders>
            <w:shd w:val="clear" w:color="auto" w:fill="auto"/>
            <w:noWrap/>
            <w:vAlign w:val="center"/>
            <w:hideMark/>
          </w:tcPr>
          <w:p w14:paraId="339211D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1.16</w:t>
            </w:r>
          </w:p>
        </w:tc>
        <w:tc>
          <w:tcPr>
            <w:tcW w:w="0" w:type="auto"/>
            <w:tcBorders>
              <w:top w:val="nil"/>
              <w:left w:val="nil"/>
              <w:bottom w:val="nil"/>
              <w:right w:val="nil"/>
            </w:tcBorders>
            <w:shd w:val="clear" w:color="auto" w:fill="auto"/>
            <w:noWrap/>
            <w:vAlign w:val="center"/>
            <w:hideMark/>
          </w:tcPr>
          <w:p w14:paraId="05C2634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0.05</w:t>
            </w:r>
          </w:p>
        </w:tc>
        <w:tc>
          <w:tcPr>
            <w:tcW w:w="0" w:type="auto"/>
            <w:tcBorders>
              <w:top w:val="nil"/>
              <w:left w:val="nil"/>
              <w:bottom w:val="nil"/>
              <w:right w:val="nil"/>
            </w:tcBorders>
            <w:shd w:val="clear" w:color="auto" w:fill="auto"/>
            <w:noWrap/>
            <w:vAlign w:val="center"/>
            <w:hideMark/>
          </w:tcPr>
          <w:p w14:paraId="0D6696C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0.09</w:t>
            </w:r>
          </w:p>
        </w:tc>
      </w:tr>
      <w:tr w:rsidR="00B50F1D" w:rsidRPr="00B50F1D" w14:paraId="788FDAC1"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6F99F3D0"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002B6A6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0.02</w:t>
            </w:r>
          </w:p>
        </w:tc>
        <w:tc>
          <w:tcPr>
            <w:tcW w:w="0" w:type="auto"/>
            <w:tcBorders>
              <w:top w:val="nil"/>
              <w:left w:val="nil"/>
              <w:bottom w:val="nil"/>
              <w:right w:val="nil"/>
            </w:tcBorders>
            <w:shd w:val="clear" w:color="auto" w:fill="auto"/>
            <w:noWrap/>
            <w:vAlign w:val="center"/>
            <w:hideMark/>
          </w:tcPr>
          <w:p w14:paraId="1C9CA97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0.03</w:t>
            </w:r>
          </w:p>
        </w:tc>
        <w:tc>
          <w:tcPr>
            <w:tcW w:w="0" w:type="auto"/>
            <w:tcBorders>
              <w:top w:val="nil"/>
              <w:left w:val="nil"/>
              <w:bottom w:val="nil"/>
              <w:right w:val="nil"/>
            </w:tcBorders>
            <w:shd w:val="clear" w:color="auto" w:fill="auto"/>
            <w:noWrap/>
            <w:vAlign w:val="center"/>
            <w:hideMark/>
          </w:tcPr>
          <w:p w14:paraId="411CE8E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0.03</w:t>
            </w:r>
          </w:p>
        </w:tc>
        <w:tc>
          <w:tcPr>
            <w:tcW w:w="0" w:type="auto"/>
            <w:tcBorders>
              <w:top w:val="nil"/>
              <w:left w:val="nil"/>
              <w:bottom w:val="nil"/>
              <w:right w:val="nil"/>
            </w:tcBorders>
            <w:shd w:val="clear" w:color="auto" w:fill="auto"/>
            <w:noWrap/>
            <w:vAlign w:val="center"/>
            <w:hideMark/>
          </w:tcPr>
          <w:p w14:paraId="0D1EFB0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0.04</w:t>
            </w:r>
          </w:p>
        </w:tc>
      </w:tr>
      <w:tr w:rsidR="00B50F1D" w:rsidRPr="00B50F1D" w14:paraId="3C8CCD9F"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41C82150" w14:textId="77777777" w:rsidR="00B50F1D" w:rsidRPr="00B50F1D" w:rsidRDefault="00B50F1D" w:rsidP="00B50F1D">
            <w:pPr>
              <w:spacing w:after="0" w:line="240" w:lineRule="auto"/>
              <w:rPr>
                <w:rFonts w:eastAsia="Times New Roman"/>
                <w:color w:val="000000"/>
                <w:sz w:val="24"/>
                <w:szCs w:val="24"/>
              </w:rPr>
            </w:pPr>
            <w:r w:rsidRPr="00B50F1D">
              <w:rPr>
                <w:rFonts w:eastAsia="Times New Roman"/>
                <w:color w:val="000000"/>
                <w:sz w:val="24"/>
                <w:szCs w:val="24"/>
              </w:rPr>
              <w:t>Sigma</w:t>
            </w:r>
          </w:p>
        </w:tc>
        <w:tc>
          <w:tcPr>
            <w:tcW w:w="0" w:type="auto"/>
            <w:tcBorders>
              <w:top w:val="nil"/>
              <w:left w:val="nil"/>
              <w:bottom w:val="nil"/>
              <w:right w:val="nil"/>
            </w:tcBorders>
            <w:shd w:val="clear" w:color="auto" w:fill="auto"/>
            <w:noWrap/>
            <w:vAlign w:val="center"/>
            <w:hideMark/>
          </w:tcPr>
          <w:p w14:paraId="35B2D60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0.28</w:t>
            </w:r>
          </w:p>
        </w:tc>
        <w:tc>
          <w:tcPr>
            <w:tcW w:w="0" w:type="auto"/>
            <w:tcBorders>
              <w:top w:val="nil"/>
              <w:left w:val="nil"/>
              <w:bottom w:val="nil"/>
              <w:right w:val="nil"/>
            </w:tcBorders>
            <w:shd w:val="clear" w:color="auto" w:fill="auto"/>
            <w:noWrap/>
            <w:vAlign w:val="center"/>
            <w:hideMark/>
          </w:tcPr>
          <w:p w14:paraId="28C892F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0.22</w:t>
            </w:r>
          </w:p>
        </w:tc>
        <w:tc>
          <w:tcPr>
            <w:tcW w:w="0" w:type="auto"/>
            <w:tcBorders>
              <w:top w:val="nil"/>
              <w:left w:val="nil"/>
              <w:bottom w:val="nil"/>
              <w:right w:val="nil"/>
            </w:tcBorders>
            <w:shd w:val="clear" w:color="auto" w:fill="auto"/>
            <w:noWrap/>
            <w:vAlign w:val="center"/>
            <w:hideMark/>
          </w:tcPr>
          <w:p w14:paraId="31BB0D2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0.13</w:t>
            </w:r>
          </w:p>
        </w:tc>
        <w:tc>
          <w:tcPr>
            <w:tcW w:w="0" w:type="auto"/>
            <w:tcBorders>
              <w:top w:val="nil"/>
              <w:left w:val="nil"/>
              <w:bottom w:val="nil"/>
              <w:right w:val="nil"/>
            </w:tcBorders>
            <w:shd w:val="clear" w:color="auto" w:fill="auto"/>
            <w:noWrap/>
            <w:vAlign w:val="center"/>
            <w:hideMark/>
          </w:tcPr>
          <w:p w14:paraId="6FF59CC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0.13</w:t>
            </w:r>
          </w:p>
        </w:tc>
      </w:tr>
      <w:tr w:rsidR="00B50F1D" w:rsidRPr="00B50F1D" w14:paraId="57C04E00"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00B91752"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Regime 2</w:t>
            </w:r>
          </w:p>
        </w:tc>
      </w:tr>
      <w:tr w:rsidR="00B50F1D" w:rsidRPr="00B50F1D" w14:paraId="28AFA90E" w14:textId="77777777" w:rsidTr="005D3E3E">
        <w:trPr>
          <w:trHeight w:val="300"/>
          <w:jc w:val="center"/>
        </w:trPr>
        <w:tc>
          <w:tcPr>
            <w:tcW w:w="0" w:type="auto"/>
            <w:tcBorders>
              <w:top w:val="single" w:sz="4" w:space="0" w:color="auto"/>
              <w:left w:val="nil"/>
              <w:bottom w:val="nil"/>
              <w:right w:val="nil"/>
            </w:tcBorders>
            <w:shd w:val="clear" w:color="auto" w:fill="auto"/>
            <w:noWrap/>
            <w:vAlign w:val="bottom"/>
            <w:hideMark/>
          </w:tcPr>
          <w:p w14:paraId="077D2C19" w14:textId="77777777" w:rsidR="00B50F1D" w:rsidRPr="00B50F1D" w:rsidRDefault="00B50F1D" w:rsidP="00B50F1D">
            <w:pPr>
              <w:spacing w:after="0" w:line="240" w:lineRule="auto"/>
              <w:rPr>
                <w:rFonts w:eastAsia="Times New Roman"/>
                <w:color w:val="000000"/>
                <w:sz w:val="24"/>
                <w:szCs w:val="24"/>
              </w:rPr>
            </w:pPr>
            <m:oMath>
              <m:r>
                <w:rPr>
                  <w:rFonts w:ascii="Cambria Math" w:eastAsia="Times New Roman" w:hAnsi="Cambria Math"/>
                  <w:color w:val="000000"/>
                  <w:sz w:val="24"/>
                  <w:szCs w:val="24"/>
                </w:rPr>
                <m:t>U</m:t>
              </m:r>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S</m:t>
                  </m:r>
                </m:e>
                <m:sub>
                  <m:r>
                    <w:rPr>
                      <w:rFonts w:ascii="Cambria Math" w:eastAsia="Times New Roman" w:hAnsi="Cambria Math"/>
                      <w:color w:val="000000"/>
                      <w:sz w:val="24"/>
                      <w:szCs w:val="24"/>
                    </w:rPr>
                    <m:t>t-1</m:t>
                  </m:r>
                </m:sub>
              </m:sSub>
            </m:oMath>
            <w:r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68116EB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single" w:sz="4" w:space="0" w:color="auto"/>
              <w:left w:val="nil"/>
              <w:bottom w:val="nil"/>
              <w:right w:val="nil"/>
            </w:tcBorders>
            <w:shd w:val="clear" w:color="auto" w:fill="auto"/>
            <w:noWrap/>
            <w:vAlign w:val="center"/>
            <w:hideMark/>
          </w:tcPr>
          <w:p w14:paraId="7FD0F55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single" w:sz="4" w:space="0" w:color="auto"/>
              <w:left w:val="nil"/>
              <w:bottom w:val="nil"/>
              <w:right w:val="nil"/>
            </w:tcBorders>
            <w:shd w:val="clear" w:color="auto" w:fill="auto"/>
            <w:noWrap/>
            <w:vAlign w:val="center"/>
            <w:hideMark/>
          </w:tcPr>
          <w:p w14:paraId="0E61C1F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0.87</w:t>
            </w:r>
          </w:p>
        </w:tc>
        <w:tc>
          <w:tcPr>
            <w:tcW w:w="0" w:type="auto"/>
            <w:tcBorders>
              <w:top w:val="single" w:sz="4" w:space="0" w:color="auto"/>
              <w:left w:val="nil"/>
              <w:bottom w:val="nil"/>
              <w:right w:val="nil"/>
            </w:tcBorders>
            <w:shd w:val="clear" w:color="auto" w:fill="auto"/>
            <w:noWrap/>
            <w:vAlign w:val="center"/>
            <w:hideMark/>
          </w:tcPr>
          <w:p w14:paraId="5759BCD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0.90</w:t>
            </w:r>
          </w:p>
        </w:tc>
      </w:tr>
      <w:tr w:rsidR="00B50F1D" w:rsidRPr="00B50F1D" w14:paraId="0F19BF6D"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75F54318"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5D1BD4B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0FBC915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502102D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0.12</w:t>
            </w:r>
          </w:p>
        </w:tc>
        <w:tc>
          <w:tcPr>
            <w:tcW w:w="0" w:type="auto"/>
            <w:tcBorders>
              <w:top w:val="nil"/>
              <w:left w:val="nil"/>
              <w:bottom w:val="nil"/>
              <w:right w:val="nil"/>
            </w:tcBorders>
            <w:shd w:val="clear" w:color="auto" w:fill="auto"/>
            <w:noWrap/>
            <w:vAlign w:val="center"/>
            <w:hideMark/>
          </w:tcPr>
          <w:p w14:paraId="1D77919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0.07</w:t>
            </w:r>
          </w:p>
        </w:tc>
      </w:tr>
      <w:tr w:rsidR="00B50F1D" w:rsidRPr="00B50F1D" w14:paraId="24268168"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69D18373" w14:textId="77777777" w:rsidR="00B50F1D" w:rsidRPr="00B50F1D" w:rsidRDefault="00B50F1D" w:rsidP="00B50F1D">
            <w:pPr>
              <w:spacing w:after="0" w:line="240" w:lineRule="auto"/>
              <w:rPr>
                <w:rFonts w:eastAsia="Times New Roman"/>
                <w:color w:val="000000"/>
                <w:sz w:val="24"/>
                <w:szCs w:val="24"/>
              </w:rPr>
            </w:pPr>
            <w:r w:rsidRPr="00B50F1D">
              <w:rPr>
                <w:rFonts w:eastAsia="Times New Roman"/>
                <w:color w:val="000000"/>
                <w:sz w:val="24"/>
                <w:szCs w:val="24"/>
              </w:rPr>
              <w:t>Constant</w:t>
            </w:r>
          </w:p>
        </w:tc>
        <w:tc>
          <w:tcPr>
            <w:tcW w:w="0" w:type="auto"/>
            <w:tcBorders>
              <w:top w:val="nil"/>
              <w:left w:val="nil"/>
              <w:bottom w:val="nil"/>
              <w:right w:val="nil"/>
            </w:tcBorders>
            <w:shd w:val="clear" w:color="auto" w:fill="auto"/>
            <w:noWrap/>
            <w:vAlign w:val="center"/>
            <w:hideMark/>
          </w:tcPr>
          <w:p w14:paraId="25ACBE3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2.33</w:t>
            </w:r>
          </w:p>
        </w:tc>
        <w:tc>
          <w:tcPr>
            <w:tcW w:w="0" w:type="auto"/>
            <w:tcBorders>
              <w:top w:val="nil"/>
              <w:left w:val="nil"/>
              <w:bottom w:val="nil"/>
              <w:right w:val="nil"/>
            </w:tcBorders>
            <w:shd w:val="clear" w:color="auto" w:fill="auto"/>
            <w:noWrap/>
            <w:vAlign w:val="center"/>
            <w:hideMark/>
          </w:tcPr>
          <w:p w14:paraId="6F0A7CA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1.64</w:t>
            </w:r>
          </w:p>
        </w:tc>
        <w:tc>
          <w:tcPr>
            <w:tcW w:w="0" w:type="auto"/>
            <w:tcBorders>
              <w:top w:val="nil"/>
              <w:left w:val="nil"/>
              <w:bottom w:val="nil"/>
              <w:right w:val="nil"/>
            </w:tcBorders>
            <w:shd w:val="clear" w:color="auto" w:fill="auto"/>
            <w:noWrap/>
            <w:vAlign w:val="center"/>
            <w:hideMark/>
          </w:tcPr>
          <w:p w14:paraId="005DEF3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0.23</w:t>
            </w:r>
          </w:p>
        </w:tc>
        <w:tc>
          <w:tcPr>
            <w:tcW w:w="0" w:type="auto"/>
            <w:tcBorders>
              <w:top w:val="nil"/>
              <w:left w:val="nil"/>
              <w:bottom w:val="nil"/>
              <w:right w:val="nil"/>
            </w:tcBorders>
            <w:shd w:val="clear" w:color="auto" w:fill="auto"/>
            <w:noWrap/>
            <w:vAlign w:val="center"/>
            <w:hideMark/>
          </w:tcPr>
          <w:p w14:paraId="2EAFAA5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0.25</w:t>
            </w:r>
          </w:p>
        </w:tc>
      </w:tr>
      <w:tr w:rsidR="00B50F1D" w:rsidRPr="00B50F1D" w14:paraId="70FAB3DC"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743F44AD"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3A3A8F2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0.09</w:t>
            </w:r>
          </w:p>
        </w:tc>
        <w:tc>
          <w:tcPr>
            <w:tcW w:w="0" w:type="auto"/>
            <w:tcBorders>
              <w:top w:val="nil"/>
              <w:left w:val="nil"/>
              <w:bottom w:val="nil"/>
              <w:right w:val="nil"/>
            </w:tcBorders>
            <w:shd w:val="clear" w:color="auto" w:fill="auto"/>
            <w:noWrap/>
            <w:vAlign w:val="center"/>
            <w:hideMark/>
          </w:tcPr>
          <w:p w14:paraId="7392404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0.02</w:t>
            </w:r>
          </w:p>
        </w:tc>
        <w:tc>
          <w:tcPr>
            <w:tcW w:w="0" w:type="auto"/>
            <w:tcBorders>
              <w:top w:val="nil"/>
              <w:left w:val="nil"/>
              <w:bottom w:val="nil"/>
              <w:right w:val="nil"/>
            </w:tcBorders>
            <w:shd w:val="clear" w:color="auto" w:fill="auto"/>
            <w:noWrap/>
            <w:vAlign w:val="center"/>
            <w:hideMark/>
          </w:tcPr>
          <w:p w14:paraId="4CB9BD3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0.20</w:t>
            </w:r>
          </w:p>
        </w:tc>
        <w:tc>
          <w:tcPr>
            <w:tcW w:w="0" w:type="auto"/>
            <w:tcBorders>
              <w:top w:val="nil"/>
              <w:left w:val="nil"/>
              <w:bottom w:val="nil"/>
              <w:right w:val="nil"/>
            </w:tcBorders>
            <w:shd w:val="clear" w:color="auto" w:fill="auto"/>
            <w:noWrap/>
            <w:vAlign w:val="center"/>
            <w:hideMark/>
          </w:tcPr>
          <w:p w14:paraId="0C9CA88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0.18</w:t>
            </w:r>
          </w:p>
        </w:tc>
      </w:tr>
      <w:tr w:rsidR="00B50F1D" w:rsidRPr="00B50F1D" w14:paraId="5416C8EA"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5CD2F72E" w14:textId="77777777" w:rsidR="00B50F1D" w:rsidRPr="00B50F1D" w:rsidRDefault="00B50F1D" w:rsidP="00B50F1D">
            <w:pPr>
              <w:spacing w:after="0" w:line="240" w:lineRule="auto"/>
              <w:rPr>
                <w:rFonts w:eastAsia="Times New Roman"/>
                <w:color w:val="000000"/>
                <w:sz w:val="24"/>
                <w:szCs w:val="24"/>
              </w:rPr>
            </w:pPr>
            <w:r w:rsidRPr="00B50F1D">
              <w:rPr>
                <w:rFonts w:eastAsia="Times New Roman"/>
                <w:color w:val="000000"/>
                <w:sz w:val="24"/>
                <w:szCs w:val="24"/>
              </w:rPr>
              <w:t>Sigma</w:t>
            </w:r>
          </w:p>
        </w:tc>
        <w:tc>
          <w:tcPr>
            <w:tcW w:w="0" w:type="auto"/>
            <w:tcBorders>
              <w:top w:val="nil"/>
              <w:left w:val="nil"/>
              <w:bottom w:val="nil"/>
              <w:right w:val="nil"/>
            </w:tcBorders>
            <w:shd w:val="clear" w:color="auto" w:fill="auto"/>
            <w:noWrap/>
            <w:vAlign w:val="center"/>
            <w:hideMark/>
          </w:tcPr>
          <w:p w14:paraId="24618E1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0.43</w:t>
            </w:r>
          </w:p>
        </w:tc>
        <w:tc>
          <w:tcPr>
            <w:tcW w:w="0" w:type="auto"/>
            <w:tcBorders>
              <w:top w:val="nil"/>
              <w:left w:val="nil"/>
              <w:bottom w:val="nil"/>
              <w:right w:val="nil"/>
            </w:tcBorders>
            <w:shd w:val="clear" w:color="auto" w:fill="auto"/>
            <w:noWrap/>
            <w:vAlign w:val="center"/>
            <w:hideMark/>
          </w:tcPr>
          <w:p w14:paraId="4D94847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0.19</w:t>
            </w:r>
          </w:p>
        </w:tc>
        <w:tc>
          <w:tcPr>
            <w:tcW w:w="0" w:type="auto"/>
            <w:tcBorders>
              <w:top w:val="nil"/>
              <w:left w:val="nil"/>
              <w:bottom w:val="nil"/>
              <w:right w:val="nil"/>
            </w:tcBorders>
            <w:shd w:val="clear" w:color="auto" w:fill="auto"/>
            <w:noWrap/>
            <w:vAlign w:val="center"/>
            <w:hideMark/>
          </w:tcPr>
          <w:p w14:paraId="55AA6B9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0.31</w:t>
            </w:r>
          </w:p>
        </w:tc>
        <w:tc>
          <w:tcPr>
            <w:tcW w:w="0" w:type="auto"/>
            <w:tcBorders>
              <w:top w:val="nil"/>
              <w:left w:val="nil"/>
              <w:bottom w:val="nil"/>
              <w:right w:val="nil"/>
            </w:tcBorders>
            <w:shd w:val="clear" w:color="auto" w:fill="auto"/>
            <w:noWrap/>
            <w:vAlign w:val="center"/>
            <w:hideMark/>
          </w:tcPr>
          <w:p w14:paraId="05EF9AE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0.28</w:t>
            </w:r>
          </w:p>
        </w:tc>
      </w:tr>
      <w:tr w:rsidR="00B50F1D" w:rsidRPr="00B50F1D" w14:paraId="2A912157"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0926A4E9"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Regime 3</w:t>
            </w:r>
          </w:p>
        </w:tc>
      </w:tr>
      <w:tr w:rsidR="00B50F1D" w:rsidRPr="00B50F1D" w14:paraId="58AFDA8B" w14:textId="77777777" w:rsidTr="005D3E3E">
        <w:trPr>
          <w:trHeight w:val="300"/>
          <w:jc w:val="center"/>
        </w:trPr>
        <w:tc>
          <w:tcPr>
            <w:tcW w:w="0" w:type="auto"/>
            <w:tcBorders>
              <w:top w:val="single" w:sz="4" w:space="0" w:color="auto"/>
              <w:left w:val="nil"/>
              <w:bottom w:val="nil"/>
              <w:right w:val="nil"/>
            </w:tcBorders>
            <w:shd w:val="clear" w:color="auto" w:fill="auto"/>
            <w:noWrap/>
            <w:vAlign w:val="bottom"/>
            <w:hideMark/>
          </w:tcPr>
          <w:p w14:paraId="1CB8BDE8" w14:textId="77777777" w:rsidR="00B50F1D" w:rsidRPr="00B50F1D" w:rsidRDefault="00B50F1D" w:rsidP="00B50F1D">
            <w:pPr>
              <w:spacing w:after="0" w:line="240" w:lineRule="auto"/>
              <w:rPr>
                <w:rFonts w:eastAsia="Times New Roman"/>
                <w:color w:val="000000"/>
                <w:sz w:val="24"/>
                <w:szCs w:val="24"/>
              </w:rPr>
            </w:pPr>
            <m:oMath>
              <m:r>
                <w:rPr>
                  <w:rFonts w:ascii="Cambria Math" w:eastAsia="Times New Roman" w:hAnsi="Cambria Math"/>
                  <w:color w:val="000000"/>
                  <w:sz w:val="24"/>
                  <w:szCs w:val="24"/>
                </w:rPr>
                <m:t>U</m:t>
              </m:r>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S</m:t>
                  </m:r>
                </m:e>
                <m:sub>
                  <m:r>
                    <w:rPr>
                      <w:rFonts w:ascii="Cambria Math" w:eastAsia="Times New Roman" w:hAnsi="Cambria Math"/>
                      <w:color w:val="000000"/>
                      <w:sz w:val="24"/>
                      <w:szCs w:val="24"/>
                    </w:rPr>
                    <m:t>t-1</m:t>
                  </m:r>
                </m:sub>
              </m:sSub>
            </m:oMath>
            <w:r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765A22B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single" w:sz="4" w:space="0" w:color="auto"/>
              <w:left w:val="nil"/>
              <w:bottom w:val="nil"/>
              <w:right w:val="nil"/>
            </w:tcBorders>
            <w:shd w:val="clear" w:color="auto" w:fill="auto"/>
            <w:noWrap/>
            <w:vAlign w:val="center"/>
            <w:hideMark/>
          </w:tcPr>
          <w:p w14:paraId="7AF240C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single" w:sz="4" w:space="0" w:color="auto"/>
              <w:left w:val="nil"/>
              <w:bottom w:val="nil"/>
              <w:right w:val="nil"/>
            </w:tcBorders>
            <w:shd w:val="clear" w:color="auto" w:fill="auto"/>
            <w:noWrap/>
            <w:vAlign w:val="center"/>
            <w:hideMark/>
          </w:tcPr>
          <w:p w14:paraId="3AAC405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single" w:sz="4" w:space="0" w:color="auto"/>
              <w:left w:val="nil"/>
              <w:bottom w:val="nil"/>
              <w:right w:val="nil"/>
            </w:tcBorders>
            <w:shd w:val="clear" w:color="auto" w:fill="auto"/>
            <w:noWrap/>
            <w:vAlign w:val="center"/>
            <w:hideMark/>
          </w:tcPr>
          <w:p w14:paraId="7D2D94B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0.53</w:t>
            </w:r>
          </w:p>
        </w:tc>
      </w:tr>
      <w:tr w:rsidR="00B50F1D" w:rsidRPr="00B50F1D" w14:paraId="738EBDB5"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6D5FF636"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15756F2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5535F69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1243083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309F8A7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0.29</w:t>
            </w:r>
          </w:p>
        </w:tc>
      </w:tr>
      <w:tr w:rsidR="00B50F1D" w:rsidRPr="00B50F1D" w14:paraId="68D572BE"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4610AC7C" w14:textId="77777777" w:rsidR="00B50F1D" w:rsidRPr="00B50F1D" w:rsidRDefault="00B50F1D" w:rsidP="00B50F1D">
            <w:pPr>
              <w:spacing w:after="0" w:line="240" w:lineRule="auto"/>
              <w:rPr>
                <w:rFonts w:eastAsia="Times New Roman"/>
                <w:color w:val="000000"/>
                <w:sz w:val="24"/>
                <w:szCs w:val="24"/>
              </w:rPr>
            </w:pPr>
            <w:r w:rsidRPr="00B50F1D">
              <w:rPr>
                <w:rFonts w:eastAsia="Times New Roman"/>
                <w:color w:val="000000"/>
                <w:sz w:val="24"/>
                <w:szCs w:val="24"/>
              </w:rPr>
              <w:t>Constant</w:t>
            </w:r>
          </w:p>
        </w:tc>
        <w:tc>
          <w:tcPr>
            <w:tcW w:w="0" w:type="auto"/>
            <w:tcBorders>
              <w:top w:val="nil"/>
              <w:left w:val="nil"/>
              <w:bottom w:val="nil"/>
              <w:right w:val="nil"/>
            </w:tcBorders>
            <w:shd w:val="clear" w:color="auto" w:fill="auto"/>
            <w:noWrap/>
            <w:vAlign w:val="center"/>
            <w:hideMark/>
          </w:tcPr>
          <w:p w14:paraId="08B5E1E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44A7E7A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2.47</w:t>
            </w:r>
          </w:p>
        </w:tc>
        <w:tc>
          <w:tcPr>
            <w:tcW w:w="0" w:type="auto"/>
            <w:tcBorders>
              <w:top w:val="nil"/>
              <w:left w:val="nil"/>
              <w:bottom w:val="nil"/>
              <w:right w:val="nil"/>
            </w:tcBorders>
            <w:shd w:val="clear" w:color="auto" w:fill="auto"/>
            <w:noWrap/>
            <w:vAlign w:val="center"/>
            <w:hideMark/>
          </w:tcPr>
          <w:p w14:paraId="786EED3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528F91B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0.83</w:t>
            </w:r>
          </w:p>
        </w:tc>
      </w:tr>
      <w:tr w:rsidR="00B50F1D" w:rsidRPr="00B50F1D" w14:paraId="78EC6234"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5F9FC062"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0EA455E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517F704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0.10</w:t>
            </w:r>
          </w:p>
        </w:tc>
        <w:tc>
          <w:tcPr>
            <w:tcW w:w="0" w:type="auto"/>
            <w:tcBorders>
              <w:top w:val="nil"/>
              <w:left w:val="nil"/>
              <w:bottom w:val="nil"/>
              <w:right w:val="nil"/>
            </w:tcBorders>
            <w:shd w:val="clear" w:color="auto" w:fill="auto"/>
            <w:noWrap/>
            <w:vAlign w:val="center"/>
            <w:hideMark/>
          </w:tcPr>
          <w:p w14:paraId="21024D7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7061F47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0.51</w:t>
            </w:r>
          </w:p>
        </w:tc>
      </w:tr>
      <w:tr w:rsidR="00B50F1D" w:rsidRPr="00B50F1D" w14:paraId="6C267E7A"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1F80512A" w14:textId="77777777" w:rsidR="00B50F1D" w:rsidRPr="00B50F1D" w:rsidRDefault="00B50F1D" w:rsidP="00B50F1D">
            <w:pPr>
              <w:spacing w:after="0" w:line="240" w:lineRule="auto"/>
              <w:rPr>
                <w:rFonts w:eastAsia="Times New Roman"/>
                <w:color w:val="000000"/>
                <w:sz w:val="24"/>
                <w:szCs w:val="24"/>
              </w:rPr>
            </w:pPr>
            <w:r w:rsidRPr="00B50F1D">
              <w:rPr>
                <w:rFonts w:eastAsia="Times New Roman"/>
                <w:color w:val="000000"/>
                <w:sz w:val="24"/>
                <w:szCs w:val="24"/>
              </w:rPr>
              <w:t>Sigma</w:t>
            </w:r>
          </w:p>
        </w:tc>
        <w:tc>
          <w:tcPr>
            <w:tcW w:w="0" w:type="auto"/>
            <w:tcBorders>
              <w:top w:val="nil"/>
              <w:left w:val="nil"/>
              <w:bottom w:val="nil"/>
              <w:right w:val="nil"/>
            </w:tcBorders>
            <w:shd w:val="clear" w:color="auto" w:fill="auto"/>
            <w:noWrap/>
            <w:vAlign w:val="center"/>
            <w:hideMark/>
          </w:tcPr>
          <w:p w14:paraId="18B67DD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2C077DA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0.39</w:t>
            </w:r>
          </w:p>
        </w:tc>
        <w:tc>
          <w:tcPr>
            <w:tcW w:w="0" w:type="auto"/>
            <w:tcBorders>
              <w:top w:val="nil"/>
              <w:left w:val="nil"/>
              <w:bottom w:val="nil"/>
              <w:right w:val="nil"/>
            </w:tcBorders>
            <w:shd w:val="clear" w:color="auto" w:fill="auto"/>
            <w:noWrap/>
            <w:vAlign w:val="center"/>
            <w:hideMark/>
          </w:tcPr>
          <w:p w14:paraId="366D090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1000075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0.29</w:t>
            </w:r>
          </w:p>
        </w:tc>
      </w:tr>
      <w:tr w:rsidR="00B50F1D" w:rsidRPr="00B50F1D" w14:paraId="6E6FE636" w14:textId="77777777" w:rsidTr="005D3E3E">
        <w:trPr>
          <w:trHeight w:val="300"/>
          <w:jc w:val="center"/>
        </w:trPr>
        <w:tc>
          <w:tcPr>
            <w:tcW w:w="0" w:type="auto"/>
            <w:tcBorders>
              <w:top w:val="single" w:sz="4" w:space="0" w:color="auto"/>
              <w:left w:val="nil"/>
              <w:bottom w:val="nil"/>
              <w:right w:val="nil"/>
            </w:tcBorders>
            <w:shd w:val="clear" w:color="auto" w:fill="auto"/>
            <w:noWrap/>
            <w:vAlign w:val="bottom"/>
            <w:hideMark/>
          </w:tcPr>
          <w:p w14:paraId="1BCF016A" w14:textId="77777777" w:rsidR="00B50F1D" w:rsidRPr="00B50F1D" w:rsidRDefault="00B50F1D" w:rsidP="00B50F1D">
            <w:pPr>
              <w:spacing w:after="0" w:line="240" w:lineRule="auto"/>
              <w:rPr>
                <w:rFonts w:eastAsia="Times New Roman"/>
                <w:color w:val="000000"/>
                <w:sz w:val="24"/>
                <w:szCs w:val="24"/>
              </w:rPr>
            </w:pPr>
            <w:r w:rsidRPr="00B50F1D">
              <w:rPr>
                <w:rFonts w:eastAsia="Times New Roman"/>
                <w:color w:val="000000"/>
                <w:sz w:val="24"/>
                <w:szCs w:val="24"/>
              </w:rPr>
              <w:t>p11</w:t>
            </w:r>
          </w:p>
        </w:tc>
        <w:tc>
          <w:tcPr>
            <w:tcW w:w="0" w:type="auto"/>
            <w:tcBorders>
              <w:top w:val="single" w:sz="4" w:space="0" w:color="auto"/>
              <w:left w:val="nil"/>
              <w:bottom w:val="nil"/>
              <w:right w:val="nil"/>
            </w:tcBorders>
            <w:shd w:val="clear" w:color="auto" w:fill="auto"/>
            <w:noWrap/>
            <w:vAlign w:val="center"/>
            <w:hideMark/>
          </w:tcPr>
          <w:p w14:paraId="6F75F2F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0.99</w:t>
            </w:r>
          </w:p>
        </w:tc>
        <w:tc>
          <w:tcPr>
            <w:tcW w:w="0" w:type="auto"/>
            <w:tcBorders>
              <w:top w:val="single" w:sz="4" w:space="0" w:color="auto"/>
              <w:left w:val="nil"/>
              <w:bottom w:val="nil"/>
              <w:right w:val="nil"/>
            </w:tcBorders>
            <w:shd w:val="clear" w:color="auto" w:fill="auto"/>
            <w:noWrap/>
            <w:vAlign w:val="center"/>
            <w:hideMark/>
          </w:tcPr>
          <w:p w14:paraId="1AF77F3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0.97</w:t>
            </w:r>
          </w:p>
        </w:tc>
        <w:tc>
          <w:tcPr>
            <w:tcW w:w="0" w:type="auto"/>
            <w:tcBorders>
              <w:top w:val="single" w:sz="4" w:space="0" w:color="auto"/>
              <w:left w:val="nil"/>
              <w:bottom w:val="nil"/>
              <w:right w:val="nil"/>
            </w:tcBorders>
            <w:shd w:val="clear" w:color="auto" w:fill="auto"/>
            <w:noWrap/>
            <w:vAlign w:val="center"/>
            <w:hideMark/>
          </w:tcPr>
          <w:p w14:paraId="23D860E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0.96</w:t>
            </w:r>
          </w:p>
        </w:tc>
        <w:tc>
          <w:tcPr>
            <w:tcW w:w="0" w:type="auto"/>
            <w:tcBorders>
              <w:top w:val="single" w:sz="4" w:space="0" w:color="auto"/>
              <w:left w:val="nil"/>
              <w:bottom w:val="nil"/>
              <w:right w:val="nil"/>
            </w:tcBorders>
            <w:shd w:val="clear" w:color="auto" w:fill="auto"/>
            <w:noWrap/>
            <w:vAlign w:val="center"/>
            <w:hideMark/>
          </w:tcPr>
          <w:p w14:paraId="3F099A4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0.99</w:t>
            </w:r>
          </w:p>
        </w:tc>
      </w:tr>
      <w:tr w:rsidR="00B50F1D" w:rsidRPr="00B50F1D" w14:paraId="008FC794"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55DF98B5" w14:textId="77777777" w:rsidR="00B50F1D" w:rsidRPr="00B50F1D" w:rsidRDefault="00B50F1D" w:rsidP="00B50F1D">
            <w:pPr>
              <w:spacing w:after="0" w:line="240" w:lineRule="auto"/>
              <w:rPr>
                <w:rFonts w:eastAsia="Times New Roman"/>
                <w:color w:val="000000"/>
                <w:sz w:val="24"/>
                <w:szCs w:val="24"/>
              </w:rPr>
            </w:pPr>
            <w:r w:rsidRPr="00B50F1D">
              <w:rPr>
                <w:rFonts w:eastAsia="Times New Roman"/>
                <w:color w:val="000000"/>
                <w:sz w:val="24"/>
                <w:szCs w:val="24"/>
              </w:rPr>
              <w:t>p21</w:t>
            </w:r>
          </w:p>
        </w:tc>
        <w:tc>
          <w:tcPr>
            <w:tcW w:w="0" w:type="auto"/>
            <w:tcBorders>
              <w:top w:val="nil"/>
              <w:left w:val="nil"/>
              <w:bottom w:val="nil"/>
              <w:right w:val="nil"/>
            </w:tcBorders>
            <w:shd w:val="clear" w:color="auto" w:fill="auto"/>
            <w:noWrap/>
            <w:vAlign w:val="center"/>
            <w:hideMark/>
          </w:tcPr>
          <w:p w14:paraId="7DF2319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0.97</w:t>
            </w:r>
          </w:p>
        </w:tc>
        <w:tc>
          <w:tcPr>
            <w:tcW w:w="0" w:type="auto"/>
            <w:tcBorders>
              <w:top w:val="nil"/>
              <w:left w:val="nil"/>
              <w:bottom w:val="nil"/>
              <w:right w:val="nil"/>
            </w:tcBorders>
            <w:shd w:val="clear" w:color="auto" w:fill="auto"/>
            <w:noWrap/>
            <w:vAlign w:val="center"/>
            <w:hideMark/>
          </w:tcPr>
          <w:p w14:paraId="4F6565E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0.97</w:t>
            </w:r>
          </w:p>
        </w:tc>
        <w:tc>
          <w:tcPr>
            <w:tcW w:w="0" w:type="auto"/>
            <w:tcBorders>
              <w:top w:val="nil"/>
              <w:left w:val="nil"/>
              <w:bottom w:val="nil"/>
              <w:right w:val="nil"/>
            </w:tcBorders>
            <w:shd w:val="clear" w:color="auto" w:fill="auto"/>
            <w:noWrap/>
            <w:vAlign w:val="center"/>
            <w:hideMark/>
          </w:tcPr>
          <w:p w14:paraId="0002B55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0.73</w:t>
            </w:r>
          </w:p>
        </w:tc>
        <w:tc>
          <w:tcPr>
            <w:tcW w:w="0" w:type="auto"/>
            <w:tcBorders>
              <w:top w:val="nil"/>
              <w:left w:val="nil"/>
              <w:bottom w:val="nil"/>
              <w:right w:val="nil"/>
            </w:tcBorders>
            <w:shd w:val="clear" w:color="auto" w:fill="auto"/>
            <w:noWrap/>
            <w:vAlign w:val="center"/>
            <w:hideMark/>
          </w:tcPr>
          <w:p w14:paraId="02F4B35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0.92</w:t>
            </w:r>
          </w:p>
        </w:tc>
      </w:tr>
      <w:tr w:rsidR="00B50F1D" w:rsidRPr="00B50F1D" w14:paraId="4C9B2713"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26E82CF7" w14:textId="77777777" w:rsidR="00B50F1D" w:rsidRPr="00B50F1D" w:rsidRDefault="00B50F1D" w:rsidP="00B50F1D">
            <w:pPr>
              <w:spacing w:after="0" w:line="240" w:lineRule="auto"/>
              <w:rPr>
                <w:rFonts w:eastAsia="Times New Roman"/>
                <w:color w:val="000000"/>
                <w:sz w:val="24"/>
                <w:szCs w:val="24"/>
              </w:rPr>
            </w:pPr>
            <w:r w:rsidRPr="00B50F1D">
              <w:rPr>
                <w:rFonts w:eastAsia="Times New Roman"/>
                <w:color w:val="000000"/>
                <w:sz w:val="24"/>
                <w:szCs w:val="24"/>
              </w:rPr>
              <w:t>p33</w:t>
            </w:r>
          </w:p>
        </w:tc>
        <w:tc>
          <w:tcPr>
            <w:tcW w:w="0" w:type="auto"/>
            <w:tcBorders>
              <w:top w:val="nil"/>
              <w:left w:val="nil"/>
              <w:bottom w:val="nil"/>
              <w:right w:val="nil"/>
            </w:tcBorders>
            <w:shd w:val="clear" w:color="auto" w:fill="auto"/>
            <w:noWrap/>
            <w:vAlign w:val="center"/>
            <w:hideMark/>
          </w:tcPr>
          <w:p w14:paraId="3411D9F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2BE3099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0.94</w:t>
            </w:r>
          </w:p>
        </w:tc>
        <w:tc>
          <w:tcPr>
            <w:tcW w:w="0" w:type="auto"/>
            <w:tcBorders>
              <w:top w:val="nil"/>
              <w:left w:val="nil"/>
              <w:bottom w:val="nil"/>
              <w:right w:val="nil"/>
            </w:tcBorders>
            <w:shd w:val="clear" w:color="auto" w:fill="auto"/>
            <w:noWrap/>
            <w:vAlign w:val="center"/>
            <w:hideMark/>
          </w:tcPr>
          <w:p w14:paraId="3FF2F06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65FD971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0.91</w:t>
            </w:r>
          </w:p>
        </w:tc>
      </w:tr>
      <w:tr w:rsidR="00B50F1D" w:rsidRPr="00B50F1D" w14:paraId="7D82CB99" w14:textId="77777777" w:rsidTr="005D3E3E">
        <w:trPr>
          <w:trHeight w:val="300"/>
          <w:jc w:val="center"/>
        </w:trPr>
        <w:tc>
          <w:tcPr>
            <w:tcW w:w="0" w:type="auto"/>
            <w:tcBorders>
              <w:top w:val="nil"/>
              <w:left w:val="nil"/>
              <w:bottom w:val="nil"/>
              <w:right w:val="nil"/>
            </w:tcBorders>
            <w:shd w:val="clear" w:color="auto" w:fill="auto"/>
            <w:noWrap/>
            <w:vAlign w:val="bottom"/>
          </w:tcPr>
          <w:p w14:paraId="7736E12F"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0F69CDC0" w14:textId="77777777" w:rsidR="00B50F1D" w:rsidRPr="00B50F1D" w:rsidRDefault="00B50F1D" w:rsidP="00B50F1D">
            <w:pPr>
              <w:spacing w:after="0" w:line="240" w:lineRule="auto"/>
              <w:jc w:val="center"/>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6906F406" w14:textId="77777777" w:rsidR="00B50F1D" w:rsidRPr="00B50F1D" w:rsidRDefault="00B50F1D" w:rsidP="00B50F1D">
            <w:pPr>
              <w:spacing w:after="0" w:line="240" w:lineRule="auto"/>
              <w:jc w:val="center"/>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4ACC69A3" w14:textId="77777777" w:rsidR="00B50F1D" w:rsidRPr="00B50F1D" w:rsidRDefault="00B50F1D" w:rsidP="00B50F1D">
            <w:pPr>
              <w:spacing w:after="0" w:line="240" w:lineRule="auto"/>
              <w:jc w:val="center"/>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1EFD7BCB" w14:textId="77777777" w:rsidR="00B50F1D" w:rsidRPr="00B50F1D" w:rsidRDefault="00B50F1D" w:rsidP="00B50F1D">
            <w:pPr>
              <w:spacing w:after="0" w:line="240" w:lineRule="auto"/>
              <w:jc w:val="center"/>
              <w:rPr>
                <w:rFonts w:eastAsia="Times New Roman"/>
                <w:color w:val="000000"/>
                <w:sz w:val="24"/>
                <w:szCs w:val="24"/>
              </w:rPr>
            </w:pPr>
          </w:p>
        </w:tc>
      </w:tr>
      <w:tr w:rsidR="00B50F1D" w:rsidRPr="00B50F1D" w14:paraId="778F0DC6"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1DC996E8" w14:textId="77777777" w:rsidR="00B50F1D" w:rsidRPr="00B50F1D" w:rsidRDefault="00B50F1D" w:rsidP="00B50F1D">
            <w:pPr>
              <w:spacing w:after="0" w:line="240" w:lineRule="auto"/>
              <w:rPr>
                <w:rFonts w:eastAsia="Times New Roman"/>
                <w:color w:val="000000"/>
                <w:sz w:val="24"/>
                <w:szCs w:val="24"/>
              </w:rPr>
            </w:pPr>
            <w:r w:rsidRPr="00B50F1D">
              <w:rPr>
                <w:rFonts w:eastAsia="Times New Roman"/>
                <w:color w:val="000000"/>
                <w:sz w:val="24"/>
                <w:szCs w:val="24"/>
              </w:rPr>
              <w:t>D1</w:t>
            </w:r>
          </w:p>
        </w:tc>
        <w:tc>
          <w:tcPr>
            <w:tcW w:w="0" w:type="auto"/>
            <w:tcBorders>
              <w:top w:val="nil"/>
              <w:left w:val="nil"/>
              <w:bottom w:val="nil"/>
              <w:right w:val="nil"/>
            </w:tcBorders>
            <w:shd w:val="clear" w:color="auto" w:fill="auto"/>
            <w:noWrap/>
            <w:vAlign w:val="center"/>
            <w:hideMark/>
          </w:tcPr>
          <w:p w14:paraId="59AF128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143.26</w:t>
            </w:r>
          </w:p>
        </w:tc>
        <w:tc>
          <w:tcPr>
            <w:tcW w:w="0" w:type="auto"/>
            <w:tcBorders>
              <w:top w:val="nil"/>
              <w:left w:val="nil"/>
              <w:bottom w:val="nil"/>
              <w:right w:val="nil"/>
            </w:tcBorders>
            <w:shd w:val="clear" w:color="auto" w:fill="auto"/>
            <w:noWrap/>
            <w:vAlign w:val="center"/>
            <w:hideMark/>
          </w:tcPr>
          <w:p w14:paraId="2C66B37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31.00</w:t>
            </w:r>
          </w:p>
        </w:tc>
        <w:tc>
          <w:tcPr>
            <w:tcW w:w="0" w:type="auto"/>
            <w:tcBorders>
              <w:top w:val="nil"/>
              <w:left w:val="nil"/>
              <w:bottom w:val="nil"/>
              <w:right w:val="nil"/>
            </w:tcBorders>
            <w:shd w:val="clear" w:color="auto" w:fill="auto"/>
            <w:noWrap/>
            <w:vAlign w:val="center"/>
            <w:hideMark/>
          </w:tcPr>
          <w:p w14:paraId="7B00923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26.32</w:t>
            </w:r>
          </w:p>
        </w:tc>
        <w:tc>
          <w:tcPr>
            <w:tcW w:w="0" w:type="auto"/>
            <w:tcBorders>
              <w:top w:val="nil"/>
              <w:left w:val="nil"/>
              <w:bottom w:val="nil"/>
              <w:right w:val="nil"/>
            </w:tcBorders>
            <w:shd w:val="clear" w:color="auto" w:fill="auto"/>
            <w:noWrap/>
            <w:vAlign w:val="center"/>
            <w:hideMark/>
          </w:tcPr>
          <w:p w14:paraId="5FF5E64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102.24</w:t>
            </w:r>
          </w:p>
        </w:tc>
      </w:tr>
      <w:tr w:rsidR="00B50F1D" w:rsidRPr="00B50F1D" w14:paraId="08B1424A" w14:textId="77777777" w:rsidTr="005D3E3E">
        <w:trPr>
          <w:trHeight w:val="300"/>
          <w:jc w:val="center"/>
        </w:trPr>
        <w:tc>
          <w:tcPr>
            <w:tcW w:w="0" w:type="auto"/>
            <w:tcBorders>
              <w:top w:val="nil"/>
              <w:left w:val="nil"/>
              <w:right w:val="nil"/>
            </w:tcBorders>
            <w:shd w:val="clear" w:color="auto" w:fill="auto"/>
            <w:noWrap/>
            <w:vAlign w:val="bottom"/>
            <w:hideMark/>
          </w:tcPr>
          <w:p w14:paraId="46104DAE" w14:textId="77777777" w:rsidR="00B50F1D" w:rsidRPr="00B50F1D" w:rsidRDefault="00B50F1D" w:rsidP="00B50F1D">
            <w:pPr>
              <w:spacing w:after="0" w:line="240" w:lineRule="auto"/>
              <w:rPr>
                <w:rFonts w:eastAsia="Times New Roman"/>
                <w:color w:val="000000"/>
                <w:sz w:val="24"/>
                <w:szCs w:val="24"/>
              </w:rPr>
            </w:pPr>
            <w:r w:rsidRPr="00B50F1D">
              <w:rPr>
                <w:rFonts w:eastAsia="Times New Roman"/>
                <w:color w:val="000000"/>
                <w:sz w:val="24"/>
                <w:szCs w:val="24"/>
              </w:rPr>
              <w:t>D2</w:t>
            </w:r>
          </w:p>
        </w:tc>
        <w:tc>
          <w:tcPr>
            <w:tcW w:w="0" w:type="auto"/>
            <w:tcBorders>
              <w:top w:val="nil"/>
              <w:left w:val="nil"/>
              <w:right w:val="nil"/>
            </w:tcBorders>
            <w:shd w:val="clear" w:color="auto" w:fill="auto"/>
            <w:noWrap/>
            <w:vAlign w:val="center"/>
            <w:hideMark/>
          </w:tcPr>
          <w:p w14:paraId="7A80E3A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29.66</w:t>
            </w:r>
          </w:p>
        </w:tc>
        <w:tc>
          <w:tcPr>
            <w:tcW w:w="0" w:type="auto"/>
            <w:tcBorders>
              <w:top w:val="nil"/>
              <w:left w:val="nil"/>
              <w:right w:val="nil"/>
            </w:tcBorders>
            <w:shd w:val="clear" w:color="auto" w:fill="auto"/>
            <w:noWrap/>
            <w:vAlign w:val="center"/>
            <w:hideMark/>
          </w:tcPr>
          <w:p w14:paraId="3DAA568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35.31</w:t>
            </w:r>
          </w:p>
        </w:tc>
        <w:tc>
          <w:tcPr>
            <w:tcW w:w="0" w:type="auto"/>
            <w:tcBorders>
              <w:top w:val="nil"/>
              <w:left w:val="nil"/>
              <w:right w:val="nil"/>
            </w:tcBorders>
            <w:shd w:val="clear" w:color="auto" w:fill="auto"/>
            <w:noWrap/>
            <w:vAlign w:val="center"/>
            <w:hideMark/>
          </w:tcPr>
          <w:p w14:paraId="4AC689B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3.67</w:t>
            </w:r>
          </w:p>
        </w:tc>
        <w:tc>
          <w:tcPr>
            <w:tcW w:w="0" w:type="auto"/>
            <w:tcBorders>
              <w:top w:val="nil"/>
              <w:left w:val="nil"/>
              <w:right w:val="nil"/>
            </w:tcBorders>
            <w:shd w:val="clear" w:color="auto" w:fill="auto"/>
            <w:noWrap/>
            <w:vAlign w:val="center"/>
            <w:hideMark/>
          </w:tcPr>
          <w:p w14:paraId="3D9E9B1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12.32</w:t>
            </w:r>
          </w:p>
        </w:tc>
      </w:tr>
      <w:tr w:rsidR="00B50F1D" w:rsidRPr="00B50F1D" w14:paraId="22E98871" w14:textId="77777777" w:rsidTr="005D3E3E">
        <w:trPr>
          <w:trHeight w:val="300"/>
          <w:jc w:val="center"/>
        </w:trPr>
        <w:tc>
          <w:tcPr>
            <w:tcW w:w="0" w:type="auto"/>
            <w:tcBorders>
              <w:top w:val="nil"/>
              <w:left w:val="nil"/>
              <w:bottom w:val="single" w:sz="4" w:space="0" w:color="auto"/>
              <w:right w:val="nil"/>
            </w:tcBorders>
            <w:shd w:val="clear" w:color="auto" w:fill="auto"/>
            <w:noWrap/>
            <w:vAlign w:val="bottom"/>
            <w:hideMark/>
          </w:tcPr>
          <w:p w14:paraId="1348BE71" w14:textId="77777777" w:rsidR="00B50F1D" w:rsidRPr="00B50F1D" w:rsidRDefault="00B50F1D" w:rsidP="00B50F1D">
            <w:pPr>
              <w:spacing w:after="0" w:line="240" w:lineRule="auto"/>
              <w:rPr>
                <w:rFonts w:eastAsia="Times New Roman"/>
                <w:color w:val="000000"/>
                <w:sz w:val="24"/>
                <w:szCs w:val="24"/>
              </w:rPr>
            </w:pPr>
            <w:r w:rsidRPr="00B50F1D">
              <w:rPr>
                <w:rFonts w:eastAsia="Times New Roman"/>
                <w:color w:val="000000"/>
                <w:sz w:val="24"/>
                <w:szCs w:val="24"/>
              </w:rPr>
              <w:t>D3</w:t>
            </w:r>
          </w:p>
        </w:tc>
        <w:tc>
          <w:tcPr>
            <w:tcW w:w="0" w:type="auto"/>
            <w:tcBorders>
              <w:top w:val="nil"/>
              <w:left w:val="nil"/>
              <w:bottom w:val="single" w:sz="4" w:space="0" w:color="auto"/>
              <w:right w:val="nil"/>
            </w:tcBorders>
            <w:shd w:val="clear" w:color="auto" w:fill="auto"/>
            <w:noWrap/>
            <w:vAlign w:val="center"/>
            <w:hideMark/>
          </w:tcPr>
          <w:p w14:paraId="68BEB94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single" w:sz="4" w:space="0" w:color="auto"/>
              <w:right w:val="nil"/>
            </w:tcBorders>
            <w:shd w:val="clear" w:color="auto" w:fill="auto"/>
            <w:noWrap/>
            <w:vAlign w:val="center"/>
            <w:hideMark/>
          </w:tcPr>
          <w:p w14:paraId="77D7F7B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17.84</w:t>
            </w:r>
          </w:p>
        </w:tc>
        <w:tc>
          <w:tcPr>
            <w:tcW w:w="0" w:type="auto"/>
            <w:tcBorders>
              <w:top w:val="nil"/>
              <w:left w:val="nil"/>
              <w:bottom w:val="single" w:sz="4" w:space="0" w:color="auto"/>
              <w:right w:val="nil"/>
            </w:tcBorders>
            <w:shd w:val="clear" w:color="auto" w:fill="auto"/>
            <w:noWrap/>
            <w:vAlign w:val="center"/>
            <w:hideMark/>
          </w:tcPr>
          <w:p w14:paraId="3348316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single" w:sz="4" w:space="0" w:color="auto"/>
              <w:right w:val="nil"/>
            </w:tcBorders>
            <w:shd w:val="clear" w:color="auto" w:fill="auto"/>
            <w:noWrap/>
            <w:vAlign w:val="center"/>
            <w:hideMark/>
          </w:tcPr>
          <w:p w14:paraId="739B2BB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11.11</w:t>
            </w:r>
          </w:p>
        </w:tc>
      </w:tr>
      <w:tr w:rsidR="00B50F1D" w:rsidRPr="00B50F1D" w14:paraId="7C8CBDE9" w14:textId="77777777" w:rsidTr="005D3E3E">
        <w:trPr>
          <w:trHeight w:val="300"/>
          <w:jc w:val="center"/>
        </w:trPr>
        <w:tc>
          <w:tcPr>
            <w:tcW w:w="0" w:type="auto"/>
            <w:tcBorders>
              <w:top w:val="single" w:sz="4" w:space="0" w:color="auto"/>
              <w:left w:val="nil"/>
              <w:bottom w:val="nil"/>
              <w:right w:val="nil"/>
            </w:tcBorders>
            <w:shd w:val="clear" w:color="auto" w:fill="auto"/>
            <w:noWrap/>
            <w:vAlign w:val="bottom"/>
            <w:hideMark/>
          </w:tcPr>
          <w:p w14:paraId="742412EA" w14:textId="77777777" w:rsidR="00B50F1D" w:rsidRPr="00B50F1D" w:rsidRDefault="00B50F1D" w:rsidP="00B50F1D">
            <w:pPr>
              <w:spacing w:after="0" w:line="240" w:lineRule="auto"/>
              <w:rPr>
                <w:rFonts w:eastAsia="Times New Roman"/>
                <w:color w:val="000000"/>
                <w:sz w:val="24"/>
                <w:szCs w:val="24"/>
              </w:rPr>
            </w:pPr>
            <w:r w:rsidRPr="00B50F1D">
              <w:rPr>
                <w:rFonts w:eastAsia="Times New Roman"/>
                <w:color w:val="000000"/>
                <w:sz w:val="24"/>
                <w:szCs w:val="24"/>
              </w:rPr>
              <w:t>Observations</w:t>
            </w:r>
          </w:p>
        </w:tc>
        <w:tc>
          <w:tcPr>
            <w:tcW w:w="0" w:type="auto"/>
            <w:tcBorders>
              <w:top w:val="single" w:sz="4" w:space="0" w:color="auto"/>
              <w:left w:val="nil"/>
              <w:bottom w:val="nil"/>
              <w:right w:val="nil"/>
            </w:tcBorders>
            <w:shd w:val="clear" w:color="auto" w:fill="auto"/>
            <w:noWrap/>
            <w:vAlign w:val="center"/>
            <w:hideMark/>
          </w:tcPr>
          <w:p w14:paraId="26F6A03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258.00</w:t>
            </w:r>
          </w:p>
        </w:tc>
        <w:tc>
          <w:tcPr>
            <w:tcW w:w="0" w:type="auto"/>
            <w:tcBorders>
              <w:top w:val="single" w:sz="4" w:space="0" w:color="auto"/>
              <w:left w:val="nil"/>
              <w:bottom w:val="nil"/>
              <w:right w:val="nil"/>
            </w:tcBorders>
            <w:shd w:val="clear" w:color="auto" w:fill="auto"/>
            <w:noWrap/>
            <w:vAlign w:val="center"/>
            <w:hideMark/>
          </w:tcPr>
          <w:p w14:paraId="5E6DCFC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258.00</w:t>
            </w:r>
          </w:p>
        </w:tc>
        <w:tc>
          <w:tcPr>
            <w:tcW w:w="0" w:type="auto"/>
            <w:tcBorders>
              <w:top w:val="single" w:sz="4" w:space="0" w:color="auto"/>
              <w:left w:val="nil"/>
              <w:bottom w:val="nil"/>
              <w:right w:val="nil"/>
            </w:tcBorders>
            <w:shd w:val="clear" w:color="auto" w:fill="auto"/>
            <w:noWrap/>
            <w:vAlign w:val="center"/>
            <w:hideMark/>
          </w:tcPr>
          <w:p w14:paraId="35C8BEB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257.00</w:t>
            </w:r>
          </w:p>
        </w:tc>
        <w:tc>
          <w:tcPr>
            <w:tcW w:w="0" w:type="auto"/>
            <w:tcBorders>
              <w:top w:val="single" w:sz="4" w:space="0" w:color="auto"/>
              <w:left w:val="nil"/>
              <w:bottom w:val="nil"/>
              <w:right w:val="nil"/>
            </w:tcBorders>
            <w:shd w:val="clear" w:color="auto" w:fill="auto"/>
            <w:noWrap/>
            <w:vAlign w:val="center"/>
            <w:hideMark/>
          </w:tcPr>
          <w:p w14:paraId="7148450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257.00</w:t>
            </w:r>
          </w:p>
        </w:tc>
      </w:tr>
      <w:tr w:rsidR="00B50F1D" w:rsidRPr="00B50F1D" w14:paraId="3FF608B8"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3E5E7F77" w14:textId="77777777" w:rsidR="00B50F1D" w:rsidRPr="00B50F1D" w:rsidRDefault="00B50F1D" w:rsidP="00B50F1D">
            <w:pPr>
              <w:spacing w:after="0" w:line="240" w:lineRule="auto"/>
              <w:rPr>
                <w:rFonts w:eastAsia="Times New Roman"/>
                <w:color w:val="000000"/>
                <w:sz w:val="24"/>
                <w:szCs w:val="24"/>
              </w:rPr>
            </w:pPr>
            <w:r w:rsidRPr="00B50F1D">
              <w:rPr>
                <w:rFonts w:eastAsia="Times New Roman"/>
                <w:color w:val="000000"/>
                <w:sz w:val="24"/>
                <w:szCs w:val="24"/>
              </w:rPr>
              <w:t>Log-Likelihood</w:t>
            </w:r>
          </w:p>
        </w:tc>
        <w:tc>
          <w:tcPr>
            <w:tcW w:w="0" w:type="auto"/>
            <w:tcBorders>
              <w:top w:val="nil"/>
              <w:left w:val="nil"/>
              <w:bottom w:val="nil"/>
              <w:right w:val="nil"/>
            </w:tcBorders>
            <w:shd w:val="clear" w:color="auto" w:fill="auto"/>
            <w:noWrap/>
            <w:vAlign w:val="center"/>
            <w:hideMark/>
          </w:tcPr>
          <w:p w14:paraId="4A4CE0C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192.14</w:t>
            </w:r>
          </w:p>
        </w:tc>
        <w:tc>
          <w:tcPr>
            <w:tcW w:w="0" w:type="auto"/>
            <w:tcBorders>
              <w:top w:val="nil"/>
              <w:left w:val="nil"/>
              <w:bottom w:val="nil"/>
              <w:right w:val="nil"/>
            </w:tcBorders>
            <w:shd w:val="clear" w:color="auto" w:fill="auto"/>
            <w:noWrap/>
            <w:vAlign w:val="center"/>
            <w:hideMark/>
          </w:tcPr>
          <w:p w14:paraId="025734D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299.11</w:t>
            </w:r>
          </w:p>
        </w:tc>
        <w:tc>
          <w:tcPr>
            <w:tcW w:w="0" w:type="auto"/>
            <w:tcBorders>
              <w:top w:val="nil"/>
              <w:left w:val="nil"/>
              <w:bottom w:val="nil"/>
              <w:right w:val="nil"/>
            </w:tcBorders>
            <w:shd w:val="clear" w:color="auto" w:fill="auto"/>
            <w:noWrap/>
            <w:vAlign w:val="center"/>
            <w:hideMark/>
          </w:tcPr>
          <w:p w14:paraId="6693D99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457.12</w:t>
            </w:r>
          </w:p>
        </w:tc>
        <w:tc>
          <w:tcPr>
            <w:tcW w:w="0" w:type="auto"/>
            <w:tcBorders>
              <w:top w:val="nil"/>
              <w:left w:val="nil"/>
              <w:bottom w:val="nil"/>
              <w:right w:val="nil"/>
            </w:tcBorders>
            <w:shd w:val="clear" w:color="auto" w:fill="auto"/>
            <w:noWrap/>
            <w:vAlign w:val="center"/>
            <w:hideMark/>
          </w:tcPr>
          <w:p w14:paraId="510ECDB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451.64</w:t>
            </w:r>
          </w:p>
        </w:tc>
      </w:tr>
      <w:tr w:rsidR="00B50F1D" w:rsidRPr="00B50F1D" w14:paraId="7774DE94"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5CB959A0" w14:textId="77777777" w:rsidR="00B50F1D" w:rsidRPr="00B50F1D" w:rsidRDefault="00B50F1D" w:rsidP="00B50F1D">
            <w:pPr>
              <w:spacing w:after="0" w:line="240" w:lineRule="auto"/>
              <w:rPr>
                <w:rFonts w:eastAsia="Times New Roman"/>
                <w:color w:val="000000"/>
                <w:sz w:val="24"/>
                <w:szCs w:val="24"/>
              </w:rPr>
            </w:pPr>
            <w:r w:rsidRPr="00B50F1D">
              <w:rPr>
                <w:rFonts w:eastAsia="Times New Roman"/>
                <w:color w:val="000000"/>
                <w:sz w:val="24"/>
                <w:szCs w:val="24"/>
              </w:rPr>
              <w:t>AIC</w:t>
            </w:r>
          </w:p>
        </w:tc>
        <w:tc>
          <w:tcPr>
            <w:tcW w:w="0" w:type="auto"/>
            <w:tcBorders>
              <w:top w:val="nil"/>
              <w:left w:val="nil"/>
              <w:bottom w:val="nil"/>
              <w:right w:val="nil"/>
            </w:tcBorders>
            <w:shd w:val="clear" w:color="auto" w:fill="auto"/>
            <w:noWrap/>
            <w:vAlign w:val="center"/>
            <w:hideMark/>
          </w:tcPr>
          <w:p w14:paraId="4DB046B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-376.28</w:t>
            </w:r>
          </w:p>
        </w:tc>
        <w:tc>
          <w:tcPr>
            <w:tcW w:w="0" w:type="auto"/>
            <w:tcBorders>
              <w:top w:val="nil"/>
              <w:left w:val="nil"/>
              <w:bottom w:val="nil"/>
              <w:right w:val="nil"/>
            </w:tcBorders>
            <w:shd w:val="clear" w:color="auto" w:fill="auto"/>
            <w:noWrap/>
            <w:vAlign w:val="center"/>
            <w:hideMark/>
          </w:tcPr>
          <w:p w14:paraId="7E958A0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-586.21</w:t>
            </w:r>
          </w:p>
        </w:tc>
        <w:tc>
          <w:tcPr>
            <w:tcW w:w="0" w:type="auto"/>
            <w:tcBorders>
              <w:top w:val="nil"/>
              <w:left w:val="nil"/>
              <w:bottom w:val="nil"/>
              <w:right w:val="nil"/>
            </w:tcBorders>
            <w:shd w:val="clear" w:color="auto" w:fill="auto"/>
            <w:noWrap/>
            <w:vAlign w:val="center"/>
            <w:hideMark/>
          </w:tcPr>
          <w:p w14:paraId="49DE486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-902.25</w:t>
            </w:r>
          </w:p>
        </w:tc>
        <w:tc>
          <w:tcPr>
            <w:tcW w:w="0" w:type="auto"/>
            <w:tcBorders>
              <w:top w:val="nil"/>
              <w:left w:val="nil"/>
              <w:bottom w:val="nil"/>
              <w:right w:val="nil"/>
            </w:tcBorders>
            <w:shd w:val="clear" w:color="auto" w:fill="auto"/>
            <w:noWrap/>
            <w:vAlign w:val="center"/>
            <w:hideMark/>
          </w:tcPr>
          <w:p w14:paraId="6F8C611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-885.28</w:t>
            </w:r>
          </w:p>
        </w:tc>
      </w:tr>
      <w:tr w:rsidR="00B50F1D" w:rsidRPr="00B50F1D" w14:paraId="4C9F2B7B" w14:textId="77777777" w:rsidTr="005D3E3E">
        <w:trPr>
          <w:trHeight w:val="300"/>
          <w:jc w:val="center"/>
        </w:trPr>
        <w:tc>
          <w:tcPr>
            <w:tcW w:w="0" w:type="auto"/>
            <w:tcBorders>
              <w:top w:val="nil"/>
              <w:left w:val="nil"/>
              <w:right w:val="nil"/>
            </w:tcBorders>
            <w:shd w:val="clear" w:color="auto" w:fill="auto"/>
            <w:noWrap/>
            <w:vAlign w:val="bottom"/>
            <w:hideMark/>
          </w:tcPr>
          <w:p w14:paraId="598BDB76" w14:textId="77777777" w:rsidR="00B50F1D" w:rsidRPr="00B50F1D" w:rsidRDefault="00B50F1D" w:rsidP="00B50F1D">
            <w:pPr>
              <w:spacing w:after="0" w:line="240" w:lineRule="auto"/>
              <w:rPr>
                <w:rFonts w:eastAsia="Times New Roman"/>
                <w:color w:val="000000"/>
                <w:sz w:val="24"/>
                <w:szCs w:val="24"/>
              </w:rPr>
            </w:pPr>
            <w:r w:rsidRPr="00B50F1D">
              <w:rPr>
                <w:rFonts w:eastAsia="Times New Roman"/>
                <w:color w:val="000000"/>
                <w:sz w:val="24"/>
                <w:szCs w:val="24"/>
              </w:rPr>
              <w:t>BIC</w:t>
            </w:r>
          </w:p>
        </w:tc>
        <w:tc>
          <w:tcPr>
            <w:tcW w:w="0" w:type="auto"/>
            <w:tcBorders>
              <w:top w:val="nil"/>
              <w:left w:val="nil"/>
              <w:right w:val="nil"/>
            </w:tcBorders>
            <w:shd w:val="clear" w:color="auto" w:fill="auto"/>
            <w:noWrap/>
            <w:vAlign w:val="center"/>
            <w:hideMark/>
          </w:tcPr>
          <w:p w14:paraId="656F15E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-362.06</w:t>
            </w:r>
          </w:p>
        </w:tc>
        <w:tc>
          <w:tcPr>
            <w:tcW w:w="0" w:type="auto"/>
            <w:tcBorders>
              <w:top w:val="nil"/>
              <w:left w:val="nil"/>
              <w:right w:val="nil"/>
            </w:tcBorders>
            <w:shd w:val="clear" w:color="auto" w:fill="auto"/>
            <w:noWrap/>
            <w:vAlign w:val="center"/>
            <w:hideMark/>
          </w:tcPr>
          <w:p w14:paraId="71A84F8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-564.89</w:t>
            </w:r>
          </w:p>
        </w:tc>
        <w:tc>
          <w:tcPr>
            <w:tcW w:w="0" w:type="auto"/>
            <w:tcBorders>
              <w:top w:val="nil"/>
              <w:left w:val="nil"/>
              <w:right w:val="nil"/>
            </w:tcBorders>
            <w:shd w:val="clear" w:color="auto" w:fill="auto"/>
            <w:noWrap/>
            <w:vAlign w:val="center"/>
            <w:hideMark/>
          </w:tcPr>
          <w:p w14:paraId="60FFDD9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-880.95</w:t>
            </w:r>
          </w:p>
        </w:tc>
        <w:tc>
          <w:tcPr>
            <w:tcW w:w="0" w:type="auto"/>
            <w:tcBorders>
              <w:top w:val="nil"/>
              <w:left w:val="nil"/>
              <w:right w:val="nil"/>
            </w:tcBorders>
            <w:shd w:val="clear" w:color="auto" w:fill="auto"/>
            <w:noWrap/>
            <w:vAlign w:val="center"/>
            <w:hideMark/>
          </w:tcPr>
          <w:p w14:paraId="52E5955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-853.34</w:t>
            </w:r>
          </w:p>
        </w:tc>
      </w:tr>
      <w:tr w:rsidR="00B50F1D" w:rsidRPr="00B50F1D" w14:paraId="7F6C27D9" w14:textId="77777777" w:rsidTr="005D3E3E">
        <w:trPr>
          <w:trHeight w:val="300"/>
          <w:jc w:val="center"/>
        </w:trPr>
        <w:tc>
          <w:tcPr>
            <w:tcW w:w="0" w:type="auto"/>
            <w:tcBorders>
              <w:top w:val="nil"/>
              <w:left w:val="nil"/>
              <w:bottom w:val="single" w:sz="4" w:space="0" w:color="auto"/>
              <w:right w:val="nil"/>
            </w:tcBorders>
            <w:shd w:val="clear" w:color="auto" w:fill="auto"/>
            <w:noWrap/>
            <w:vAlign w:val="bottom"/>
            <w:hideMark/>
          </w:tcPr>
          <w:p w14:paraId="1153F7B6" w14:textId="77777777" w:rsidR="00B50F1D" w:rsidRPr="00B50F1D" w:rsidRDefault="00B50F1D" w:rsidP="00B50F1D">
            <w:pPr>
              <w:spacing w:after="0" w:line="240" w:lineRule="auto"/>
              <w:rPr>
                <w:rFonts w:eastAsia="Times New Roman"/>
                <w:color w:val="000000"/>
                <w:sz w:val="24"/>
                <w:szCs w:val="24"/>
              </w:rPr>
            </w:pPr>
            <w:r w:rsidRPr="00B50F1D">
              <w:rPr>
                <w:rFonts w:eastAsia="Times New Roman"/>
                <w:color w:val="000000"/>
                <w:sz w:val="24"/>
                <w:szCs w:val="24"/>
              </w:rPr>
              <w:t>DIC</w:t>
            </w:r>
          </w:p>
        </w:tc>
        <w:tc>
          <w:tcPr>
            <w:tcW w:w="0" w:type="auto"/>
            <w:tcBorders>
              <w:top w:val="nil"/>
              <w:left w:val="nil"/>
              <w:bottom w:val="single" w:sz="4" w:space="0" w:color="auto"/>
              <w:right w:val="nil"/>
            </w:tcBorders>
            <w:shd w:val="clear" w:color="auto" w:fill="auto"/>
            <w:noWrap/>
            <w:vAlign w:val="center"/>
            <w:hideMark/>
          </w:tcPr>
          <w:p w14:paraId="5D52B56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-374.38</w:t>
            </w:r>
          </w:p>
        </w:tc>
        <w:tc>
          <w:tcPr>
            <w:tcW w:w="0" w:type="auto"/>
            <w:tcBorders>
              <w:top w:val="nil"/>
              <w:left w:val="nil"/>
              <w:bottom w:val="single" w:sz="4" w:space="0" w:color="auto"/>
              <w:right w:val="nil"/>
            </w:tcBorders>
            <w:shd w:val="clear" w:color="auto" w:fill="auto"/>
            <w:noWrap/>
            <w:vAlign w:val="center"/>
            <w:hideMark/>
          </w:tcPr>
          <w:p w14:paraId="49069B7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-586.24</w:t>
            </w:r>
          </w:p>
        </w:tc>
        <w:tc>
          <w:tcPr>
            <w:tcW w:w="0" w:type="auto"/>
            <w:tcBorders>
              <w:top w:val="nil"/>
              <w:left w:val="nil"/>
              <w:bottom w:val="single" w:sz="4" w:space="0" w:color="auto"/>
              <w:right w:val="nil"/>
            </w:tcBorders>
            <w:shd w:val="clear" w:color="auto" w:fill="auto"/>
            <w:noWrap/>
            <w:vAlign w:val="center"/>
            <w:hideMark/>
          </w:tcPr>
          <w:p w14:paraId="1D871D0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-893.88</w:t>
            </w:r>
          </w:p>
        </w:tc>
        <w:tc>
          <w:tcPr>
            <w:tcW w:w="0" w:type="auto"/>
            <w:tcBorders>
              <w:top w:val="nil"/>
              <w:left w:val="nil"/>
              <w:bottom w:val="single" w:sz="4" w:space="0" w:color="auto"/>
              <w:right w:val="nil"/>
            </w:tcBorders>
            <w:shd w:val="clear" w:color="auto" w:fill="auto"/>
            <w:noWrap/>
            <w:vAlign w:val="center"/>
            <w:hideMark/>
          </w:tcPr>
          <w:p w14:paraId="6370F4C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-747.53</w:t>
            </w:r>
          </w:p>
        </w:tc>
      </w:tr>
    </w:tbl>
    <w:p w14:paraId="7341A5B1" w14:textId="77777777" w:rsidR="00B50F1D" w:rsidRPr="00B50F1D" w:rsidRDefault="00B50F1D" w:rsidP="00B50F1D">
      <w:pPr>
        <w:spacing w:after="200" w:line="276" w:lineRule="auto"/>
        <w:rPr>
          <w:rFonts w:eastAsia="Calibri"/>
          <w:sz w:val="24"/>
          <w:szCs w:val="24"/>
        </w:rPr>
      </w:pPr>
    </w:p>
    <w:p w14:paraId="387E6CDD" w14:textId="77777777" w:rsidR="00B50F1D" w:rsidRPr="00B50F1D" w:rsidRDefault="00B50F1D" w:rsidP="00B50F1D">
      <w:pPr>
        <w:rPr>
          <w:rFonts w:eastAsia="Calibri"/>
          <w:sz w:val="24"/>
          <w:szCs w:val="24"/>
        </w:rPr>
      </w:pPr>
      <w:r w:rsidRPr="00B50F1D">
        <w:rPr>
          <w:rFonts w:eastAsia="Calibri"/>
          <w:sz w:val="24"/>
          <w:szCs w:val="24"/>
        </w:rPr>
        <w:br w:type="page"/>
      </w:r>
    </w:p>
    <w:p w14:paraId="652333F9" w14:textId="77777777" w:rsidR="00B50F1D" w:rsidRPr="00B50F1D" w:rsidRDefault="00B50F1D" w:rsidP="00B50F1D">
      <w:pPr>
        <w:spacing w:after="200" w:line="276" w:lineRule="auto"/>
        <w:jc w:val="center"/>
        <w:rPr>
          <w:rFonts w:eastAsia="Calibri"/>
          <w:sz w:val="24"/>
          <w:szCs w:val="24"/>
        </w:rPr>
      </w:pPr>
      <w:r w:rsidRPr="00B50F1D">
        <w:rPr>
          <w:rFonts w:eastAsia="Calibri"/>
          <w:sz w:val="24"/>
          <w:szCs w:val="24"/>
        </w:rPr>
        <w:lastRenderedPageBreak/>
        <w:t>Table 2</w:t>
      </w:r>
    </w:p>
    <w:p w14:paraId="128DC18F" w14:textId="77777777" w:rsidR="00B50F1D" w:rsidRPr="00B50F1D" w:rsidRDefault="00B50F1D" w:rsidP="00B50F1D">
      <w:pPr>
        <w:spacing w:after="200" w:line="276" w:lineRule="auto"/>
        <w:jc w:val="center"/>
        <w:rPr>
          <w:rFonts w:eastAsia="Calibri"/>
          <w:sz w:val="24"/>
          <w:szCs w:val="24"/>
        </w:rPr>
      </w:pPr>
      <w:r w:rsidRPr="00B50F1D">
        <w:rPr>
          <w:rFonts w:eastAsia="Calibri"/>
          <w:sz w:val="24"/>
          <w:szCs w:val="24"/>
        </w:rPr>
        <w:t>South Univariate Markov-Switching Models</w:t>
      </w:r>
    </w:p>
    <w:tbl>
      <w:tblPr>
        <w:tblW w:w="0" w:type="auto"/>
        <w:jc w:val="center"/>
        <w:tblLook w:val="04A0" w:firstRow="1" w:lastRow="0" w:firstColumn="1" w:lastColumn="0" w:noHBand="0" w:noVBand="1"/>
      </w:tblPr>
      <w:tblGrid>
        <w:gridCol w:w="1736"/>
        <w:gridCol w:w="956"/>
        <w:gridCol w:w="956"/>
        <w:gridCol w:w="956"/>
        <w:gridCol w:w="956"/>
      </w:tblGrid>
      <w:tr w:rsidR="00B50F1D" w:rsidRPr="00B50F1D" w14:paraId="1CC9FA30" w14:textId="77777777" w:rsidTr="005D3E3E">
        <w:trPr>
          <w:trHeight w:val="300"/>
          <w:jc w:val="center"/>
        </w:trPr>
        <w:tc>
          <w:tcPr>
            <w:tcW w:w="0" w:type="auto"/>
            <w:tcBorders>
              <w:top w:val="single" w:sz="4" w:space="0" w:color="auto"/>
              <w:left w:val="nil"/>
              <w:bottom w:val="single" w:sz="4" w:space="0" w:color="auto"/>
              <w:right w:val="nil"/>
            </w:tcBorders>
            <w:shd w:val="clear" w:color="auto" w:fill="auto"/>
            <w:noWrap/>
            <w:vAlign w:val="bottom"/>
            <w:hideMark/>
          </w:tcPr>
          <w:p w14:paraId="63474637" w14:textId="77777777" w:rsidR="00B50F1D" w:rsidRPr="00B50F1D" w:rsidRDefault="00B50F1D" w:rsidP="00B50F1D">
            <w:pPr>
              <w:spacing w:after="0" w:line="240" w:lineRule="auto"/>
              <w:rPr>
                <w:rFonts w:eastAsia="Times New Roman"/>
                <w:sz w:val="24"/>
                <w:szCs w:val="24"/>
              </w:rPr>
            </w:pPr>
          </w:p>
        </w:tc>
        <w:tc>
          <w:tcPr>
            <w:tcW w:w="0" w:type="auto"/>
            <w:tcBorders>
              <w:top w:val="single" w:sz="4" w:space="0" w:color="auto"/>
              <w:left w:val="nil"/>
              <w:bottom w:val="single" w:sz="4" w:space="0" w:color="auto"/>
              <w:right w:val="nil"/>
            </w:tcBorders>
            <w:shd w:val="clear" w:color="auto" w:fill="auto"/>
            <w:noWrap/>
            <w:vAlign w:val="bottom"/>
            <w:hideMark/>
          </w:tcPr>
          <w:p w14:paraId="405D9FD2"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MS2</w:t>
            </w:r>
          </w:p>
        </w:tc>
        <w:tc>
          <w:tcPr>
            <w:tcW w:w="0" w:type="auto"/>
            <w:tcBorders>
              <w:top w:val="single" w:sz="4" w:space="0" w:color="auto"/>
              <w:left w:val="nil"/>
              <w:bottom w:val="single" w:sz="4" w:space="0" w:color="auto"/>
              <w:right w:val="nil"/>
            </w:tcBorders>
            <w:shd w:val="clear" w:color="auto" w:fill="auto"/>
            <w:noWrap/>
            <w:vAlign w:val="bottom"/>
            <w:hideMark/>
          </w:tcPr>
          <w:p w14:paraId="62C90E15"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MS3</w:t>
            </w:r>
          </w:p>
        </w:tc>
        <w:tc>
          <w:tcPr>
            <w:tcW w:w="0" w:type="auto"/>
            <w:tcBorders>
              <w:top w:val="single" w:sz="4" w:space="0" w:color="auto"/>
              <w:left w:val="nil"/>
              <w:bottom w:val="single" w:sz="4" w:space="0" w:color="auto"/>
              <w:right w:val="nil"/>
            </w:tcBorders>
            <w:shd w:val="clear" w:color="auto" w:fill="auto"/>
            <w:noWrap/>
            <w:vAlign w:val="bottom"/>
            <w:hideMark/>
          </w:tcPr>
          <w:p w14:paraId="562E30D1"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MS2AR</w:t>
            </w:r>
          </w:p>
        </w:tc>
        <w:tc>
          <w:tcPr>
            <w:tcW w:w="0" w:type="auto"/>
            <w:tcBorders>
              <w:top w:val="single" w:sz="4" w:space="0" w:color="auto"/>
              <w:left w:val="nil"/>
              <w:bottom w:val="single" w:sz="4" w:space="0" w:color="auto"/>
              <w:right w:val="nil"/>
            </w:tcBorders>
            <w:shd w:val="clear" w:color="auto" w:fill="auto"/>
            <w:noWrap/>
            <w:vAlign w:val="bottom"/>
            <w:hideMark/>
          </w:tcPr>
          <w:p w14:paraId="45139F10"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MS3AR</w:t>
            </w:r>
          </w:p>
        </w:tc>
      </w:tr>
      <w:tr w:rsidR="00B50F1D" w:rsidRPr="00B50F1D" w14:paraId="24EA2F5A"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hideMark/>
          </w:tcPr>
          <w:p w14:paraId="0B8FC0F5" w14:textId="77777777" w:rsidR="00B50F1D" w:rsidRPr="00B50F1D" w:rsidRDefault="00B50F1D" w:rsidP="00B50F1D">
            <w:pPr>
              <w:spacing w:after="0" w:line="240" w:lineRule="auto"/>
              <w:rPr>
                <w:rFonts w:eastAsia="Times New Roman"/>
                <w:i/>
                <w:sz w:val="24"/>
                <w:szCs w:val="24"/>
              </w:rPr>
            </w:pPr>
            <w:r w:rsidRPr="00B50F1D">
              <w:rPr>
                <w:rFonts w:eastAsia="Calibri"/>
                <w:i/>
                <w:sz w:val="24"/>
                <w:szCs w:val="24"/>
              </w:rPr>
              <w:t>Regime 1</w:t>
            </w:r>
          </w:p>
        </w:tc>
      </w:tr>
      <w:tr w:rsidR="00B50F1D" w:rsidRPr="00B50F1D" w14:paraId="5F60E84C"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472759F3" w14:textId="77777777" w:rsidR="00B50F1D" w:rsidRPr="00B50F1D" w:rsidRDefault="00B50F1D" w:rsidP="00B50F1D">
            <w:pPr>
              <w:spacing w:after="0" w:line="240" w:lineRule="auto"/>
              <w:rPr>
                <w:rFonts w:eastAsia="Times New Roman"/>
                <w:color w:val="000000"/>
                <w:sz w:val="24"/>
                <w:szCs w:val="24"/>
              </w:rPr>
            </w:pPr>
            <m:oMath>
              <m:r>
                <w:rPr>
                  <w:rFonts w:ascii="Cambria Math" w:eastAsia="Times New Roman" w:hAnsi="Cambria Math"/>
                  <w:color w:val="000000"/>
                  <w:sz w:val="24"/>
                  <w:szCs w:val="24"/>
                </w:rPr>
                <m:t>U</m:t>
              </m:r>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S</m:t>
                  </m:r>
                </m:e>
                <m:sub>
                  <m:r>
                    <w:rPr>
                      <w:rFonts w:ascii="Cambria Math" w:eastAsia="Times New Roman" w:hAnsi="Cambria Math"/>
                      <w:color w:val="000000"/>
                      <w:sz w:val="24"/>
                      <w:szCs w:val="24"/>
                    </w:rPr>
                    <m:t>t-1</m:t>
                  </m:r>
                </m:sub>
              </m:sSub>
            </m:oMath>
            <w:r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4BB2995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1DB1852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3E4F291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0.96</w:t>
            </w:r>
          </w:p>
        </w:tc>
        <w:tc>
          <w:tcPr>
            <w:tcW w:w="0" w:type="auto"/>
            <w:tcBorders>
              <w:top w:val="single" w:sz="4" w:space="0" w:color="auto"/>
              <w:left w:val="nil"/>
              <w:bottom w:val="nil"/>
              <w:right w:val="nil"/>
            </w:tcBorders>
            <w:shd w:val="clear" w:color="auto" w:fill="auto"/>
            <w:noWrap/>
            <w:vAlign w:val="center"/>
            <w:hideMark/>
          </w:tcPr>
          <w:p w14:paraId="7DE899C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0.96</w:t>
            </w:r>
          </w:p>
        </w:tc>
      </w:tr>
      <w:tr w:rsidR="00B50F1D" w:rsidRPr="00B50F1D" w14:paraId="527222F9" w14:textId="77777777" w:rsidTr="005D3E3E">
        <w:trPr>
          <w:trHeight w:val="300"/>
          <w:jc w:val="center"/>
        </w:trPr>
        <w:tc>
          <w:tcPr>
            <w:tcW w:w="0" w:type="auto"/>
            <w:tcBorders>
              <w:top w:val="nil"/>
              <w:left w:val="nil"/>
              <w:bottom w:val="nil"/>
              <w:right w:val="nil"/>
            </w:tcBorders>
            <w:shd w:val="clear" w:color="auto" w:fill="auto"/>
            <w:noWrap/>
            <w:hideMark/>
          </w:tcPr>
          <w:p w14:paraId="23BC86A6"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12865C6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792D96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67ABB21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0.02</w:t>
            </w:r>
          </w:p>
        </w:tc>
        <w:tc>
          <w:tcPr>
            <w:tcW w:w="0" w:type="auto"/>
            <w:tcBorders>
              <w:top w:val="nil"/>
              <w:left w:val="nil"/>
              <w:bottom w:val="nil"/>
              <w:right w:val="nil"/>
            </w:tcBorders>
            <w:shd w:val="clear" w:color="auto" w:fill="auto"/>
            <w:noWrap/>
            <w:vAlign w:val="center"/>
            <w:hideMark/>
          </w:tcPr>
          <w:p w14:paraId="40DBFC7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0.02</w:t>
            </w:r>
          </w:p>
        </w:tc>
      </w:tr>
      <w:tr w:rsidR="00B50F1D" w:rsidRPr="00B50F1D" w14:paraId="49198B0C" w14:textId="77777777" w:rsidTr="005D3E3E">
        <w:trPr>
          <w:trHeight w:val="300"/>
          <w:jc w:val="center"/>
        </w:trPr>
        <w:tc>
          <w:tcPr>
            <w:tcW w:w="0" w:type="auto"/>
            <w:tcBorders>
              <w:top w:val="nil"/>
              <w:left w:val="nil"/>
              <w:bottom w:val="nil"/>
              <w:right w:val="nil"/>
            </w:tcBorders>
            <w:shd w:val="clear" w:color="auto" w:fill="auto"/>
            <w:noWrap/>
            <w:hideMark/>
          </w:tcPr>
          <w:p w14:paraId="7FB482F2"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4B106B9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1.45</w:t>
            </w:r>
          </w:p>
        </w:tc>
        <w:tc>
          <w:tcPr>
            <w:tcW w:w="0" w:type="auto"/>
            <w:tcBorders>
              <w:top w:val="nil"/>
              <w:left w:val="nil"/>
              <w:bottom w:val="nil"/>
              <w:right w:val="nil"/>
            </w:tcBorders>
            <w:shd w:val="clear" w:color="auto" w:fill="auto"/>
            <w:noWrap/>
            <w:vAlign w:val="center"/>
            <w:hideMark/>
          </w:tcPr>
          <w:p w14:paraId="4FFD168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1.39</w:t>
            </w:r>
          </w:p>
        </w:tc>
        <w:tc>
          <w:tcPr>
            <w:tcW w:w="0" w:type="auto"/>
            <w:tcBorders>
              <w:top w:val="nil"/>
              <w:left w:val="nil"/>
              <w:bottom w:val="nil"/>
              <w:right w:val="nil"/>
            </w:tcBorders>
            <w:shd w:val="clear" w:color="auto" w:fill="auto"/>
            <w:noWrap/>
            <w:vAlign w:val="center"/>
            <w:hideMark/>
          </w:tcPr>
          <w:p w14:paraId="3B558D6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0.07</w:t>
            </w:r>
          </w:p>
        </w:tc>
        <w:tc>
          <w:tcPr>
            <w:tcW w:w="0" w:type="auto"/>
            <w:tcBorders>
              <w:top w:val="nil"/>
              <w:left w:val="nil"/>
              <w:bottom w:val="nil"/>
              <w:right w:val="nil"/>
            </w:tcBorders>
            <w:shd w:val="clear" w:color="auto" w:fill="auto"/>
            <w:noWrap/>
            <w:vAlign w:val="center"/>
            <w:hideMark/>
          </w:tcPr>
          <w:p w14:paraId="5C1FC01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0.06</w:t>
            </w:r>
          </w:p>
        </w:tc>
      </w:tr>
      <w:tr w:rsidR="00B50F1D" w:rsidRPr="00B50F1D" w14:paraId="55FB3F07" w14:textId="77777777" w:rsidTr="005D3E3E">
        <w:trPr>
          <w:trHeight w:val="300"/>
          <w:jc w:val="center"/>
        </w:trPr>
        <w:tc>
          <w:tcPr>
            <w:tcW w:w="0" w:type="auto"/>
            <w:tcBorders>
              <w:top w:val="nil"/>
              <w:left w:val="nil"/>
              <w:bottom w:val="nil"/>
              <w:right w:val="nil"/>
            </w:tcBorders>
            <w:shd w:val="clear" w:color="auto" w:fill="auto"/>
            <w:noWrap/>
            <w:hideMark/>
          </w:tcPr>
          <w:p w14:paraId="73F830E2"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1378530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0.04</w:t>
            </w:r>
          </w:p>
        </w:tc>
        <w:tc>
          <w:tcPr>
            <w:tcW w:w="0" w:type="auto"/>
            <w:tcBorders>
              <w:top w:val="nil"/>
              <w:left w:val="nil"/>
              <w:bottom w:val="nil"/>
              <w:right w:val="nil"/>
            </w:tcBorders>
            <w:shd w:val="clear" w:color="auto" w:fill="auto"/>
            <w:noWrap/>
            <w:vAlign w:val="center"/>
            <w:hideMark/>
          </w:tcPr>
          <w:p w14:paraId="0A15F00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0.05</w:t>
            </w:r>
          </w:p>
        </w:tc>
        <w:tc>
          <w:tcPr>
            <w:tcW w:w="0" w:type="auto"/>
            <w:tcBorders>
              <w:top w:val="nil"/>
              <w:left w:val="nil"/>
              <w:bottom w:val="nil"/>
              <w:right w:val="nil"/>
            </w:tcBorders>
            <w:shd w:val="clear" w:color="auto" w:fill="auto"/>
            <w:noWrap/>
            <w:vAlign w:val="center"/>
            <w:hideMark/>
          </w:tcPr>
          <w:p w14:paraId="06A56CF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0.04</w:t>
            </w:r>
          </w:p>
        </w:tc>
        <w:tc>
          <w:tcPr>
            <w:tcW w:w="0" w:type="auto"/>
            <w:tcBorders>
              <w:top w:val="nil"/>
              <w:left w:val="nil"/>
              <w:bottom w:val="nil"/>
              <w:right w:val="nil"/>
            </w:tcBorders>
            <w:shd w:val="clear" w:color="auto" w:fill="auto"/>
            <w:noWrap/>
            <w:vAlign w:val="center"/>
            <w:hideMark/>
          </w:tcPr>
          <w:p w14:paraId="135243A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0.04</w:t>
            </w:r>
          </w:p>
        </w:tc>
      </w:tr>
      <w:tr w:rsidR="00B50F1D" w:rsidRPr="00B50F1D" w14:paraId="38F9F33E" w14:textId="77777777" w:rsidTr="005D3E3E">
        <w:trPr>
          <w:trHeight w:val="300"/>
          <w:jc w:val="center"/>
        </w:trPr>
        <w:tc>
          <w:tcPr>
            <w:tcW w:w="0" w:type="auto"/>
            <w:tcBorders>
              <w:top w:val="nil"/>
              <w:left w:val="nil"/>
              <w:bottom w:val="nil"/>
              <w:right w:val="nil"/>
            </w:tcBorders>
            <w:shd w:val="clear" w:color="auto" w:fill="auto"/>
            <w:noWrap/>
            <w:hideMark/>
          </w:tcPr>
          <w:p w14:paraId="22ADE110"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039FDD6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0.30</w:t>
            </w:r>
          </w:p>
        </w:tc>
        <w:tc>
          <w:tcPr>
            <w:tcW w:w="0" w:type="auto"/>
            <w:tcBorders>
              <w:top w:val="nil"/>
              <w:left w:val="nil"/>
              <w:bottom w:val="nil"/>
              <w:right w:val="nil"/>
            </w:tcBorders>
            <w:shd w:val="clear" w:color="auto" w:fill="auto"/>
            <w:noWrap/>
            <w:vAlign w:val="center"/>
            <w:hideMark/>
          </w:tcPr>
          <w:p w14:paraId="26FDBA4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0.28</w:t>
            </w:r>
          </w:p>
        </w:tc>
        <w:tc>
          <w:tcPr>
            <w:tcW w:w="0" w:type="auto"/>
            <w:tcBorders>
              <w:top w:val="nil"/>
              <w:left w:val="nil"/>
              <w:bottom w:val="nil"/>
              <w:right w:val="nil"/>
            </w:tcBorders>
            <w:shd w:val="clear" w:color="auto" w:fill="auto"/>
            <w:noWrap/>
            <w:vAlign w:val="center"/>
            <w:hideMark/>
          </w:tcPr>
          <w:p w14:paraId="6EDFBA9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0.16</w:t>
            </w:r>
          </w:p>
        </w:tc>
        <w:tc>
          <w:tcPr>
            <w:tcW w:w="0" w:type="auto"/>
            <w:tcBorders>
              <w:top w:val="nil"/>
              <w:left w:val="nil"/>
              <w:bottom w:val="nil"/>
              <w:right w:val="nil"/>
            </w:tcBorders>
            <w:shd w:val="clear" w:color="auto" w:fill="auto"/>
            <w:noWrap/>
            <w:vAlign w:val="center"/>
            <w:hideMark/>
          </w:tcPr>
          <w:p w14:paraId="1805FE5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0.17</w:t>
            </w:r>
          </w:p>
        </w:tc>
      </w:tr>
      <w:tr w:rsidR="00B50F1D" w:rsidRPr="00B50F1D" w14:paraId="4BF6CE09"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67F5637E" w14:textId="77777777" w:rsidR="00B50F1D" w:rsidRPr="00B50F1D" w:rsidRDefault="00B50F1D" w:rsidP="00B50F1D">
            <w:pPr>
              <w:spacing w:after="0" w:line="240" w:lineRule="auto"/>
              <w:rPr>
                <w:rFonts w:eastAsia="Times New Roman"/>
                <w:i/>
                <w:color w:val="000000"/>
                <w:sz w:val="24"/>
                <w:szCs w:val="24"/>
              </w:rPr>
            </w:pPr>
            <w:r w:rsidRPr="00B50F1D">
              <w:rPr>
                <w:rFonts w:eastAsia="Calibri"/>
                <w:i/>
                <w:sz w:val="24"/>
                <w:szCs w:val="24"/>
              </w:rPr>
              <w:t>Regime 2</w:t>
            </w:r>
          </w:p>
        </w:tc>
      </w:tr>
      <w:tr w:rsidR="00B50F1D" w:rsidRPr="00B50F1D" w14:paraId="6745C21B"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564B135F" w14:textId="77777777" w:rsidR="00B50F1D" w:rsidRPr="00B50F1D" w:rsidRDefault="00B50F1D" w:rsidP="00B50F1D">
            <w:pPr>
              <w:spacing w:after="0" w:line="240" w:lineRule="auto"/>
              <w:rPr>
                <w:rFonts w:eastAsia="Times New Roman"/>
                <w:color w:val="000000"/>
                <w:sz w:val="24"/>
                <w:szCs w:val="24"/>
              </w:rPr>
            </w:pPr>
            <m:oMath>
              <m:r>
                <w:rPr>
                  <w:rFonts w:ascii="Cambria Math" w:eastAsia="Times New Roman" w:hAnsi="Cambria Math"/>
                  <w:color w:val="000000"/>
                  <w:sz w:val="24"/>
                  <w:szCs w:val="24"/>
                </w:rPr>
                <m:t>U</m:t>
              </m:r>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S</m:t>
                  </m:r>
                </m:e>
                <m:sub>
                  <m:r>
                    <w:rPr>
                      <w:rFonts w:ascii="Cambria Math" w:eastAsia="Times New Roman" w:hAnsi="Cambria Math"/>
                      <w:color w:val="000000"/>
                      <w:sz w:val="24"/>
                      <w:szCs w:val="24"/>
                    </w:rPr>
                    <m:t>t-1</m:t>
                  </m:r>
                </m:sub>
              </m:sSub>
            </m:oMath>
            <w:r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1933172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580B0AE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3AAD34E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0.59</w:t>
            </w:r>
          </w:p>
        </w:tc>
        <w:tc>
          <w:tcPr>
            <w:tcW w:w="0" w:type="auto"/>
            <w:tcBorders>
              <w:top w:val="single" w:sz="4" w:space="0" w:color="auto"/>
              <w:left w:val="nil"/>
              <w:bottom w:val="nil"/>
              <w:right w:val="nil"/>
            </w:tcBorders>
            <w:shd w:val="clear" w:color="auto" w:fill="auto"/>
            <w:noWrap/>
            <w:vAlign w:val="center"/>
            <w:hideMark/>
          </w:tcPr>
          <w:p w14:paraId="21D4441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0.68</w:t>
            </w:r>
          </w:p>
        </w:tc>
      </w:tr>
      <w:tr w:rsidR="00B50F1D" w:rsidRPr="00B50F1D" w14:paraId="0CC58D12" w14:textId="77777777" w:rsidTr="005D3E3E">
        <w:trPr>
          <w:trHeight w:val="300"/>
          <w:jc w:val="center"/>
        </w:trPr>
        <w:tc>
          <w:tcPr>
            <w:tcW w:w="0" w:type="auto"/>
            <w:tcBorders>
              <w:top w:val="nil"/>
              <w:left w:val="nil"/>
              <w:bottom w:val="nil"/>
              <w:right w:val="nil"/>
            </w:tcBorders>
            <w:shd w:val="clear" w:color="auto" w:fill="auto"/>
            <w:noWrap/>
            <w:hideMark/>
          </w:tcPr>
          <w:p w14:paraId="7A348123"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4B4B1B2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1B5E196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0401B45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0.25</w:t>
            </w:r>
          </w:p>
        </w:tc>
        <w:tc>
          <w:tcPr>
            <w:tcW w:w="0" w:type="auto"/>
            <w:tcBorders>
              <w:top w:val="nil"/>
              <w:left w:val="nil"/>
              <w:bottom w:val="nil"/>
              <w:right w:val="nil"/>
            </w:tcBorders>
            <w:shd w:val="clear" w:color="auto" w:fill="auto"/>
            <w:noWrap/>
            <w:vAlign w:val="center"/>
            <w:hideMark/>
          </w:tcPr>
          <w:p w14:paraId="5070A70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0.21</w:t>
            </w:r>
          </w:p>
        </w:tc>
      </w:tr>
      <w:tr w:rsidR="00B50F1D" w:rsidRPr="00B50F1D" w14:paraId="365421A3" w14:textId="77777777" w:rsidTr="005D3E3E">
        <w:trPr>
          <w:trHeight w:val="300"/>
          <w:jc w:val="center"/>
        </w:trPr>
        <w:tc>
          <w:tcPr>
            <w:tcW w:w="0" w:type="auto"/>
            <w:tcBorders>
              <w:top w:val="nil"/>
              <w:left w:val="nil"/>
              <w:bottom w:val="nil"/>
              <w:right w:val="nil"/>
            </w:tcBorders>
            <w:shd w:val="clear" w:color="auto" w:fill="auto"/>
            <w:noWrap/>
            <w:hideMark/>
          </w:tcPr>
          <w:p w14:paraId="11C19BDF"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4B85738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2.21</w:t>
            </w:r>
          </w:p>
        </w:tc>
        <w:tc>
          <w:tcPr>
            <w:tcW w:w="0" w:type="auto"/>
            <w:tcBorders>
              <w:top w:val="nil"/>
              <w:left w:val="nil"/>
              <w:bottom w:val="nil"/>
              <w:right w:val="nil"/>
            </w:tcBorders>
            <w:shd w:val="clear" w:color="auto" w:fill="auto"/>
            <w:noWrap/>
            <w:vAlign w:val="center"/>
            <w:hideMark/>
          </w:tcPr>
          <w:p w14:paraId="59AEFB9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2.00</w:t>
            </w:r>
          </w:p>
        </w:tc>
        <w:tc>
          <w:tcPr>
            <w:tcW w:w="0" w:type="auto"/>
            <w:tcBorders>
              <w:top w:val="nil"/>
              <w:left w:val="nil"/>
              <w:bottom w:val="nil"/>
              <w:right w:val="nil"/>
            </w:tcBorders>
            <w:shd w:val="clear" w:color="auto" w:fill="auto"/>
            <w:noWrap/>
            <w:vAlign w:val="center"/>
            <w:hideMark/>
          </w:tcPr>
          <w:p w14:paraId="28F74E2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0.71</w:t>
            </w:r>
          </w:p>
        </w:tc>
        <w:tc>
          <w:tcPr>
            <w:tcW w:w="0" w:type="auto"/>
            <w:tcBorders>
              <w:top w:val="nil"/>
              <w:left w:val="nil"/>
              <w:bottom w:val="nil"/>
              <w:right w:val="nil"/>
            </w:tcBorders>
            <w:shd w:val="clear" w:color="auto" w:fill="auto"/>
            <w:noWrap/>
            <w:vAlign w:val="center"/>
            <w:hideMark/>
          </w:tcPr>
          <w:p w14:paraId="327E677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0.50</w:t>
            </w:r>
          </w:p>
        </w:tc>
      </w:tr>
      <w:tr w:rsidR="00B50F1D" w:rsidRPr="00B50F1D" w14:paraId="41C2039B" w14:textId="77777777" w:rsidTr="005D3E3E">
        <w:trPr>
          <w:trHeight w:val="300"/>
          <w:jc w:val="center"/>
        </w:trPr>
        <w:tc>
          <w:tcPr>
            <w:tcW w:w="0" w:type="auto"/>
            <w:tcBorders>
              <w:top w:val="nil"/>
              <w:left w:val="nil"/>
              <w:bottom w:val="nil"/>
              <w:right w:val="nil"/>
            </w:tcBorders>
            <w:shd w:val="clear" w:color="auto" w:fill="auto"/>
            <w:noWrap/>
            <w:hideMark/>
          </w:tcPr>
          <w:p w14:paraId="549B4926"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645215F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0.04</w:t>
            </w:r>
          </w:p>
        </w:tc>
        <w:tc>
          <w:tcPr>
            <w:tcW w:w="0" w:type="auto"/>
            <w:tcBorders>
              <w:top w:val="nil"/>
              <w:left w:val="nil"/>
              <w:bottom w:val="nil"/>
              <w:right w:val="nil"/>
            </w:tcBorders>
            <w:shd w:val="clear" w:color="auto" w:fill="auto"/>
            <w:noWrap/>
            <w:vAlign w:val="center"/>
            <w:hideMark/>
          </w:tcPr>
          <w:p w14:paraId="3C21726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0.04</w:t>
            </w:r>
          </w:p>
        </w:tc>
        <w:tc>
          <w:tcPr>
            <w:tcW w:w="0" w:type="auto"/>
            <w:tcBorders>
              <w:top w:val="nil"/>
              <w:left w:val="nil"/>
              <w:bottom w:val="nil"/>
              <w:right w:val="nil"/>
            </w:tcBorders>
            <w:shd w:val="clear" w:color="auto" w:fill="auto"/>
            <w:noWrap/>
            <w:vAlign w:val="center"/>
            <w:hideMark/>
          </w:tcPr>
          <w:p w14:paraId="6A2FCDA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0.43</w:t>
            </w:r>
          </w:p>
        </w:tc>
        <w:tc>
          <w:tcPr>
            <w:tcW w:w="0" w:type="auto"/>
            <w:tcBorders>
              <w:top w:val="nil"/>
              <w:left w:val="nil"/>
              <w:bottom w:val="nil"/>
              <w:right w:val="nil"/>
            </w:tcBorders>
            <w:shd w:val="clear" w:color="auto" w:fill="auto"/>
            <w:noWrap/>
            <w:vAlign w:val="center"/>
            <w:hideMark/>
          </w:tcPr>
          <w:p w14:paraId="46F1B53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0.36</w:t>
            </w:r>
          </w:p>
        </w:tc>
      </w:tr>
      <w:tr w:rsidR="00B50F1D" w:rsidRPr="00B50F1D" w14:paraId="1C542CB1" w14:textId="77777777" w:rsidTr="005D3E3E">
        <w:trPr>
          <w:trHeight w:val="300"/>
          <w:jc w:val="center"/>
        </w:trPr>
        <w:tc>
          <w:tcPr>
            <w:tcW w:w="0" w:type="auto"/>
            <w:tcBorders>
              <w:top w:val="nil"/>
              <w:left w:val="nil"/>
              <w:bottom w:val="nil"/>
              <w:right w:val="nil"/>
            </w:tcBorders>
            <w:shd w:val="clear" w:color="auto" w:fill="auto"/>
            <w:noWrap/>
            <w:hideMark/>
          </w:tcPr>
          <w:p w14:paraId="4B11181E"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69D7035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0.39</w:t>
            </w:r>
          </w:p>
        </w:tc>
        <w:tc>
          <w:tcPr>
            <w:tcW w:w="0" w:type="auto"/>
            <w:tcBorders>
              <w:top w:val="nil"/>
              <w:left w:val="nil"/>
              <w:bottom w:val="nil"/>
              <w:right w:val="nil"/>
            </w:tcBorders>
            <w:shd w:val="clear" w:color="auto" w:fill="auto"/>
            <w:noWrap/>
            <w:vAlign w:val="center"/>
            <w:hideMark/>
          </w:tcPr>
          <w:p w14:paraId="78A76B7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0.22</w:t>
            </w:r>
          </w:p>
        </w:tc>
        <w:tc>
          <w:tcPr>
            <w:tcW w:w="0" w:type="auto"/>
            <w:tcBorders>
              <w:top w:val="nil"/>
              <w:left w:val="nil"/>
              <w:bottom w:val="nil"/>
              <w:right w:val="nil"/>
            </w:tcBorders>
            <w:shd w:val="clear" w:color="auto" w:fill="auto"/>
            <w:noWrap/>
            <w:vAlign w:val="center"/>
            <w:hideMark/>
          </w:tcPr>
          <w:p w14:paraId="49D32FD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0.37</w:t>
            </w:r>
          </w:p>
        </w:tc>
        <w:tc>
          <w:tcPr>
            <w:tcW w:w="0" w:type="auto"/>
            <w:tcBorders>
              <w:top w:val="nil"/>
              <w:left w:val="nil"/>
              <w:bottom w:val="nil"/>
              <w:right w:val="nil"/>
            </w:tcBorders>
            <w:shd w:val="clear" w:color="auto" w:fill="auto"/>
            <w:noWrap/>
            <w:vAlign w:val="center"/>
            <w:hideMark/>
          </w:tcPr>
          <w:p w14:paraId="45DF232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0.33</w:t>
            </w:r>
          </w:p>
        </w:tc>
      </w:tr>
      <w:tr w:rsidR="00B50F1D" w:rsidRPr="00B50F1D" w14:paraId="04B47F77"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64434B81" w14:textId="77777777" w:rsidR="00B50F1D" w:rsidRPr="00B50F1D" w:rsidRDefault="00B50F1D" w:rsidP="00B50F1D">
            <w:pPr>
              <w:spacing w:after="0" w:line="240" w:lineRule="auto"/>
              <w:rPr>
                <w:rFonts w:eastAsia="Times New Roman"/>
                <w:i/>
                <w:color w:val="000000"/>
                <w:sz w:val="24"/>
                <w:szCs w:val="24"/>
              </w:rPr>
            </w:pPr>
            <w:r w:rsidRPr="00B50F1D">
              <w:rPr>
                <w:rFonts w:eastAsia="Calibri"/>
                <w:i/>
                <w:sz w:val="24"/>
                <w:szCs w:val="24"/>
              </w:rPr>
              <w:t>Regime 3</w:t>
            </w:r>
          </w:p>
        </w:tc>
      </w:tr>
      <w:tr w:rsidR="00B50F1D" w:rsidRPr="00B50F1D" w14:paraId="1B4DE36F"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1B8AA56A" w14:textId="77777777" w:rsidR="00B50F1D" w:rsidRPr="00B50F1D" w:rsidRDefault="00B50F1D" w:rsidP="00B50F1D">
            <w:pPr>
              <w:spacing w:after="0" w:line="240" w:lineRule="auto"/>
              <w:rPr>
                <w:rFonts w:eastAsia="Times New Roman"/>
                <w:color w:val="000000"/>
                <w:sz w:val="24"/>
                <w:szCs w:val="24"/>
              </w:rPr>
            </w:pPr>
            <m:oMath>
              <m:r>
                <w:rPr>
                  <w:rFonts w:ascii="Cambria Math" w:eastAsia="Times New Roman" w:hAnsi="Cambria Math"/>
                  <w:color w:val="000000"/>
                  <w:sz w:val="24"/>
                  <w:szCs w:val="24"/>
                </w:rPr>
                <m:t>U</m:t>
              </m:r>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S</m:t>
                  </m:r>
                </m:e>
                <m:sub>
                  <m:r>
                    <w:rPr>
                      <w:rFonts w:ascii="Cambria Math" w:eastAsia="Times New Roman" w:hAnsi="Cambria Math"/>
                      <w:color w:val="000000"/>
                      <w:sz w:val="24"/>
                      <w:szCs w:val="24"/>
                    </w:rPr>
                    <m:t>t-1</m:t>
                  </m:r>
                </m:sub>
              </m:sSub>
            </m:oMath>
            <w:r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30F89B4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4C6A402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232CAD1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03F9A57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0.61</w:t>
            </w:r>
          </w:p>
        </w:tc>
      </w:tr>
      <w:tr w:rsidR="00B50F1D" w:rsidRPr="00B50F1D" w14:paraId="23AF14DD" w14:textId="77777777" w:rsidTr="005D3E3E">
        <w:trPr>
          <w:trHeight w:val="300"/>
          <w:jc w:val="center"/>
        </w:trPr>
        <w:tc>
          <w:tcPr>
            <w:tcW w:w="0" w:type="auto"/>
            <w:tcBorders>
              <w:top w:val="nil"/>
              <w:left w:val="nil"/>
              <w:bottom w:val="nil"/>
              <w:right w:val="nil"/>
            </w:tcBorders>
            <w:shd w:val="clear" w:color="auto" w:fill="auto"/>
            <w:noWrap/>
            <w:hideMark/>
          </w:tcPr>
          <w:p w14:paraId="161ACFF3"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1DA860B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5F93123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282F8C1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31F528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0.21</w:t>
            </w:r>
          </w:p>
        </w:tc>
      </w:tr>
      <w:tr w:rsidR="00B50F1D" w:rsidRPr="00B50F1D" w14:paraId="40EDF511" w14:textId="77777777" w:rsidTr="005D3E3E">
        <w:trPr>
          <w:trHeight w:val="300"/>
          <w:jc w:val="center"/>
        </w:trPr>
        <w:tc>
          <w:tcPr>
            <w:tcW w:w="0" w:type="auto"/>
            <w:tcBorders>
              <w:top w:val="nil"/>
              <w:left w:val="nil"/>
              <w:bottom w:val="nil"/>
              <w:right w:val="nil"/>
            </w:tcBorders>
            <w:shd w:val="clear" w:color="auto" w:fill="auto"/>
            <w:noWrap/>
            <w:hideMark/>
          </w:tcPr>
          <w:p w14:paraId="0EC01EC1"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7B689BF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7353CD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2.78</w:t>
            </w:r>
          </w:p>
        </w:tc>
        <w:tc>
          <w:tcPr>
            <w:tcW w:w="0" w:type="auto"/>
            <w:tcBorders>
              <w:top w:val="nil"/>
              <w:left w:val="nil"/>
              <w:bottom w:val="nil"/>
              <w:right w:val="nil"/>
            </w:tcBorders>
            <w:shd w:val="clear" w:color="auto" w:fill="auto"/>
            <w:noWrap/>
            <w:vAlign w:val="center"/>
            <w:hideMark/>
          </w:tcPr>
          <w:p w14:paraId="506C98D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12F5C1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0.76</w:t>
            </w:r>
          </w:p>
        </w:tc>
      </w:tr>
      <w:tr w:rsidR="00B50F1D" w:rsidRPr="00B50F1D" w14:paraId="205DF254" w14:textId="77777777" w:rsidTr="005D3E3E">
        <w:trPr>
          <w:trHeight w:val="300"/>
          <w:jc w:val="center"/>
        </w:trPr>
        <w:tc>
          <w:tcPr>
            <w:tcW w:w="0" w:type="auto"/>
            <w:tcBorders>
              <w:top w:val="nil"/>
              <w:left w:val="nil"/>
              <w:bottom w:val="nil"/>
              <w:right w:val="nil"/>
            </w:tcBorders>
            <w:shd w:val="clear" w:color="auto" w:fill="auto"/>
            <w:noWrap/>
            <w:hideMark/>
          </w:tcPr>
          <w:p w14:paraId="03DF64EC"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2C2F59B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2F92CE1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0.08</w:t>
            </w:r>
          </w:p>
        </w:tc>
        <w:tc>
          <w:tcPr>
            <w:tcW w:w="0" w:type="auto"/>
            <w:tcBorders>
              <w:top w:val="nil"/>
              <w:left w:val="nil"/>
              <w:bottom w:val="nil"/>
              <w:right w:val="nil"/>
            </w:tcBorders>
            <w:shd w:val="clear" w:color="auto" w:fill="auto"/>
            <w:noWrap/>
            <w:vAlign w:val="center"/>
            <w:hideMark/>
          </w:tcPr>
          <w:p w14:paraId="2DF8990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51276A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0.41</w:t>
            </w:r>
          </w:p>
        </w:tc>
      </w:tr>
      <w:tr w:rsidR="00B50F1D" w:rsidRPr="00B50F1D" w14:paraId="3D8B9DCA" w14:textId="77777777" w:rsidTr="005D3E3E">
        <w:trPr>
          <w:trHeight w:val="300"/>
          <w:jc w:val="center"/>
        </w:trPr>
        <w:tc>
          <w:tcPr>
            <w:tcW w:w="0" w:type="auto"/>
            <w:tcBorders>
              <w:top w:val="nil"/>
              <w:left w:val="nil"/>
              <w:bottom w:val="nil"/>
              <w:right w:val="nil"/>
            </w:tcBorders>
            <w:shd w:val="clear" w:color="auto" w:fill="auto"/>
            <w:noWrap/>
            <w:hideMark/>
          </w:tcPr>
          <w:p w14:paraId="4F265350"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0C56F2E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EB0CB9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0.42</w:t>
            </w:r>
          </w:p>
        </w:tc>
        <w:tc>
          <w:tcPr>
            <w:tcW w:w="0" w:type="auto"/>
            <w:tcBorders>
              <w:top w:val="nil"/>
              <w:left w:val="nil"/>
              <w:bottom w:val="nil"/>
              <w:right w:val="nil"/>
            </w:tcBorders>
            <w:shd w:val="clear" w:color="auto" w:fill="auto"/>
            <w:noWrap/>
            <w:vAlign w:val="center"/>
            <w:hideMark/>
          </w:tcPr>
          <w:p w14:paraId="5F7FA45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ECF9B7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0.34</w:t>
            </w:r>
          </w:p>
        </w:tc>
      </w:tr>
      <w:tr w:rsidR="00B50F1D" w:rsidRPr="00B50F1D" w14:paraId="751EF186"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30311065"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p11</w:t>
            </w:r>
          </w:p>
        </w:tc>
        <w:tc>
          <w:tcPr>
            <w:tcW w:w="0" w:type="auto"/>
            <w:tcBorders>
              <w:top w:val="single" w:sz="4" w:space="0" w:color="auto"/>
              <w:left w:val="nil"/>
              <w:bottom w:val="nil"/>
              <w:right w:val="nil"/>
            </w:tcBorders>
            <w:shd w:val="clear" w:color="auto" w:fill="auto"/>
            <w:noWrap/>
            <w:vAlign w:val="center"/>
            <w:hideMark/>
          </w:tcPr>
          <w:p w14:paraId="654ECD8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0.98</w:t>
            </w:r>
          </w:p>
        </w:tc>
        <w:tc>
          <w:tcPr>
            <w:tcW w:w="0" w:type="auto"/>
            <w:tcBorders>
              <w:top w:val="single" w:sz="4" w:space="0" w:color="auto"/>
              <w:left w:val="nil"/>
              <w:bottom w:val="nil"/>
              <w:right w:val="nil"/>
            </w:tcBorders>
            <w:shd w:val="clear" w:color="auto" w:fill="auto"/>
            <w:noWrap/>
            <w:vAlign w:val="center"/>
            <w:hideMark/>
          </w:tcPr>
          <w:p w14:paraId="1B2EAD6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0.97</w:t>
            </w:r>
          </w:p>
        </w:tc>
        <w:tc>
          <w:tcPr>
            <w:tcW w:w="0" w:type="auto"/>
            <w:tcBorders>
              <w:top w:val="single" w:sz="4" w:space="0" w:color="auto"/>
              <w:left w:val="nil"/>
              <w:bottom w:val="nil"/>
              <w:right w:val="nil"/>
            </w:tcBorders>
            <w:shd w:val="clear" w:color="auto" w:fill="auto"/>
            <w:noWrap/>
            <w:vAlign w:val="center"/>
            <w:hideMark/>
          </w:tcPr>
          <w:p w14:paraId="68BEEC3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0.97</w:t>
            </w:r>
          </w:p>
        </w:tc>
        <w:tc>
          <w:tcPr>
            <w:tcW w:w="0" w:type="auto"/>
            <w:tcBorders>
              <w:top w:val="single" w:sz="4" w:space="0" w:color="auto"/>
              <w:left w:val="nil"/>
              <w:bottom w:val="nil"/>
              <w:right w:val="nil"/>
            </w:tcBorders>
            <w:shd w:val="clear" w:color="auto" w:fill="auto"/>
            <w:noWrap/>
            <w:vAlign w:val="center"/>
            <w:hideMark/>
          </w:tcPr>
          <w:p w14:paraId="7F798CE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0.98</w:t>
            </w:r>
          </w:p>
        </w:tc>
      </w:tr>
      <w:tr w:rsidR="00B50F1D" w:rsidRPr="00B50F1D" w14:paraId="3FA376D9" w14:textId="77777777" w:rsidTr="005D3E3E">
        <w:trPr>
          <w:trHeight w:val="300"/>
          <w:jc w:val="center"/>
        </w:trPr>
        <w:tc>
          <w:tcPr>
            <w:tcW w:w="0" w:type="auto"/>
            <w:tcBorders>
              <w:top w:val="nil"/>
              <w:left w:val="nil"/>
              <w:bottom w:val="nil"/>
              <w:right w:val="nil"/>
            </w:tcBorders>
            <w:shd w:val="clear" w:color="auto" w:fill="auto"/>
            <w:noWrap/>
            <w:hideMark/>
          </w:tcPr>
          <w:p w14:paraId="3F2494B2"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p21</w:t>
            </w:r>
          </w:p>
        </w:tc>
        <w:tc>
          <w:tcPr>
            <w:tcW w:w="0" w:type="auto"/>
            <w:tcBorders>
              <w:top w:val="nil"/>
              <w:left w:val="nil"/>
              <w:bottom w:val="nil"/>
              <w:right w:val="nil"/>
            </w:tcBorders>
            <w:shd w:val="clear" w:color="auto" w:fill="auto"/>
            <w:noWrap/>
            <w:vAlign w:val="center"/>
            <w:hideMark/>
          </w:tcPr>
          <w:p w14:paraId="7969439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0.98</w:t>
            </w:r>
          </w:p>
        </w:tc>
        <w:tc>
          <w:tcPr>
            <w:tcW w:w="0" w:type="auto"/>
            <w:tcBorders>
              <w:top w:val="nil"/>
              <w:left w:val="nil"/>
              <w:bottom w:val="nil"/>
              <w:right w:val="nil"/>
            </w:tcBorders>
            <w:shd w:val="clear" w:color="auto" w:fill="auto"/>
            <w:noWrap/>
            <w:vAlign w:val="center"/>
            <w:hideMark/>
          </w:tcPr>
          <w:p w14:paraId="5653946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0.96</w:t>
            </w:r>
          </w:p>
        </w:tc>
        <w:tc>
          <w:tcPr>
            <w:tcW w:w="0" w:type="auto"/>
            <w:tcBorders>
              <w:top w:val="nil"/>
              <w:left w:val="nil"/>
              <w:bottom w:val="nil"/>
              <w:right w:val="nil"/>
            </w:tcBorders>
            <w:shd w:val="clear" w:color="auto" w:fill="auto"/>
            <w:noWrap/>
            <w:vAlign w:val="center"/>
            <w:hideMark/>
          </w:tcPr>
          <w:p w14:paraId="5F723B5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0.82</w:t>
            </w:r>
          </w:p>
        </w:tc>
        <w:tc>
          <w:tcPr>
            <w:tcW w:w="0" w:type="auto"/>
            <w:tcBorders>
              <w:top w:val="nil"/>
              <w:left w:val="nil"/>
              <w:bottom w:val="nil"/>
              <w:right w:val="nil"/>
            </w:tcBorders>
            <w:shd w:val="clear" w:color="auto" w:fill="auto"/>
            <w:noWrap/>
            <w:vAlign w:val="center"/>
            <w:hideMark/>
          </w:tcPr>
          <w:p w14:paraId="3C5C653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0.89</w:t>
            </w:r>
          </w:p>
        </w:tc>
      </w:tr>
      <w:tr w:rsidR="00B50F1D" w:rsidRPr="00B50F1D" w14:paraId="2BB56BFB" w14:textId="77777777" w:rsidTr="005D3E3E">
        <w:trPr>
          <w:trHeight w:val="300"/>
          <w:jc w:val="center"/>
        </w:trPr>
        <w:tc>
          <w:tcPr>
            <w:tcW w:w="0" w:type="auto"/>
            <w:tcBorders>
              <w:top w:val="nil"/>
              <w:left w:val="nil"/>
              <w:bottom w:val="nil"/>
              <w:right w:val="nil"/>
            </w:tcBorders>
            <w:shd w:val="clear" w:color="auto" w:fill="auto"/>
            <w:noWrap/>
            <w:hideMark/>
          </w:tcPr>
          <w:p w14:paraId="7D133F71"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p33</w:t>
            </w:r>
          </w:p>
        </w:tc>
        <w:tc>
          <w:tcPr>
            <w:tcW w:w="0" w:type="auto"/>
            <w:tcBorders>
              <w:top w:val="nil"/>
              <w:left w:val="nil"/>
              <w:bottom w:val="nil"/>
              <w:right w:val="nil"/>
            </w:tcBorders>
            <w:shd w:val="clear" w:color="auto" w:fill="auto"/>
            <w:noWrap/>
            <w:vAlign w:val="center"/>
            <w:hideMark/>
          </w:tcPr>
          <w:p w14:paraId="6675BF5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E3B79F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0.94</w:t>
            </w:r>
          </w:p>
        </w:tc>
        <w:tc>
          <w:tcPr>
            <w:tcW w:w="0" w:type="auto"/>
            <w:tcBorders>
              <w:top w:val="nil"/>
              <w:left w:val="nil"/>
              <w:bottom w:val="nil"/>
              <w:right w:val="nil"/>
            </w:tcBorders>
            <w:shd w:val="clear" w:color="auto" w:fill="auto"/>
            <w:noWrap/>
            <w:vAlign w:val="center"/>
            <w:hideMark/>
          </w:tcPr>
          <w:p w14:paraId="5AC2425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697795A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0.88</w:t>
            </w:r>
          </w:p>
        </w:tc>
      </w:tr>
      <w:tr w:rsidR="00B50F1D" w:rsidRPr="00B50F1D" w14:paraId="1472696D" w14:textId="77777777" w:rsidTr="005D3E3E">
        <w:trPr>
          <w:trHeight w:val="300"/>
          <w:jc w:val="center"/>
        </w:trPr>
        <w:tc>
          <w:tcPr>
            <w:tcW w:w="0" w:type="auto"/>
            <w:tcBorders>
              <w:top w:val="nil"/>
              <w:left w:val="nil"/>
              <w:bottom w:val="nil"/>
              <w:right w:val="nil"/>
            </w:tcBorders>
            <w:shd w:val="clear" w:color="auto" w:fill="auto"/>
            <w:noWrap/>
          </w:tcPr>
          <w:p w14:paraId="69FC5220"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0FE77C9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tcPr>
          <w:p w14:paraId="3EA3034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tcPr>
          <w:p w14:paraId="0EC14F2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tcPr>
          <w:p w14:paraId="2907346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r>
      <w:tr w:rsidR="00B50F1D" w:rsidRPr="00B50F1D" w14:paraId="1D1FCFB9" w14:textId="77777777" w:rsidTr="005D3E3E">
        <w:trPr>
          <w:trHeight w:val="300"/>
          <w:jc w:val="center"/>
        </w:trPr>
        <w:tc>
          <w:tcPr>
            <w:tcW w:w="0" w:type="auto"/>
            <w:tcBorders>
              <w:top w:val="nil"/>
              <w:left w:val="nil"/>
              <w:bottom w:val="nil"/>
              <w:right w:val="nil"/>
            </w:tcBorders>
            <w:shd w:val="clear" w:color="auto" w:fill="auto"/>
            <w:noWrap/>
            <w:hideMark/>
          </w:tcPr>
          <w:p w14:paraId="044346CE"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D1</w:t>
            </w:r>
          </w:p>
        </w:tc>
        <w:tc>
          <w:tcPr>
            <w:tcW w:w="0" w:type="auto"/>
            <w:tcBorders>
              <w:top w:val="nil"/>
              <w:left w:val="nil"/>
              <w:bottom w:val="nil"/>
              <w:right w:val="nil"/>
            </w:tcBorders>
            <w:shd w:val="clear" w:color="auto" w:fill="auto"/>
            <w:noWrap/>
            <w:vAlign w:val="center"/>
            <w:hideMark/>
          </w:tcPr>
          <w:p w14:paraId="23FFF5E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43.03</w:t>
            </w:r>
          </w:p>
        </w:tc>
        <w:tc>
          <w:tcPr>
            <w:tcW w:w="0" w:type="auto"/>
            <w:tcBorders>
              <w:top w:val="nil"/>
              <w:left w:val="nil"/>
              <w:bottom w:val="nil"/>
              <w:right w:val="nil"/>
            </w:tcBorders>
            <w:shd w:val="clear" w:color="auto" w:fill="auto"/>
            <w:noWrap/>
            <w:vAlign w:val="center"/>
            <w:hideMark/>
          </w:tcPr>
          <w:p w14:paraId="2D8940B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29.98</w:t>
            </w:r>
          </w:p>
        </w:tc>
        <w:tc>
          <w:tcPr>
            <w:tcW w:w="0" w:type="auto"/>
            <w:tcBorders>
              <w:top w:val="nil"/>
              <w:left w:val="nil"/>
              <w:bottom w:val="nil"/>
              <w:right w:val="nil"/>
            </w:tcBorders>
            <w:shd w:val="clear" w:color="auto" w:fill="auto"/>
            <w:noWrap/>
            <w:vAlign w:val="center"/>
            <w:hideMark/>
          </w:tcPr>
          <w:p w14:paraId="05845CE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38.72</w:t>
            </w:r>
          </w:p>
        </w:tc>
        <w:tc>
          <w:tcPr>
            <w:tcW w:w="0" w:type="auto"/>
            <w:tcBorders>
              <w:top w:val="nil"/>
              <w:left w:val="nil"/>
              <w:bottom w:val="nil"/>
              <w:right w:val="nil"/>
            </w:tcBorders>
            <w:shd w:val="clear" w:color="auto" w:fill="auto"/>
            <w:noWrap/>
            <w:vAlign w:val="center"/>
            <w:hideMark/>
          </w:tcPr>
          <w:p w14:paraId="41EC30F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62.44</w:t>
            </w:r>
          </w:p>
        </w:tc>
      </w:tr>
      <w:tr w:rsidR="00B50F1D" w:rsidRPr="00B50F1D" w14:paraId="378E07CC" w14:textId="77777777" w:rsidTr="005D3E3E">
        <w:trPr>
          <w:trHeight w:val="300"/>
          <w:jc w:val="center"/>
        </w:trPr>
        <w:tc>
          <w:tcPr>
            <w:tcW w:w="0" w:type="auto"/>
            <w:tcBorders>
              <w:top w:val="nil"/>
              <w:left w:val="nil"/>
              <w:right w:val="nil"/>
            </w:tcBorders>
            <w:shd w:val="clear" w:color="auto" w:fill="auto"/>
            <w:noWrap/>
            <w:hideMark/>
          </w:tcPr>
          <w:p w14:paraId="6870AB12"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D2</w:t>
            </w:r>
          </w:p>
        </w:tc>
        <w:tc>
          <w:tcPr>
            <w:tcW w:w="0" w:type="auto"/>
            <w:tcBorders>
              <w:top w:val="nil"/>
              <w:left w:val="nil"/>
              <w:right w:val="nil"/>
            </w:tcBorders>
            <w:shd w:val="clear" w:color="auto" w:fill="auto"/>
            <w:noWrap/>
            <w:vAlign w:val="center"/>
            <w:hideMark/>
          </w:tcPr>
          <w:p w14:paraId="455FBA9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42.01</w:t>
            </w:r>
          </w:p>
        </w:tc>
        <w:tc>
          <w:tcPr>
            <w:tcW w:w="0" w:type="auto"/>
            <w:tcBorders>
              <w:top w:val="nil"/>
              <w:left w:val="nil"/>
              <w:right w:val="nil"/>
            </w:tcBorders>
            <w:shd w:val="clear" w:color="auto" w:fill="auto"/>
            <w:noWrap/>
            <w:vAlign w:val="center"/>
            <w:hideMark/>
          </w:tcPr>
          <w:p w14:paraId="0485FFA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25.43</w:t>
            </w:r>
          </w:p>
        </w:tc>
        <w:tc>
          <w:tcPr>
            <w:tcW w:w="0" w:type="auto"/>
            <w:tcBorders>
              <w:top w:val="nil"/>
              <w:left w:val="nil"/>
              <w:right w:val="nil"/>
            </w:tcBorders>
            <w:shd w:val="clear" w:color="auto" w:fill="auto"/>
            <w:noWrap/>
            <w:vAlign w:val="center"/>
            <w:hideMark/>
          </w:tcPr>
          <w:p w14:paraId="23ADB0D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5.67</w:t>
            </w:r>
          </w:p>
        </w:tc>
        <w:tc>
          <w:tcPr>
            <w:tcW w:w="0" w:type="auto"/>
            <w:tcBorders>
              <w:top w:val="nil"/>
              <w:left w:val="nil"/>
              <w:right w:val="nil"/>
            </w:tcBorders>
            <w:shd w:val="clear" w:color="auto" w:fill="auto"/>
            <w:noWrap/>
            <w:vAlign w:val="center"/>
            <w:hideMark/>
          </w:tcPr>
          <w:p w14:paraId="5965F5A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9.39</w:t>
            </w:r>
          </w:p>
        </w:tc>
      </w:tr>
      <w:tr w:rsidR="00B50F1D" w:rsidRPr="00B50F1D" w14:paraId="4EDD3CF1" w14:textId="77777777" w:rsidTr="005D3E3E">
        <w:trPr>
          <w:trHeight w:val="300"/>
          <w:jc w:val="center"/>
        </w:trPr>
        <w:tc>
          <w:tcPr>
            <w:tcW w:w="0" w:type="auto"/>
            <w:tcBorders>
              <w:top w:val="nil"/>
              <w:left w:val="nil"/>
              <w:bottom w:val="single" w:sz="4" w:space="0" w:color="auto"/>
              <w:right w:val="nil"/>
            </w:tcBorders>
            <w:shd w:val="clear" w:color="auto" w:fill="auto"/>
            <w:noWrap/>
            <w:hideMark/>
          </w:tcPr>
          <w:p w14:paraId="5ECDE7D0"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D3</w:t>
            </w:r>
          </w:p>
        </w:tc>
        <w:tc>
          <w:tcPr>
            <w:tcW w:w="0" w:type="auto"/>
            <w:tcBorders>
              <w:top w:val="nil"/>
              <w:left w:val="nil"/>
              <w:bottom w:val="single" w:sz="4" w:space="0" w:color="auto"/>
              <w:right w:val="nil"/>
            </w:tcBorders>
            <w:shd w:val="clear" w:color="auto" w:fill="auto"/>
            <w:noWrap/>
            <w:vAlign w:val="center"/>
            <w:hideMark/>
          </w:tcPr>
          <w:p w14:paraId="1C42F41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single" w:sz="4" w:space="0" w:color="auto"/>
              <w:right w:val="nil"/>
            </w:tcBorders>
            <w:shd w:val="clear" w:color="auto" w:fill="auto"/>
            <w:noWrap/>
            <w:vAlign w:val="center"/>
            <w:hideMark/>
          </w:tcPr>
          <w:p w14:paraId="4F9A4AC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15.73</w:t>
            </w:r>
          </w:p>
        </w:tc>
        <w:tc>
          <w:tcPr>
            <w:tcW w:w="0" w:type="auto"/>
            <w:tcBorders>
              <w:top w:val="nil"/>
              <w:left w:val="nil"/>
              <w:bottom w:val="single" w:sz="4" w:space="0" w:color="auto"/>
              <w:right w:val="nil"/>
            </w:tcBorders>
            <w:shd w:val="clear" w:color="auto" w:fill="auto"/>
            <w:noWrap/>
            <w:vAlign w:val="center"/>
            <w:hideMark/>
          </w:tcPr>
          <w:p w14:paraId="6D329D6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single" w:sz="4" w:space="0" w:color="auto"/>
              <w:right w:val="nil"/>
            </w:tcBorders>
            <w:shd w:val="clear" w:color="auto" w:fill="auto"/>
            <w:noWrap/>
            <w:vAlign w:val="center"/>
            <w:hideMark/>
          </w:tcPr>
          <w:p w14:paraId="49CCBF8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8.28</w:t>
            </w:r>
          </w:p>
        </w:tc>
      </w:tr>
      <w:tr w:rsidR="00B50F1D" w:rsidRPr="00B50F1D" w14:paraId="585A7389"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1877D6A6"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Observations</w:t>
            </w:r>
          </w:p>
        </w:tc>
        <w:tc>
          <w:tcPr>
            <w:tcW w:w="0" w:type="auto"/>
            <w:tcBorders>
              <w:top w:val="single" w:sz="4" w:space="0" w:color="auto"/>
              <w:left w:val="nil"/>
              <w:bottom w:val="nil"/>
              <w:right w:val="nil"/>
            </w:tcBorders>
            <w:shd w:val="clear" w:color="auto" w:fill="auto"/>
            <w:noWrap/>
            <w:vAlign w:val="center"/>
            <w:hideMark/>
          </w:tcPr>
          <w:p w14:paraId="487263C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258.00</w:t>
            </w:r>
          </w:p>
        </w:tc>
        <w:tc>
          <w:tcPr>
            <w:tcW w:w="0" w:type="auto"/>
            <w:tcBorders>
              <w:top w:val="single" w:sz="4" w:space="0" w:color="auto"/>
              <w:left w:val="nil"/>
              <w:bottom w:val="nil"/>
              <w:right w:val="nil"/>
            </w:tcBorders>
            <w:shd w:val="clear" w:color="auto" w:fill="auto"/>
            <w:noWrap/>
            <w:vAlign w:val="center"/>
            <w:hideMark/>
          </w:tcPr>
          <w:p w14:paraId="676A184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258.00</w:t>
            </w:r>
          </w:p>
        </w:tc>
        <w:tc>
          <w:tcPr>
            <w:tcW w:w="0" w:type="auto"/>
            <w:tcBorders>
              <w:top w:val="single" w:sz="4" w:space="0" w:color="auto"/>
              <w:left w:val="nil"/>
              <w:bottom w:val="nil"/>
              <w:right w:val="nil"/>
            </w:tcBorders>
            <w:shd w:val="clear" w:color="auto" w:fill="auto"/>
            <w:noWrap/>
            <w:vAlign w:val="center"/>
            <w:hideMark/>
          </w:tcPr>
          <w:p w14:paraId="6C32B0A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257.00</w:t>
            </w:r>
          </w:p>
        </w:tc>
        <w:tc>
          <w:tcPr>
            <w:tcW w:w="0" w:type="auto"/>
            <w:tcBorders>
              <w:top w:val="single" w:sz="4" w:space="0" w:color="auto"/>
              <w:left w:val="nil"/>
              <w:bottom w:val="nil"/>
              <w:right w:val="nil"/>
            </w:tcBorders>
            <w:shd w:val="clear" w:color="auto" w:fill="auto"/>
            <w:noWrap/>
            <w:vAlign w:val="center"/>
            <w:hideMark/>
          </w:tcPr>
          <w:p w14:paraId="6FB0452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257.00</w:t>
            </w:r>
          </w:p>
        </w:tc>
      </w:tr>
      <w:tr w:rsidR="00B50F1D" w:rsidRPr="00B50F1D" w14:paraId="26716253" w14:textId="77777777" w:rsidTr="005D3E3E">
        <w:trPr>
          <w:trHeight w:val="300"/>
          <w:jc w:val="center"/>
        </w:trPr>
        <w:tc>
          <w:tcPr>
            <w:tcW w:w="0" w:type="auto"/>
            <w:tcBorders>
              <w:top w:val="nil"/>
              <w:left w:val="nil"/>
              <w:bottom w:val="nil"/>
              <w:right w:val="nil"/>
            </w:tcBorders>
            <w:shd w:val="clear" w:color="auto" w:fill="auto"/>
            <w:noWrap/>
            <w:hideMark/>
          </w:tcPr>
          <w:p w14:paraId="210F44C9"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Log-Likelihood</w:t>
            </w:r>
          </w:p>
        </w:tc>
        <w:tc>
          <w:tcPr>
            <w:tcW w:w="0" w:type="auto"/>
            <w:tcBorders>
              <w:top w:val="nil"/>
              <w:left w:val="nil"/>
              <w:bottom w:val="nil"/>
              <w:right w:val="nil"/>
            </w:tcBorders>
            <w:shd w:val="clear" w:color="auto" w:fill="auto"/>
            <w:noWrap/>
            <w:vAlign w:val="center"/>
            <w:hideMark/>
          </w:tcPr>
          <w:p w14:paraId="61CE89B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153.45</w:t>
            </w:r>
          </w:p>
        </w:tc>
        <w:tc>
          <w:tcPr>
            <w:tcW w:w="0" w:type="auto"/>
            <w:tcBorders>
              <w:top w:val="nil"/>
              <w:left w:val="nil"/>
              <w:bottom w:val="nil"/>
              <w:right w:val="nil"/>
            </w:tcBorders>
            <w:shd w:val="clear" w:color="auto" w:fill="auto"/>
            <w:noWrap/>
            <w:vAlign w:val="center"/>
            <w:hideMark/>
          </w:tcPr>
          <w:p w14:paraId="4B86223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230.52</w:t>
            </w:r>
          </w:p>
        </w:tc>
        <w:tc>
          <w:tcPr>
            <w:tcW w:w="0" w:type="auto"/>
            <w:tcBorders>
              <w:top w:val="nil"/>
              <w:left w:val="nil"/>
              <w:bottom w:val="nil"/>
              <w:right w:val="nil"/>
            </w:tcBorders>
            <w:shd w:val="clear" w:color="auto" w:fill="auto"/>
            <w:noWrap/>
            <w:vAlign w:val="center"/>
            <w:hideMark/>
          </w:tcPr>
          <w:p w14:paraId="73DCB2E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359.34</w:t>
            </w:r>
          </w:p>
        </w:tc>
        <w:tc>
          <w:tcPr>
            <w:tcW w:w="0" w:type="auto"/>
            <w:tcBorders>
              <w:top w:val="nil"/>
              <w:left w:val="nil"/>
              <w:bottom w:val="nil"/>
              <w:right w:val="nil"/>
            </w:tcBorders>
            <w:shd w:val="clear" w:color="auto" w:fill="auto"/>
            <w:noWrap/>
            <w:vAlign w:val="center"/>
            <w:hideMark/>
          </w:tcPr>
          <w:p w14:paraId="74C78CC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356.44</w:t>
            </w:r>
          </w:p>
        </w:tc>
      </w:tr>
      <w:tr w:rsidR="00B50F1D" w:rsidRPr="00B50F1D" w14:paraId="0185F855" w14:textId="77777777" w:rsidTr="005D3E3E">
        <w:trPr>
          <w:trHeight w:val="300"/>
          <w:jc w:val="center"/>
        </w:trPr>
        <w:tc>
          <w:tcPr>
            <w:tcW w:w="0" w:type="auto"/>
            <w:tcBorders>
              <w:top w:val="nil"/>
              <w:left w:val="nil"/>
              <w:bottom w:val="nil"/>
              <w:right w:val="nil"/>
            </w:tcBorders>
            <w:shd w:val="clear" w:color="auto" w:fill="auto"/>
            <w:noWrap/>
            <w:hideMark/>
          </w:tcPr>
          <w:p w14:paraId="66D5D980"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AIC</w:t>
            </w:r>
          </w:p>
        </w:tc>
        <w:tc>
          <w:tcPr>
            <w:tcW w:w="0" w:type="auto"/>
            <w:tcBorders>
              <w:top w:val="nil"/>
              <w:left w:val="nil"/>
              <w:bottom w:val="nil"/>
              <w:right w:val="nil"/>
            </w:tcBorders>
            <w:shd w:val="clear" w:color="auto" w:fill="auto"/>
            <w:noWrap/>
            <w:vAlign w:val="center"/>
            <w:hideMark/>
          </w:tcPr>
          <w:p w14:paraId="3505EB0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-298.90</w:t>
            </w:r>
          </w:p>
        </w:tc>
        <w:tc>
          <w:tcPr>
            <w:tcW w:w="0" w:type="auto"/>
            <w:tcBorders>
              <w:top w:val="nil"/>
              <w:left w:val="nil"/>
              <w:bottom w:val="nil"/>
              <w:right w:val="nil"/>
            </w:tcBorders>
            <w:shd w:val="clear" w:color="auto" w:fill="auto"/>
            <w:noWrap/>
            <w:vAlign w:val="center"/>
            <w:hideMark/>
          </w:tcPr>
          <w:p w14:paraId="3F172C9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-449.04</w:t>
            </w:r>
          </w:p>
        </w:tc>
        <w:tc>
          <w:tcPr>
            <w:tcW w:w="0" w:type="auto"/>
            <w:tcBorders>
              <w:top w:val="nil"/>
              <w:left w:val="nil"/>
              <w:bottom w:val="nil"/>
              <w:right w:val="nil"/>
            </w:tcBorders>
            <w:shd w:val="clear" w:color="auto" w:fill="auto"/>
            <w:noWrap/>
            <w:vAlign w:val="center"/>
            <w:hideMark/>
          </w:tcPr>
          <w:p w14:paraId="7717432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-706.67</w:t>
            </w:r>
          </w:p>
        </w:tc>
        <w:tc>
          <w:tcPr>
            <w:tcW w:w="0" w:type="auto"/>
            <w:tcBorders>
              <w:top w:val="nil"/>
              <w:left w:val="nil"/>
              <w:bottom w:val="nil"/>
              <w:right w:val="nil"/>
            </w:tcBorders>
            <w:shd w:val="clear" w:color="auto" w:fill="auto"/>
            <w:noWrap/>
            <w:vAlign w:val="center"/>
            <w:hideMark/>
          </w:tcPr>
          <w:p w14:paraId="5278DB6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-694.88</w:t>
            </w:r>
          </w:p>
        </w:tc>
      </w:tr>
      <w:tr w:rsidR="00B50F1D" w:rsidRPr="00B50F1D" w14:paraId="4DB4EAFA" w14:textId="77777777" w:rsidTr="005D3E3E">
        <w:trPr>
          <w:trHeight w:val="300"/>
          <w:jc w:val="center"/>
        </w:trPr>
        <w:tc>
          <w:tcPr>
            <w:tcW w:w="0" w:type="auto"/>
            <w:tcBorders>
              <w:top w:val="nil"/>
              <w:left w:val="nil"/>
              <w:right w:val="nil"/>
            </w:tcBorders>
            <w:shd w:val="clear" w:color="auto" w:fill="auto"/>
            <w:noWrap/>
            <w:hideMark/>
          </w:tcPr>
          <w:p w14:paraId="0B94764D"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BIC</w:t>
            </w:r>
          </w:p>
        </w:tc>
        <w:tc>
          <w:tcPr>
            <w:tcW w:w="0" w:type="auto"/>
            <w:tcBorders>
              <w:top w:val="nil"/>
              <w:left w:val="nil"/>
              <w:right w:val="nil"/>
            </w:tcBorders>
            <w:shd w:val="clear" w:color="auto" w:fill="auto"/>
            <w:noWrap/>
            <w:vAlign w:val="center"/>
            <w:hideMark/>
          </w:tcPr>
          <w:p w14:paraId="598B1BE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-284.69</w:t>
            </w:r>
          </w:p>
        </w:tc>
        <w:tc>
          <w:tcPr>
            <w:tcW w:w="0" w:type="auto"/>
            <w:tcBorders>
              <w:top w:val="nil"/>
              <w:left w:val="nil"/>
              <w:right w:val="nil"/>
            </w:tcBorders>
            <w:shd w:val="clear" w:color="auto" w:fill="auto"/>
            <w:noWrap/>
            <w:vAlign w:val="center"/>
            <w:hideMark/>
          </w:tcPr>
          <w:p w14:paraId="48BA272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-427.72</w:t>
            </w:r>
          </w:p>
        </w:tc>
        <w:tc>
          <w:tcPr>
            <w:tcW w:w="0" w:type="auto"/>
            <w:tcBorders>
              <w:top w:val="nil"/>
              <w:left w:val="nil"/>
              <w:right w:val="nil"/>
            </w:tcBorders>
            <w:shd w:val="clear" w:color="auto" w:fill="auto"/>
            <w:noWrap/>
            <w:vAlign w:val="center"/>
            <w:hideMark/>
          </w:tcPr>
          <w:p w14:paraId="287DB8A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-685.38</w:t>
            </w:r>
          </w:p>
        </w:tc>
        <w:tc>
          <w:tcPr>
            <w:tcW w:w="0" w:type="auto"/>
            <w:tcBorders>
              <w:top w:val="nil"/>
              <w:left w:val="nil"/>
              <w:right w:val="nil"/>
            </w:tcBorders>
            <w:shd w:val="clear" w:color="auto" w:fill="auto"/>
            <w:noWrap/>
            <w:vAlign w:val="center"/>
            <w:hideMark/>
          </w:tcPr>
          <w:p w14:paraId="7A208C5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-662.94</w:t>
            </w:r>
          </w:p>
        </w:tc>
      </w:tr>
      <w:tr w:rsidR="00B50F1D" w:rsidRPr="00B50F1D" w14:paraId="4258741E" w14:textId="77777777" w:rsidTr="005D3E3E">
        <w:trPr>
          <w:trHeight w:val="300"/>
          <w:jc w:val="center"/>
        </w:trPr>
        <w:tc>
          <w:tcPr>
            <w:tcW w:w="0" w:type="auto"/>
            <w:tcBorders>
              <w:top w:val="nil"/>
              <w:left w:val="nil"/>
              <w:bottom w:val="single" w:sz="4" w:space="0" w:color="auto"/>
              <w:right w:val="nil"/>
            </w:tcBorders>
            <w:shd w:val="clear" w:color="auto" w:fill="auto"/>
            <w:noWrap/>
            <w:hideMark/>
          </w:tcPr>
          <w:p w14:paraId="30A75EF3"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DIC</w:t>
            </w:r>
          </w:p>
        </w:tc>
        <w:tc>
          <w:tcPr>
            <w:tcW w:w="0" w:type="auto"/>
            <w:tcBorders>
              <w:top w:val="nil"/>
              <w:left w:val="nil"/>
              <w:bottom w:val="single" w:sz="4" w:space="0" w:color="auto"/>
              <w:right w:val="nil"/>
            </w:tcBorders>
            <w:shd w:val="clear" w:color="auto" w:fill="auto"/>
            <w:noWrap/>
            <w:vAlign w:val="center"/>
            <w:hideMark/>
          </w:tcPr>
          <w:p w14:paraId="1FF259D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-296.68</w:t>
            </w:r>
          </w:p>
        </w:tc>
        <w:tc>
          <w:tcPr>
            <w:tcW w:w="0" w:type="auto"/>
            <w:tcBorders>
              <w:top w:val="nil"/>
              <w:left w:val="nil"/>
              <w:bottom w:val="single" w:sz="4" w:space="0" w:color="auto"/>
              <w:right w:val="nil"/>
            </w:tcBorders>
            <w:shd w:val="clear" w:color="auto" w:fill="auto"/>
            <w:noWrap/>
            <w:vAlign w:val="center"/>
            <w:hideMark/>
          </w:tcPr>
          <w:p w14:paraId="2F6E0EA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-450.34</w:t>
            </w:r>
          </w:p>
        </w:tc>
        <w:tc>
          <w:tcPr>
            <w:tcW w:w="0" w:type="auto"/>
            <w:tcBorders>
              <w:top w:val="nil"/>
              <w:left w:val="nil"/>
              <w:bottom w:val="single" w:sz="4" w:space="0" w:color="auto"/>
              <w:right w:val="nil"/>
            </w:tcBorders>
            <w:shd w:val="clear" w:color="auto" w:fill="auto"/>
            <w:noWrap/>
            <w:vAlign w:val="center"/>
            <w:hideMark/>
          </w:tcPr>
          <w:p w14:paraId="2C34422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-708.08</w:t>
            </w:r>
          </w:p>
        </w:tc>
        <w:tc>
          <w:tcPr>
            <w:tcW w:w="0" w:type="auto"/>
            <w:tcBorders>
              <w:top w:val="nil"/>
              <w:left w:val="nil"/>
              <w:bottom w:val="single" w:sz="4" w:space="0" w:color="auto"/>
              <w:right w:val="nil"/>
            </w:tcBorders>
            <w:shd w:val="clear" w:color="auto" w:fill="auto"/>
            <w:noWrap/>
            <w:vAlign w:val="center"/>
            <w:hideMark/>
          </w:tcPr>
          <w:p w14:paraId="6BDAC22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-647.98</w:t>
            </w:r>
          </w:p>
        </w:tc>
      </w:tr>
    </w:tbl>
    <w:p w14:paraId="566B843B" w14:textId="77777777" w:rsidR="00B50F1D" w:rsidRPr="00B50F1D" w:rsidRDefault="00B50F1D" w:rsidP="00B50F1D">
      <w:pPr>
        <w:rPr>
          <w:rFonts w:eastAsia="Calibri"/>
          <w:sz w:val="24"/>
          <w:szCs w:val="24"/>
        </w:rPr>
      </w:pPr>
      <w:r w:rsidRPr="00B50F1D">
        <w:rPr>
          <w:rFonts w:eastAsia="Calibri"/>
          <w:sz w:val="24"/>
          <w:szCs w:val="24"/>
        </w:rPr>
        <w:br w:type="page"/>
      </w:r>
    </w:p>
    <w:p w14:paraId="75BCA365" w14:textId="77777777" w:rsidR="00B50F1D" w:rsidRPr="00B50F1D" w:rsidRDefault="00B50F1D" w:rsidP="00B50F1D">
      <w:pPr>
        <w:spacing w:after="200" w:line="276" w:lineRule="auto"/>
        <w:jc w:val="center"/>
        <w:rPr>
          <w:rFonts w:eastAsia="Calibri"/>
          <w:sz w:val="24"/>
          <w:szCs w:val="24"/>
        </w:rPr>
      </w:pPr>
      <w:r w:rsidRPr="00B50F1D">
        <w:rPr>
          <w:rFonts w:eastAsia="Calibri"/>
          <w:sz w:val="24"/>
          <w:szCs w:val="24"/>
        </w:rPr>
        <w:lastRenderedPageBreak/>
        <w:t>Table 3</w:t>
      </w:r>
    </w:p>
    <w:p w14:paraId="60D56355" w14:textId="77777777" w:rsidR="00B50F1D" w:rsidRPr="00B50F1D" w:rsidRDefault="00B50F1D" w:rsidP="00B50F1D">
      <w:pPr>
        <w:spacing w:after="200" w:line="276" w:lineRule="auto"/>
        <w:jc w:val="center"/>
        <w:rPr>
          <w:rFonts w:eastAsia="Calibri"/>
          <w:sz w:val="24"/>
          <w:szCs w:val="24"/>
        </w:rPr>
      </w:pPr>
      <w:r w:rsidRPr="00B50F1D">
        <w:rPr>
          <w:rFonts w:eastAsia="Calibri"/>
          <w:sz w:val="24"/>
          <w:szCs w:val="24"/>
        </w:rPr>
        <w:t>Northeast Univariate Markov-Switching Models</w:t>
      </w:r>
    </w:p>
    <w:tbl>
      <w:tblPr>
        <w:tblW w:w="0" w:type="auto"/>
        <w:jc w:val="center"/>
        <w:tblLook w:val="04A0" w:firstRow="1" w:lastRow="0" w:firstColumn="1" w:lastColumn="0" w:noHBand="0" w:noVBand="1"/>
      </w:tblPr>
      <w:tblGrid>
        <w:gridCol w:w="1736"/>
        <w:gridCol w:w="956"/>
        <w:gridCol w:w="956"/>
        <w:gridCol w:w="956"/>
        <w:gridCol w:w="956"/>
      </w:tblGrid>
      <w:tr w:rsidR="00B50F1D" w:rsidRPr="00B50F1D" w14:paraId="0648B60E" w14:textId="77777777" w:rsidTr="005D3E3E">
        <w:trPr>
          <w:trHeight w:val="300"/>
          <w:jc w:val="center"/>
        </w:trPr>
        <w:tc>
          <w:tcPr>
            <w:tcW w:w="0" w:type="auto"/>
            <w:tcBorders>
              <w:top w:val="single" w:sz="4" w:space="0" w:color="auto"/>
              <w:left w:val="nil"/>
              <w:bottom w:val="single" w:sz="4" w:space="0" w:color="auto"/>
              <w:right w:val="nil"/>
            </w:tcBorders>
            <w:shd w:val="clear" w:color="auto" w:fill="auto"/>
            <w:noWrap/>
            <w:vAlign w:val="bottom"/>
            <w:hideMark/>
          </w:tcPr>
          <w:p w14:paraId="7550A7A4" w14:textId="77777777" w:rsidR="00B50F1D" w:rsidRPr="00B50F1D" w:rsidRDefault="00B50F1D" w:rsidP="00B50F1D">
            <w:pPr>
              <w:spacing w:after="0" w:line="240" w:lineRule="auto"/>
              <w:rPr>
                <w:rFonts w:eastAsia="Times New Roman"/>
                <w:sz w:val="24"/>
                <w:szCs w:val="24"/>
              </w:rPr>
            </w:pPr>
          </w:p>
        </w:tc>
        <w:tc>
          <w:tcPr>
            <w:tcW w:w="0" w:type="auto"/>
            <w:tcBorders>
              <w:top w:val="single" w:sz="4" w:space="0" w:color="auto"/>
              <w:left w:val="nil"/>
              <w:bottom w:val="single" w:sz="4" w:space="0" w:color="auto"/>
              <w:right w:val="nil"/>
            </w:tcBorders>
            <w:shd w:val="clear" w:color="auto" w:fill="auto"/>
            <w:noWrap/>
            <w:vAlign w:val="bottom"/>
            <w:hideMark/>
          </w:tcPr>
          <w:p w14:paraId="323C30C5"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MS2</w:t>
            </w:r>
          </w:p>
        </w:tc>
        <w:tc>
          <w:tcPr>
            <w:tcW w:w="0" w:type="auto"/>
            <w:tcBorders>
              <w:top w:val="single" w:sz="4" w:space="0" w:color="auto"/>
              <w:left w:val="nil"/>
              <w:bottom w:val="single" w:sz="4" w:space="0" w:color="auto"/>
              <w:right w:val="nil"/>
            </w:tcBorders>
            <w:shd w:val="clear" w:color="auto" w:fill="auto"/>
            <w:noWrap/>
            <w:vAlign w:val="bottom"/>
            <w:hideMark/>
          </w:tcPr>
          <w:p w14:paraId="4A27C883"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MS3</w:t>
            </w:r>
          </w:p>
        </w:tc>
        <w:tc>
          <w:tcPr>
            <w:tcW w:w="0" w:type="auto"/>
            <w:tcBorders>
              <w:top w:val="single" w:sz="4" w:space="0" w:color="auto"/>
              <w:left w:val="nil"/>
              <w:bottom w:val="single" w:sz="4" w:space="0" w:color="auto"/>
              <w:right w:val="nil"/>
            </w:tcBorders>
            <w:shd w:val="clear" w:color="auto" w:fill="auto"/>
            <w:noWrap/>
            <w:vAlign w:val="bottom"/>
            <w:hideMark/>
          </w:tcPr>
          <w:p w14:paraId="73442659"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MS2AR</w:t>
            </w:r>
          </w:p>
        </w:tc>
        <w:tc>
          <w:tcPr>
            <w:tcW w:w="0" w:type="auto"/>
            <w:tcBorders>
              <w:top w:val="single" w:sz="4" w:space="0" w:color="auto"/>
              <w:left w:val="nil"/>
              <w:bottom w:val="single" w:sz="4" w:space="0" w:color="auto"/>
              <w:right w:val="nil"/>
            </w:tcBorders>
            <w:shd w:val="clear" w:color="auto" w:fill="auto"/>
            <w:noWrap/>
            <w:vAlign w:val="bottom"/>
            <w:hideMark/>
          </w:tcPr>
          <w:p w14:paraId="18801F98"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MS3AR</w:t>
            </w:r>
          </w:p>
        </w:tc>
      </w:tr>
      <w:tr w:rsidR="00B50F1D" w:rsidRPr="00B50F1D" w14:paraId="0ABDB6CA"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hideMark/>
          </w:tcPr>
          <w:p w14:paraId="2E7CF487" w14:textId="77777777" w:rsidR="00B50F1D" w:rsidRPr="00B50F1D" w:rsidRDefault="00B50F1D" w:rsidP="00B50F1D">
            <w:pPr>
              <w:spacing w:after="0" w:line="240" w:lineRule="auto"/>
              <w:rPr>
                <w:rFonts w:eastAsia="Times New Roman"/>
                <w:i/>
                <w:sz w:val="24"/>
                <w:szCs w:val="24"/>
              </w:rPr>
            </w:pPr>
            <w:r w:rsidRPr="00B50F1D">
              <w:rPr>
                <w:rFonts w:eastAsia="Calibri"/>
                <w:i/>
                <w:sz w:val="24"/>
                <w:szCs w:val="24"/>
              </w:rPr>
              <w:t>Regime 1</w:t>
            </w:r>
          </w:p>
        </w:tc>
      </w:tr>
      <w:tr w:rsidR="00B50F1D" w:rsidRPr="00B50F1D" w14:paraId="0DB6B1FF"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2B1A0B65" w14:textId="77777777" w:rsidR="00B50F1D" w:rsidRPr="00B50F1D" w:rsidRDefault="00B50F1D" w:rsidP="00B50F1D">
            <w:pPr>
              <w:spacing w:after="0" w:line="240" w:lineRule="auto"/>
              <w:rPr>
                <w:rFonts w:eastAsia="Times New Roman"/>
                <w:color w:val="000000"/>
                <w:sz w:val="24"/>
                <w:szCs w:val="24"/>
              </w:rPr>
            </w:pPr>
            <m:oMath>
              <m:r>
                <w:rPr>
                  <w:rFonts w:ascii="Cambria Math" w:eastAsia="Times New Roman" w:hAnsi="Cambria Math"/>
                  <w:color w:val="000000"/>
                  <w:sz w:val="24"/>
                  <w:szCs w:val="24"/>
                </w:rPr>
                <m:t>U</m:t>
              </m:r>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S</m:t>
                  </m:r>
                </m:e>
                <m:sub>
                  <m:r>
                    <w:rPr>
                      <w:rFonts w:ascii="Cambria Math" w:eastAsia="Times New Roman" w:hAnsi="Cambria Math"/>
                      <w:color w:val="000000"/>
                      <w:sz w:val="24"/>
                      <w:szCs w:val="24"/>
                    </w:rPr>
                    <m:t>t-1</m:t>
                  </m:r>
                </m:sub>
              </m:sSub>
            </m:oMath>
            <w:r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2133FB6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623FA25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3E439EE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0.94</w:t>
            </w:r>
          </w:p>
        </w:tc>
        <w:tc>
          <w:tcPr>
            <w:tcW w:w="0" w:type="auto"/>
            <w:tcBorders>
              <w:top w:val="single" w:sz="4" w:space="0" w:color="auto"/>
              <w:left w:val="nil"/>
              <w:bottom w:val="nil"/>
              <w:right w:val="nil"/>
            </w:tcBorders>
            <w:shd w:val="clear" w:color="auto" w:fill="auto"/>
            <w:noWrap/>
            <w:vAlign w:val="center"/>
            <w:hideMark/>
          </w:tcPr>
          <w:p w14:paraId="4332C4D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0.94</w:t>
            </w:r>
          </w:p>
        </w:tc>
      </w:tr>
      <w:tr w:rsidR="00B50F1D" w:rsidRPr="00B50F1D" w14:paraId="1510DB9C" w14:textId="77777777" w:rsidTr="005D3E3E">
        <w:trPr>
          <w:trHeight w:val="300"/>
          <w:jc w:val="center"/>
        </w:trPr>
        <w:tc>
          <w:tcPr>
            <w:tcW w:w="0" w:type="auto"/>
            <w:tcBorders>
              <w:top w:val="nil"/>
              <w:left w:val="nil"/>
              <w:bottom w:val="nil"/>
              <w:right w:val="nil"/>
            </w:tcBorders>
            <w:shd w:val="clear" w:color="auto" w:fill="auto"/>
            <w:noWrap/>
            <w:hideMark/>
          </w:tcPr>
          <w:p w14:paraId="34D72C19"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3DC3983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13B36DB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6584E95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c>
          <w:tcPr>
            <w:tcW w:w="0" w:type="auto"/>
            <w:tcBorders>
              <w:top w:val="nil"/>
              <w:left w:val="nil"/>
              <w:bottom w:val="nil"/>
              <w:right w:val="nil"/>
            </w:tcBorders>
            <w:shd w:val="clear" w:color="auto" w:fill="auto"/>
            <w:noWrap/>
            <w:vAlign w:val="center"/>
            <w:hideMark/>
          </w:tcPr>
          <w:p w14:paraId="36F94D2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r>
      <w:tr w:rsidR="00B50F1D" w:rsidRPr="00B50F1D" w14:paraId="352D8FC6" w14:textId="77777777" w:rsidTr="005D3E3E">
        <w:trPr>
          <w:trHeight w:val="300"/>
          <w:jc w:val="center"/>
        </w:trPr>
        <w:tc>
          <w:tcPr>
            <w:tcW w:w="0" w:type="auto"/>
            <w:tcBorders>
              <w:top w:val="nil"/>
              <w:left w:val="nil"/>
              <w:bottom w:val="nil"/>
              <w:right w:val="nil"/>
            </w:tcBorders>
            <w:shd w:val="clear" w:color="auto" w:fill="auto"/>
            <w:noWrap/>
            <w:hideMark/>
          </w:tcPr>
          <w:p w14:paraId="42C5A35F"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33195A1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0.93</w:t>
            </w:r>
          </w:p>
        </w:tc>
        <w:tc>
          <w:tcPr>
            <w:tcW w:w="0" w:type="auto"/>
            <w:tcBorders>
              <w:top w:val="nil"/>
              <w:left w:val="nil"/>
              <w:bottom w:val="nil"/>
              <w:right w:val="nil"/>
            </w:tcBorders>
            <w:shd w:val="clear" w:color="auto" w:fill="auto"/>
            <w:noWrap/>
            <w:vAlign w:val="center"/>
            <w:hideMark/>
          </w:tcPr>
          <w:p w14:paraId="6EA1F16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0.89</w:t>
            </w:r>
          </w:p>
        </w:tc>
        <w:tc>
          <w:tcPr>
            <w:tcW w:w="0" w:type="auto"/>
            <w:tcBorders>
              <w:top w:val="nil"/>
              <w:left w:val="nil"/>
              <w:bottom w:val="nil"/>
              <w:right w:val="nil"/>
            </w:tcBorders>
            <w:shd w:val="clear" w:color="auto" w:fill="auto"/>
            <w:noWrap/>
            <w:vAlign w:val="center"/>
            <w:hideMark/>
          </w:tcPr>
          <w:p w14:paraId="55B60BF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0.07</w:t>
            </w:r>
          </w:p>
        </w:tc>
        <w:tc>
          <w:tcPr>
            <w:tcW w:w="0" w:type="auto"/>
            <w:tcBorders>
              <w:top w:val="nil"/>
              <w:left w:val="nil"/>
              <w:bottom w:val="nil"/>
              <w:right w:val="nil"/>
            </w:tcBorders>
            <w:shd w:val="clear" w:color="auto" w:fill="auto"/>
            <w:noWrap/>
            <w:vAlign w:val="center"/>
            <w:hideMark/>
          </w:tcPr>
          <w:p w14:paraId="43F550E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0.07</w:t>
            </w:r>
          </w:p>
        </w:tc>
      </w:tr>
      <w:tr w:rsidR="00B50F1D" w:rsidRPr="00B50F1D" w14:paraId="6D093AB7" w14:textId="77777777" w:rsidTr="005D3E3E">
        <w:trPr>
          <w:trHeight w:val="300"/>
          <w:jc w:val="center"/>
        </w:trPr>
        <w:tc>
          <w:tcPr>
            <w:tcW w:w="0" w:type="auto"/>
            <w:tcBorders>
              <w:top w:val="nil"/>
              <w:left w:val="nil"/>
              <w:bottom w:val="nil"/>
              <w:right w:val="nil"/>
            </w:tcBorders>
            <w:shd w:val="clear" w:color="auto" w:fill="auto"/>
            <w:noWrap/>
            <w:hideMark/>
          </w:tcPr>
          <w:p w14:paraId="2FF18150"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5EFAA07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c>
          <w:tcPr>
            <w:tcW w:w="0" w:type="auto"/>
            <w:tcBorders>
              <w:top w:val="nil"/>
              <w:left w:val="nil"/>
              <w:bottom w:val="nil"/>
              <w:right w:val="nil"/>
            </w:tcBorders>
            <w:shd w:val="clear" w:color="auto" w:fill="auto"/>
            <w:noWrap/>
            <w:vAlign w:val="center"/>
            <w:hideMark/>
          </w:tcPr>
          <w:p w14:paraId="4FEBF81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0.02</w:t>
            </w:r>
          </w:p>
        </w:tc>
        <w:tc>
          <w:tcPr>
            <w:tcW w:w="0" w:type="auto"/>
            <w:tcBorders>
              <w:top w:val="nil"/>
              <w:left w:val="nil"/>
              <w:bottom w:val="nil"/>
              <w:right w:val="nil"/>
            </w:tcBorders>
            <w:shd w:val="clear" w:color="auto" w:fill="auto"/>
            <w:noWrap/>
            <w:vAlign w:val="center"/>
            <w:hideMark/>
          </w:tcPr>
          <w:p w14:paraId="2A99369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c>
          <w:tcPr>
            <w:tcW w:w="0" w:type="auto"/>
            <w:tcBorders>
              <w:top w:val="nil"/>
              <w:left w:val="nil"/>
              <w:bottom w:val="nil"/>
              <w:right w:val="nil"/>
            </w:tcBorders>
            <w:shd w:val="clear" w:color="auto" w:fill="auto"/>
            <w:noWrap/>
            <w:vAlign w:val="center"/>
            <w:hideMark/>
          </w:tcPr>
          <w:p w14:paraId="52CF129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0.04</w:t>
            </w:r>
          </w:p>
        </w:tc>
      </w:tr>
      <w:tr w:rsidR="00B50F1D" w:rsidRPr="00B50F1D" w14:paraId="1A11245D" w14:textId="77777777" w:rsidTr="005D3E3E">
        <w:trPr>
          <w:trHeight w:val="300"/>
          <w:jc w:val="center"/>
        </w:trPr>
        <w:tc>
          <w:tcPr>
            <w:tcW w:w="0" w:type="auto"/>
            <w:tcBorders>
              <w:top w:val="nil"/>
              <w:left w:val="nil"/>
              <w:bottom w:val="nil"/>
              <w:right w:val="nil"/>
            </w:tcBorders>
            <w:shd w:val="clear" w:color="auto" w:fill="auto"/>
            <w:noWrap/>
            <w:hideMark/>
          </w:tcPr>
          <w:p w14:paraId="161E7518"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297EE1E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0.22</w:t>
            </w:r>
          </w:p>
        </w:tc>
        <w:tc>
          <w:tcPr>
            <w:tcW w:w="0" w:type="auto"/>
            <w:tcBorders>
              <w:top w:val="nil"/>
              <w:left w:val="nil"/>
              <w:bottom w:val="nil"/>
              <w:right w:val="nil"/>
            </w:tcBorders>
            <w:shd w:val="clear" w:color="auto" w:fill="auto"/>
            <w:noWrap/>
            <w:vAlign w:val="center"/>
            <w:hideMark/>
          </w:tcPr>
          <w:p w14:paraId="03AC252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0.21</w:t>
            </w:r>
          </w:p>
        </w:tc>
        <w:tc>
          <w:tcPr>
            <w:tcW w:w="0" w:type="auto"/>
            <w:tcBorders>
              <w:top w:val="nil"/>
              <w:left w:val="nil"/>
              <w:bottom w:val="nil"/>
              <w:right w:val="nil"/>
            </w:tcBorders>
            <w:shd w:val="clear" w:color="auto" w:fill="auto"/>
            <w:noWrap/>
            <w:vAlign w:val="center"/>
            <w:hideMark/>
          </w:tcPr>
          <w:p w14:paraId="7E19BCF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0.15</w:t>
            </w:r>
          </w:p>
        </w:tc>
        <w:tc>
          <w:tcPr>
            <w:tcW w:w="0" w:type="auto"/>
            <w:tcBorders>
              <w:top w:val="nil"/>
              <w:left w:val="nil"/>
              <w:bottom w:val="nil"/>
              <w:right w:val="nil"/>
            </w:tcBorders>
            <w:shd w:val="clear" w:color="auto" w:fill="auto"/>
            <w:noWrap/>
            <w:vAlign w:val="center"/>
            <w:hideMark/>
          </w:tcPr>
          <w:p w14:paraId="3C72C58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0.15</w:t>
            </w:r>
          </w:p>
        </w:tc>
      </w:tr>
      <w:tr w:rsidR="00B50F1D" w:rsidRPr="00B50F1D" w14:paraId="6546DCC2"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1EACC679" w14:textId="77777777" w:rsidR="00B50F1D" w:rsidRPr="00B50F1D" w:rsidRDefault="00B50F1D" w:rsidP="00B50F1D">
            <w:pPr>
              <w:spacing w:after="0" w:line="240" w:lineRule="auto"/>
              <w:rPr>
                <w:rFonts w:eastAsia="Times New Roman"/>
                <w:i/>
                <w:color w:val="000000"/>
                <w:sz w:val="24"/>
                <w:szCs w:val="24"/>
              </w:rPr>
            </w:pPr>
            <w:r w:rsidRPr="00B50F1D">
              <w:rPr>
                <w:rFonts w:eastAsia="Calibri"/>
                <w:i/>
                <w:sz w:val="24"/>
                <w:szCs w:val="24"/>
              </w:rPr>
              <w:t>Regime 2</w:t>
            </w:r>
          </w:p>
        </w:tc>
      </w:tr>
      <w:tr w:rsidR="00B50F1D" w:rsidRPr="00B50F1D" w14:paraId="0C97024C"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6A8FDF48" w14:textId="77777777" w:rsidR="00B50F1D" w:rsidRPr="00B50F1D" w:rsidRDefault="00B50F1D" w:rsidP="00B50F1D">
            <w:pPr>
              <w:spacing w:after="0" w:line="240" w:lineRule="auto"/>
              <w:rPr>
                <w:rFonts w:eastAsia="Times New Roman"/>
                <w:color w:val="000000"/>
                <w:sz w:val="24"/>
                <w:szCs w:val="24"/>
              </w:rPr>
            </w:pPr>
            <m:oMath>
              <m:r>
                <w:rPr>
                  <w:rFonts w:ascii="Cambria Math" w:eastAsia="Times New Roman" w:hAnsi="Cambria Math"/>
                  <w:color w:val="000000"/>
                  <w:sz w:val="24"/>
                  <w:szCs w:val="24"/>
                </w:rPr>
                <m:t>U</m:t>
              </m:r>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S</m:t>
                  </m:r>
                </m:e>
                <m:sub>
                  <m:r>
                    <w:rPr>
                      <w:rFonts w:ascii="Cambria Math" w:eastAsia="Times New Roman" w:hAnsi="Cambria Math"/>
                      <w:color w:val="000000"/>
                      <w:sz w:val="24"/>
                      <w:szCs w:val="24"/>
                    </w:rPr>
                    <m:t>t-1</m:t>
                  </m:r>
                </m:sub>
              </m:sSub>
            </m:oMath>
            <w:r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2C75C11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3C7CA94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1577E00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0.61</w:t>
            </w:r>
          </w:p>
        </w:tc>
        <w:tc>
          <w:tcPr>
            <w:tcW w:w="0" w:type="auto"/>
            <w:tcBorders>
              <w:top w:val="single" w:sz="4" w:space="0" w:color="auto"/>
              <w:left w:val="nil"/>
              <w:bottom w:val="nil"/>
              <w:right w:val="nil"/>
            </w:tcBorders>
            <w:shd w:val="clear" w:color="auto" w:fill="auto"/>
            <w:noWrap/>
            <w:vAlign w:val="center"/>
            <w:hideMark/>
          </w:tcPr>
          <w:p w14:paraId="32DABD2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0.72</w:t>
            </w:r>
          </w:p>
        </w:tc>
      </w:tr>
      <w:tr w:rsidR="00B50F1D" w:rsidRPr="00B50F1D" w14:paraId="009DD491" w14:textId="77777777" w:rsidTr="005D3E3E">
        <w:trPr>
          <w:trHeight w:val="300"/>
          <w:jc w:val="center"/>
        </w:trPr>
        <w:tc>
          <w:tcPr>
            <w:tcW w:w="0" w:type="auto"/>
            <w:tcBorders>
              <w:top w:val="nil"/>
              <w:left w:val="nil"/>
              <w:bottom w:val="nil"/>
              <w:right w:val="nil"/>
            </w:tcBorders>
            <w:shd w:val="clear" w:color="auto" w:fill="auto"/>
            <w:noWrap/>
            <w:hideMark/>
          </w:tcPr>
          <w:p w14:paraId="183FC686"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61AFBCE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2DEEA29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6DF547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0.23</w:t>
            </w:r>
          </w:p>
        </w:tc>
        <w:tc>
          <w:tcPr>
            <w:tcW w:w="0" w:type="auto"/>
            <w:tcBorders>
              <w:top w:val="nil"/>
              <w:left w:val="nil"/>
              <w:bottom w:val="nil"/>
              <w:right w:val="nil"/>
            </w:tcBorders>
            <w:shd w:val="clear" w:color="auto" w:fill="auto"/>
            <w:noWrap/>
            <w:vAlign w:val="center"/>
            <w:hideMark/>
          </w:tcPr>
          <w:p w14:paraId="30B73CA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0.19</w:t>
            </w:r>
          </w:p>
        </w:tc>
      </w:tr>
      <w:tr w:rsidR="00B50F1D" w:rsidRPr="00B50F1D" w14:paraId="380BF290" w14:textId="77777777" w:rsidTr="005D3E3E">
        <w:trPr>
          <w:trHeight w:val="300"/>
          <w:jc w:val="center"/>
        </w:trPr>
        <w:tc>
          <w:tcPr>
            <w:tcW w:w="0" w:type="auto"/>
            <w:tcBorders>
              <w:top w:val="nil"/>
              <w:left w:val="nil"/>
              <w:bottom w:val="nil"/>
              <w:right w:val="nil"/>
            </w:tcBorders>
            <w:shd w:val="clear" w:color="auto" w:fill="auto"/>
            <w:noWrap/>
            <w:hideMark/>
          </w:tcPr>
          <w:p w14:paraId="41F07D9E"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420FE00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1.64</w:t>
            </w:r>
          </w:p>
        </w:tc>
        <w:tc>
          <w:tcPr>
            <w:tcW w:w="0" w:type="auto"/>
            <w:tcBorders>
              <w:top w:val="nil"/>
              <w:left w:val="nil"/>
              <w:bottom w:val="nil"/>
              <w:right w:val="nil"/>
            </w:tcBorders>
            <w:shd w:val="clear" w:color="auto" w:fill="auto"/>
            <w:noWrap/>
            <w:vAlign w:val="center"/>
            <w:hideMark/>
          </w:tcPr>
          <w:p w14:paraId="76134D3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1.40</w:t>
            </w:r>
          </w:p>
        </w:tc>
        <w:tc>
          <w:tcPr>
            <w:tcW w:w="0" w:type="auto"/>
            <w:tcBorders>
              <w:top w:val="nil"/>
              <w:left w:val="nil"/>
              <w:bottom w:val="nil"/>
              <w:right w:val="nil"/>
            </w:tcBorders>
            <w:shd w:val="clear" w:color="auto" w:fill="auto"/>
            <w:noWrap/>
            <w:vAlign w:val="center"/>
            <w:hideMark/>
          </w:tcPr>
          <w:p w14:paraId="5D86A99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0.67</w:t>
            </w:r>
          </w:p>
        </w:tc>
        <w:tc>
          <w:tcPr>
            <w:tcW w:w="0" w:type="auto"/>
            <w:tcBorders>
              <w:top w:val="nil"/>
              <w:left w:val="nil"/>
              <w:bottom w:val="nil"/>
              <w:right w:val="nil"/>
            </w:tcBorders>
            <w:shd w:val="clear" w:color="auto" w:fill="auto"/>
            <w:noWrap/>
            <w:vAlign w:val="center"/>
            <w:hideMark/>
          </w:tcPr>
          <w:p w14:paraId="1225326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0.49</w:t>
            </w:r>
          </w:p>
        </w:tc>
      </w:tr>
      <w:tr w:rsidR="00B50F1D" w:rsidRPr="00B50F1D" w14:paraId="34DE9A01" w14:textId="77777777" w:rsidTr="005D3E3E">
        <w:trPr>
          <w:trHeight w:val="300"/>
          <w:jc w:val="center"/>
        </w:trPr>
        <w:tc>
          <w:tcPr>
            <w:tcW w:w="0" w:type="auto"/>
            <w:tcBorders>
              <w:top w:val="nil"/>
              <w:left w:val="nil"/>
              <w:bottom w:val="nil"/>
              <w:right w:val="nil"/>
            </w:tcBorders>
            <w:shd w:val="clear" w:color="auto" w:fill="auto"/>
            <w:noWrap/>
            <w:hideMark/>
          </w:tcPr>
          <w:p w14:paraId="3D6540ED"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707889E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0.04</w:t>
            </w:r>
          </w:p>
        </w:tc>
        <w:tc>
          <w:tcPr>
            <w:tcW w:w="0" w:type="auto"/>
            <w:tcBorders>
              <w:top w:val="nil"/>
              <w:left w:val="nil"/>
              <w:bottom w:val="nil"/>
              <w:right w:val="nil"/>
            </w:tcBorders>
            <w:shd w:val="clear" w:color="auto" w:fill="auto"/>
            <w:noWrap/>
            <w:vAlign w:val="center"/>
            <w:hideMark/>
          </w:tcPr>
          <w:p w14:paraId="5B50546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c>
          <w:tcPr>
            <w:tcW w:w="0" w:type="auto"/>
            <w:tcBorders>
              <w:top w:val="nil"/>
              <w:left w:val="nil"/>
              <w:bottom w:val="nil"/>
              <w:right w:val="nil"/>
            </w:tcBorders>
            <w:shd w:val="clear" w:color="auto" w:fill="auto"/>
            <w:noWrap/>
            <w:vAlign w:val="center"/>
            <w:hideMark/>
          </w:tcPr>
          <w:p w14:paraId="33C24D9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0.40</w:t>
            </w:r>
          </w:p>
        </w:tc>
        <w:tc>
          <w:tcPr>
            <w:tcW w:w="0" w:type="auto"/>
            <w:tcBorders>
              <w:top w:val="nil"/>
              <w:left w:val="nil"/>
              <w:bottom w:val="nil"/>
              <w:right w:val="nil"/>
            </w:tcBorders>
            <w:shd w:val="clear" w:color="auto" w:fill="auto"/>
            <w:noWrap/>
            <w:vAlign w:val="center"/>
            <w:hideMark/>
          </w:tcPr>
          <w:p w14:paraId="40270B0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0.35</w:t>
            </w:r>
          </w:p>
        </w:tc>
      </w:tr>
      <w:tr w:rsidR="00B50F1D" w:rsidRPr="00B50F1D" w14:paraId="0855F370" w14:textId="77777777" w:rsidTr="005D3E3E">
        <w:trPr>
          <w:trHeight w:val="300"/>
          <w:jc w:val="center"/>
        </w:trPr>
        <w:tc>
          <w:tcPr>
            <w:tcW w:w="0" w:type="auto"/>
            <w:tcBorders>
              <w:top w:val="nil"/>
              <w:left w:val="nil"/>
              <w:bottom w:val="nil"/>
              <w:right w:val="nil"/>
            </w:tcBorders>
            <w:shd w:val="clear" w:color="auto" w:fill="auto"/>
            <w:noWrap/>
            <w:hideMark/>
          </w:tcPr>
          <w:p w14:paraId="5AC6F460"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1D99E2D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0.30</w:t>
            </w:r>
          </w:p>
        </w:tc>
        <w:tc>
          <w:tcPr>
            <w:tcW w:w="0" w:type="auto"/>
            <w:tcBorders>
              <w:top w:val="nil"/>
              <w:left w:val="nil"/>
              <w:bottom w:val="nil"/>
              <w:right w:val="nil"/>
            </w:tcBorders>
            <w:shd w:val="clear" w:color="auto" w:fill="auto"/>
            <w:noWrap/>
            <w:vAlign w:val="center"/>
            <w:hideMark/>
          </w:tcPr>
          <w:p w14:paraId="339F1A8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0.26</w:t>
            </w:r>
          </w:p>
        </w:tc>
        <w:tc>
          <w:tcPr>
            <w:tcW w:w="0" w:type="auto"/>
            <w:tcBorders>
              <w:top w:val="nil"/>
              <w:left w:val="nil"/>
              <w:bottom w:val="nil"/>
              <w:right w:val="nil"/>
            </w:tcBorders>
            <w:shd w:val="clear" w:color="auto" w:fill="auto"/>
            <w:noWrap/>
            <w:vAlign w:val="center"/>
            <w:hideMark/>
          </w:tcPr>
          <w:p w14:paraId="79C9AC7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0.36</w:t>
            </w:r>
          </w:p>
        </w:tc>
        <w:tc>
          <w:tcPr>
            <w:tcW w:w="0" w:type="auto"/>
            <w:tcBorders>
              <w:top w:val="nil"/>
              <w:left w:val="nil"/>
              <w:bottom w:val="nil"/>
              <w:right w:val="nil"/>
            </w:tcBorders>
            <w:shd w:val="clear" w:color="auto" w:fill="auto"/>
            <w:noWrap/>
            <w:vAlign w:val="center"/>
            <w:hideMark/>
          </w:tcPr>
          <w:p w14:paraId="48EB5CD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0.33</w:t>
            </w:r>
          </w:p>
        </w:tc>
      </w:tr>
      <w:tr w:rsidR="00B50F1D" w:rsidRPr="00B50F1D" w14:paraId="1FC6AE72"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6468B3CD" w14:textId="77777777" w:rsidR="00B50F1D" w:rsidRPr="00B50F1D" w:rsidRDefault="00B50F1D" w:rsidP="00B50F1D">
            <w:pPr>
              <w:spacing w:after="0" w:line="240" w:lineRule="auto"/>
              <w:rPr>
                <w:rFonts w:eastAsia="Times New Roman"/>
                <w:i/>
                <w:color w:val="000000"/>
                <w:sz w:val="24"/>
                <w:szCs w:val="24"/>
              </w:rPr>
            </w:pPr>
            <w:r w:rsidRPr="00B50F1D">
              <w:rPr>
                <w:rFonts w:eastAsia="Calibri"/>
                <w:i/>
                <w:sz w:val="24"/>
                <w:szCs w:val="24"/>
              </w:rPr>
              <w:t>Regime 3</w:t>
            </w:r>
          </w:p>
        </w:tc>
      </w:tr>
      <w:tr w:rsidR="00B50F1D" w:rsidRPr="00B50F1D" w14:paraId="1E34AC9E"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241EFF44" w14:textId="77777777" w:rsidR="00B50F1D" w:rsidRPr="00B50F1D" w:rsidRDefault="00B50F1D" w:rsidP="00B50F1D">
            <w:pPr>
              <w:spacing w:after="0" w:line="240" w:lineRule="auto"/>
              <w:rPr>
                <w:rFonts w:eastAsia="Times New Roman"/>
                <w:color w:val="000000"/>
                <w:sz w:val="24"/>
                <w:szCs w:val="24"/>
              </w:rPr>
            </w:pPr>
            <m:oMath>
              <m:r>
                <w:rPr>
                  <w:rFonts w:ascii="Cambria Math" w:eastAsia="Times New Roman" w:hAnsi="Cambria Math"/>
                  <w:color w:val="000000"/>
                  <w:sz w:val="24"/>
                  <w:szCs w:val="24"/>
                </w:rPr>
                <m:t>U</m:t>
              </m:r>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S</m:t>
                  </m:r>
                </m:e>
                <m:sub>
                  <m:r>
                    <w:rPr>
                      <w:rFonts w:ascii="Cambria Math" w:eastAsia="Times New Roman" w:hAnsi="Cambria Math"/>
                      <w:color w:val="000000"/>
                      <w:sz w:val="24"/>
                      <w:szCs w:val="24"/>
                    </w:rPr>
                    <m:t>t-1</m:t>
                  </m:r>
                </m:sub>
              </m:sSub>
            </m:oMath>
            <w:r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5433A1D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5BD5135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1853E71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65D457A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0.51</w:t>
            </w:r>
          </w:p>
        </w:tc>
      </w:tr>
      <w:tr w:rsidR="00B50F1D" w:rsidRPr="00B50F1D" w14:paraId="77D10CC2" w14:textId="77777777" w:rsidTr="005D3E3E">
        <w:trPr>
          <w:trHeight w:val="300"/>
          <w:jc w:val="center"/>
        </w:trPr>
        <w:tc>
          <w:tcPr>
            <w:tcW w:w="0" w:type="auto"/>
            <w:tcBorders>
              <w:top w:val="nil"/>
              <w:left w:val="nil"/>
              <w:bottom w:val="nil"/>
              <w:right w:val="nil"/>
            </w:tcBorders>
            <w:shd w:val="clear" w:color="auto" w:fill="auto"/>
            <w:noWrap/>
            <w:hideMark/>
          </w:tcPr>
          <w:p w14:paraId="65CEED48"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4E71D2B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FADEEC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EAF286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0ACFF7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0.25</w:t>
            </w:r>
          </w:p>
        </w:tc>
      </w:tr>
      <w:tr w:rsidR="00B50F1D" w:rsidRPr="00B50F1D" w14:paraId="39F33480" w14:textId="77777777" w:rsidTr="005D3E3E">
        <w:trPr>
          <w:trHeight w:val="300"/>
          <w:jc w:val="center"/>
        </w:trPr>
        <w:tc>
          <w:tcPr>
            <w:tcW w:w="0" w:type="auto"/>
            <w:tcBorders>
              <w:top w:val="nil"/>
              <w:left w:val="nil"/>
              <w:bottom w:val="nil"/>
              <w:right w:val="nil"/>
            </w:tcBorders>
            <w:shd w:val="clear" w:color="auto" w:fill="auto"/>
            <w:noWrap/>
            <w:hideMark/>
          </w:tcPr>
          <w:p w14:paraId="29E365D7"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13C6AA3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77CFA4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1.87</w:t>
            </w:r>
          </w:p>
        </w:tc>
        <w:tc>
          <w:tcPr>
            <w:tcW w:w="0" w:type="auto"/>
            <w:tcBorders>
              <w:top w:val="nil"/>
              <w:left w:val="nil"/>
              <w:bottom w:val="nil"/>
              <w:right w:val="nil"/>
            </w:tcBorders>
            <w:shd w:val="clear" w:color="auto" w:fill="auto"/>
            <w:noWrap/>
            <w:vAlign w:val="center"/>
            <w:hideMark/>
          </w:tcPr>
          <w:p w14:paraId="2099C6F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672B76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0.78</w:t>
            </w:r>
          </w:p>
        </w:tc>
      </w:tr>
      <w:tr w:rsidR="00B50F1D" w:rsidRPr="00B50F1D" w14:paraId="59B43A11" w14:textId="77777777" w:rsidTr="005D3E3E">
        <w:trPr>
          <w:trHeight w:val="300"/>
          <w:jc w:val="center"/>
        </w:trPr>
        <w:tc>
          <w:tcPr>
            <w:tcW w:w="0" w:type="auto"/>
            <w:tcBorders>
              <w:top w:val="nil"/>
              <w:left w:val="nil"/>
              <w:bottom w:val="nil"/>
              <w:right w:val="nil"/>
            </w:tcBorders>
            <w:shd w:val="clear" w:color="auto" w:fill="auto"/>
            <w:noWrap/>
            <w:hideMark/>
          </w:tcPr>
          <w:p w14:paraId="4231E7EB"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0F9AFEE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831F0A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0.05</w:t>
            </w:r>
          </w:p>
        </w:tc>
        <w:tc>
          <w:tcPr>
            <w:tcW w:w="0" w:type="auto"/>
            <w:tcBorders>
              <w:top w:val="nil"/>
              <w:left w:val="nil"/>
              <w:bottom w:val="nil"/>
              <w:right w:val="nil"/>
            </w:tcBorders>
            <w:shd w:val="clear" w:color="auto" w:fill="auto"/>
            <w:noWrap/>
            <w:vAlign w:val="center"/>
            <w:hideMark/>
          </w:tcPr>
          <w:p w14:paraId="3EE9555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187B9FF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0.39</w:t>
            </w:r>
          </w:p>
        </w:tc>
      </w:tr>
      <w:tr w:rsidR="00B50F1D" w:rsidRPr="00B50F1D" w14:paraId="2F773D4D" w14:textId="77777777" w:rsidTr="005D3E3E">
        <w:trPr>
          <w:trHeight w:val="300"/>
          <w:jc w:val="center"/>
        </w:trPr>
        <w:tc>
          <w:tcPr>
            <w:tcW w:w="0" w:type="auto"/>
            <w:tcBorders>
              <w:top w:val="nil"/>
              <w:left w:val="nil"/>
              <w:bottom w:val="nil"/>
              <w:right w:val="nil"/>
            </w:tcBorders>
            <w:shd w:val="clear" w:color="auto" w:fill="auto"/>
            <w:noWrap/>
            <w:hideMark/>
          </w:tcPr>
          <w:p w14:paraId="722483A0"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7DDA8F1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4AFD92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0.29</w:t>
            </w:r>
          </w:p>
        </w:tc>
        <w:tc>
          <w:tcPr>
            <w:tcW w:w="0" w:type="auto"/>
            <w:tcBorders>
              <w:top w:val="nil"/>
              <w:left w:val="nil"/>
              <w:bottom w:val="nil"/>
              <w:right w:val="nil"/>
            </w:tcBorders>
            <w:shd w:val="clear" w:color="auto" w:fill="auto"/>
            <w:noWrap/>
            <w:vAlign w:val="center"/>
            <w:hideMark/>
          </w:tcPr>
          <w:p w14:paraId="292A230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508F95E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0.34</w:t>
            </w:r>
          </w:p>
        </w:tc>
      </w:tr>
      <w:tr w:rsidR="00B50F1D" w:rsidRPr="00B50F1D" w14:paraId="6D4FE660"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0C778027"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p11</w:t>
            </w:r>
          </w:p>
        </w:tc>
        <w:tc>
          <w:tcPr>
            <w:tcW w:w="0" w:type="auto"/>
            <w:tcBorders>
              <w:top w:val="single" w:sz="4" w:space="0" w:color="auto"/>
              <w:left w:val="nil"/>
              <w:bottom w:val="nil"/>
              <w:right w:val="nil"/>
            </w:tcBorders>
            <w:shd w:val="clear" w:color="auto" w:fill="auto"/>
            <w:noWrap/>
            <w:vAlign w:val="center"/>
            <w:hideMark/>
          </w:tcPr>
          <w:p w14:paraId="5F7C0F1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0.98</w:t>
            </w:r>
          </w:p>
        </w:tc>
        <w:tc>
          <w:tcPr>
            <w:tcW w:w="0" w:type="auto"/>
            <w:tcBorders>
              <w:top w:val="single" w:sz="4" w:space="0" w:color="auto"/>
              <w:left w:val="nil"/>
              <w:bottom w:val="nil"/>
              <w:right w:val="nil"/>
            </w:tcBorders>
            <w:shd w:val="clear" w:color="auto" w:fill="auto"/>
            <w:noWrap/>
            <w:vAlign w:val="center"/>
            <w:hideMark/>
          </w:tcPr>
          <w:p w14:paraId="355BC4A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0.98</w:t>
            </w:r>
          </w:p>
        </w:tc>
        <w:tc>
          <w:tcPr>
            <w:tcW w:w="0" w:type="auto"/>
            <w:tcBorders>
              <w:top w:val="single" w:sz="4" w:space="0" w:color="auto"/>
              <w:left w:val="nil"/>
              <w:bottom w:val="nil"/>
              <w:right w:val="nil"/>
            </w:tcBorders>
            <w:shd w:val="clear" w:color="auto" w:fill="auto"/>
            <w:noWrap/>
            <w:vAlign w:val="center"/>
            <w:hideMark/>
          </w:tcPr>
          <w:p w14:paraId="1C94896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0.98</w:t>
            </w:r>
          </w:p>
        </w:tc>
        <w:tc>
          <w:tcPr>
            <w:tcW w:w="0" w:type="auto"/>
            <w:tcBorders>
              <w:top w:val="single" w:sz="4" w:space="0" w:color="auto"/>
              <w:left w:val="nil"/>
              <w:bottom w:val="nil"/>
              <w:right w:val="nil"/>
            </w:tcBorders>
            <w:shd w:val="clear" w:color="auto" w:fill="auto"/>
            <w:noWrap/>
            <w:vAlign w:val="center"/>
            <w:hideMark/>
          </w:tcPr>
          <w:p w14:paraId="0967C72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0.97</w:t>
            </w:r>
          </w:p>
        </w:tc>
      </w:tr>
      <w:tr w:rsidR="00B50F1D" w:rsidRPr="00B50F1D" w14:paraId="0A508294" w14:textId="77777777" w:rsidTr="005D3E3E">
        <w:trPr>
          <w:trHeight w:val="300"/>
          <w:jc w:val="center"/>
        </w:trPr>
        <w:tc>
          <w:tcPr>
            <w:tcW w:w="0" w:type="auto"/>
            <w:tcBorders>
              <w:top w:val="nil"/>
              <w:left w:val="nil"/>
              <w:bottom w:val="nil"/>
              <w:right w:val="nil"/>
            </w:tcBorders>
            <w:shd w:val="clear" w:color="auto" w:fill="auto"/>
            <w:noWrap/>
            <w:hideMark/>
          </w:tcPr>
          <w:p w14:paraId="2D45EE75"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p21</w:t>
            </w:r>
          </w:p>
        </w:tc>
        <w:tc>
          <w:tcPr>
            <w:tcW w:w="0" w:type="auto"/>
            <w:tcBorders>
              <w:top w:val="nil"/>
              <w:left w:val="nil"/>
              <w:bottom w:val="nil"/>
              <w:right w:val="nil"/>
            </w:tcBorders>
            <w:shd w:val="clear" w:color="auto" w:fill="auto"/>
            <w:noWrap/>
            <w:vAlign w:val="center"/>
            <w:hideMark/>
          </w:tcPr>
          <w:p w14:paraId="6ED9C27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0.98</w:t>
            </w:r>
          </w:p>
        </w:tc>
        <w:tc>
          <w:tcPr>
            <w:tcW w:w="0" w:type="auto"/>
            <w:tcBorders>
              <w:top w:val="nil"/>
              <w:left w:val="nil"/>
              <w:bottom w:val="nil"/>
              <w:right w:val="nil"/>
            </w:tcBorders>
            <w:shd w:val="clear" w:color="auto" w:fill="auto"/>
            <w:noWrap/>
            <w:vAlign w:val="center"/>
            <w:hideMark/>
          </w:tcPr>
          <w:p w14:paraId="33061F6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0.97</w:t>
            </w:r>
          </w:p>
        </w:tc>
        <w:tc>
          <w:tcPr>
            <w:tcW w:w="0" w:type="auto"/>
            <w:tcBorders>
              <w:top w:val="nil"/>
              <w:left w:val="nil"/>
              <w:bottom w:val="nil"/>
              <w:right w:val="nil"/>
            </w:tcBorders>
            <w:shd w:val="clear" w:color="auto" w:fill="auto"/>
            <w:noWrap/>
            <w:vAlign w:val="center"/>
            <w:hideMark/>
          </w:tcPr>
          <w:p w14:paraId="0CEF9A0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0.85</w:t>
            </w:r>
          </w:p>
        </w:tc>
        <w:tc>
          <w:tcPr>
            <w:tcW w:w="0" w:type="auto"/>
            <w:tcBorders>
              <w:top w:val="nil"/>
              <w:left w:val="nil"/>
              <w:bottom w:val="nil"/>
              <w:right w:val="nil"/>
            </w:tcBorders>
            <w:shd w:val="clear" w:color="auto" w:fill="auto"/>
            <w:noWrap/>
            <w:vAlign w:val="center"/>
            <w:hideMark/>
          </w:tcPr>
          <w:p w14:paraId="5EF579D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0.87</w:t>
            </w:r>
          </w:p>
        </w:tc>
      </w:tr>
      <w:tr w:rsidR="00B50F1D" w:rsidRPr="00B50F1D" w14:paraId="72C0D4BB" w14:textId="77777777" w:rsidTr="005D3E3E">
        <w:trPr>
          <w:trHeight w:val="300"/>
          <w:jc w:val="center"/>
        </w:trPr>
        <w:tc>
          <w:tcPr>
            <w:tcW w:w="0" w:type="auto"/>
            <w:tcBorders>
              <w:top w:val="nil"/>
              <w:left w:val="nil"/>
              <w:bottom w:val="nil"/>
              <w:right w:val="nil"/>
            </w:tcBorders>
            <w:shd w:val="clear" w:color="auto" w:fill="auto"/>
            <w:noWrap/>
            <w:hideMark/>
          </w:tcPr>
          <w:p w14:paraId="4DAE2E33"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p33</w:t>
            </w:r>
          </w:p>
        </w:tc>
        <w:tc>
          <w:tcPr>
            <w:tcW w:w="0" w:type="auto"/>
            <w:tcBorders>
              <w:top w:val="nil"/>
              <w:left w:val="nil"/>
              <w:bottom w:val="nil"/>
              <w:right w:val="nil"/>
            </w:tcBorders>
            <w:shd w:val="clear" w:color="auto" w:fill="auto"/>
            <w:noWrap/>
            <w:vAlign w:val="center"/>
            <w:hideMark/>
          </w:tcPr>
          <w:p w14:paraId="2E2F2A7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627D5CE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0.96</w:t>
            </w:r>
          </w:p>
        </w:tc>
        <w:tc>
          <w:tcPr>
            <w:tcW w:w="0" w:type="auto"/>
            <w:tcBorders>
              <w:top w:val="nil"/>
              <w:left w:val="nil"/>
              <w:bottom w:val="nil"/>
              <w:right w:val="nil"/>
            </w:tcBorders>
            <w:shd w:val="clear" w:color="auto" w:fill="auto"/>
            <w:noWrap/>
            <w:vAlign w:val="center"/>
            <w:hideMark/>
          </w:tcPr>
          <w:p w14:paraId="7E61771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C2356A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0.83</w:t>
            </w:r>
          </w:p>
        </w:tc>
      </w:tr>
      <w:tr w:rsidR="00B50F1D" w:rsidRPr="00B50F1D" w14:paraId="7F1234DA" w14:textId="77777777" w:rsidTr="005D3E3E">
        <w:trPr>
          <w:trHeight w:val="300"/>
          <w:jc w:val="center"/>
        </w:trPr>
        <w:tc>
          <w:tcPr>
            <w:tcW w:w="0" w:type="auto"/>
            <w:tcBorders>
              <w:top w:val="nil"/>
              <w:left w:val="nil"/>
              <w:bottom w:val="nil"/>
              <w:right w:val="nil"/>
            </w:tcBorders>
            <w:shd w:val="clear" w:color="auto" w:fill="auto"/>
            <w:noWrap/>
          </w:tcPr>
          <w:p w14:paraId="6AADF873"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2F2150F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tcPr>
          <w:p w14:paraId="2C2C9B0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tcPr>
          <w:p w14:paraId="4644405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tcPr>
          <w:p w14:paraId="43646F6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r>
      <w:tr w:rsidR="00B50F1D" w:rsidRPr="00B50F1D" w14:paraId="0E9BD43A" w14:textId="77777777" w:rsidTr="005D3E3E">
        <w:trPr>
          <w:trHeight w:val="300"/>
          <w:jc w:val="center"/>
        </w:trPr>
        <w:tc>
          <w:tcPr>
            <w:tcW w:w="0" w:type="auto"/>
            <w:tcBorders>
              <w:top w:val="nil"/>
              <w:left w:val="nil"/>
              <w:bottom w:val="nil"/>
              <w:right w:val="nil"/>
            </w:tcBorders>
            <w:shd w:val="clear" w:color="auto" w:fill="auto"/>
            <w:noWrap/>
            <w:hideMark/>
          </w:tcPr>
          <w:p w14:paraId="7882941D"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D1</w:t>
            </w:r>
          </w:p>
        </w:tc>
        <w:tc>
          <w:tcPr>
            <w:tcW w:w="0" w:type="auto"/>
            <w:tcBorders>
              <w:top w:val="nil"/>
              <w:left w:val="nil"/>
              <w:bottom w:val="nil"/>
              <w:right w:val="nil"/>
            </w:tcBorders>
            <w:shd w:val="clear" w:color="auto" w:fill="auto"/>
            <w:noWrap/>
            <w:vAlign w:val="center"/>
            <w:hideMark/>
          </w:tcPr>
          <w:p w14:paraId="447925B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63.47</w:t>
            </w:r>
          </w:p>
        </w:tc>
        <w:tc>
          <w:tcPr>
            <w:tcW w:w="0" w:type="auto"/>
            <w:tcBorders>
              <w:top w:val="nil"/>
              <w:left w:val="nil"/>
              <w:bottom w:val="nil"/>
              <w:right w:val="nil"/>
            </w:tcBorders>
            <w:shd w:val="clear" w:color="auto" w:fill="auto"/>
            <w:noWrap/>
            <w:vAlign w:val="center"/>
            <w:hideMark/>
          </w:tcPr>
          <w:p w14:paraId="76A940E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64.36</w:t>
            </w:r>
          </w:p>
        </w:tc>
        <w:tc>
          <w:tcPr>
            <w:tcW w:w="0" w:type="auto"/>
            <w:tcBorders>
              <w:top w:val="nil"/>
              <w:left w:val="nil"/>
              <w:bottom w:val="nil"/>
              <w:right w:val="nil"/>
            </w:tcBorders>
            <w:shd w:val="clear" w:color="auto" w:fill="auto"/>
            <w:noWrap/>
            <w:vAlign w:val="center"/>
            <w:hideMark/>
          </w:tcPr>
          <w:p w14:paraId="562B290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46.74</w:t>
            </w:r>
          </w:p>
        </w:tc>
        <w:tc>
          <w:tcPr>
            <w:tcW w:w="0" w:type="auto"/>
            <w:tcBorders>
              <w:top w:val="nil"/>
              <w:left w:val="nil"/>
              <w:bottom w:val="nil"/>
              <w:right w:val="nil"/>
            </w:tcBorders>
            <w:shd w:val="clear" w:color="auto" w:fill="auto"/>
            <w:noWrap/>
            <w:vAlign w:val="center"/>
            <w:hideMark/>
          </w:tcPr>
          <w:p w14:paraId="50D175A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38.82</w:t>
            </w:r>
          </w:p>
        </w:tc>
      </w:tr>
      <w:tr w:rsidR="00B50F1D" w:rsidRPr="00B50F1D" w14:paraId="2DDC5A6B" w14:textId="77777777" w:rsidTr="005D3E3E">
        <w:trPr>
          <w:trHeight w:val="300"/>
          <w:jc w:val="center"/>
        </w:trPr>
        <w:tc>
          <w:tcPr>
            <w:tcW w:w="0" w:type="auto"/>
            <w:tcBorders>
              <w:top w:val="nil"/>
              <w:left w:val="nil"/>
              <w:right w:val="nil"/>
            </w:tcBorders>
            <w:shd w:val="clear" w:color="auto" w:fill="auto"/>
            <w:noWrap/>
            <w:hideMark/>
          </w:tcPr>
          <w:p w14:paraId="0B2963E7"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D2</w:t>
            </w:r>
          </w:p>
        </w:tc>
        <w:tc>
          <w:tcPr>
            <w:tcW w:w="0" w:type="auto"/>
            <w:tcBorders>
              <w:top w:val="nil"/>
              <w:left w:val="nil"/>
              <w:right w:val="nil"/>
            </w:tcBorders>
            <w:shd w:val="clear" w:color="auto" w:fill="auto"/>
            <w:noWrap/>
            <w:vAlign w:val="center"/>
            <w:hideMark/>
          </w:tcPr>
          <w:p w14:paraId="4DEA5C8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53.11</w:t>
            </w:r>
          </w:p>
        </w:tc>
        <w:tc>
          <w:tcPr>
            <w:tcW w:w="0" w:type="auto"/>
            <w:tcBorders>
              <w:top w:val="nil"/>
              <w:left w:val="nil"/>
              <w:right w:val="nil"/>
            </w:tcBorders>
            <w:shd w:val="clear" w:color="auto" w:fill="auto"/>
            <w:noWrap/>
            <w:vAlign w:val="center"/>
            <w:hideMark/>
          </w:tcPr>
          <w:p w14:paraId="32ED599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38.03</w:t>
            </w:r>
          </w:p>
        </w:tc>
        <w:tc>
          <w:tcPr>
            <w:tcW w:w="0" w:type="auto"/>
            <w:tcBorders>
              <w:top w:val="nil"/>
              <w:left w:val="nil"/>
              <w:right w:val="nil"/>
            </w:tcBorders>
            <w:shd w:val="clear" w:color="auto" w:fill="auto"/>
            <w:noWrap/>
            <w:vAlign w:val="center"/>
            <w:hideMark/>
          </w:tcPr>
          <w:p w14:paraId="569239C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6.74</w:t>
            </w:r>
          </w:p>
        </w:tc>
        <w:tc>
          <w:tcPr>
            <w:tcW w:w="0" w:type="auto"/>
            <w:tcBorders>
              <w:top w:val="nil"/>
              <w:left w:val="nil"/>
              <w:right w:val="nil"/>
            </w:tcBorders>
            <w:shd w:val="clear" w:color="auto" w:fill="auto"/>
            <w:noWrap/>
            <w:vAlign w:val="center"/>
            <w:hideMark/>
          </w:tcPr>
          <w:p w14:paraId="42BED41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7.86</w:t>
            </w:r>
          </w:p>
        </w:tc>
      </w:tr>
      <w:tr w:rsidR="00B50F1D" w:rsidRPr="00B50F1D" w14:paraId="1AF80253" w14:textId="77777777" w:rsidTr="005D3E3E">
        <w:trPr>
          <w:trHeight w:val="300"/>
          <w:jc w:val="center"/>
        </w:trPr>
        <w:tc>
          <w:tcPr>
            <w:tcW w:w="0" w:type="auto"/>
            <w:tcBorders>
              <w:top w:val="nil"/>
              <w:left w:val="nil"/>
              <w:bottom w:val="single" w:sz="4" w:space="0" w:color="auto"/>
              <w:right w:val="nil"/>
            </w:tcBorders>
            <w:shd w:val="clear" w:color="auto" w:fill="auto"/>
            <w:noWrap/>
            <w:hideMark/>
          </w:tcPr>
          <w:p w14:paraId="79857457"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D3</w:t>
            </w:r>
          </w:p>
        </w:tc>
        <w:tc>
          <w:tcPr>
            <w:tcW w:w="0" w:type="auto"/>
            <w:tcBorders>
              <w:top w:val="nil"/>
              <w:left w:val="nil"/>
              <w:bottom w:val="single" w:sz="4" w:space="0" w:color="auto"/>
              <w:right w:val="nil"/>
            </w:tcBorders>
            <w:shd w:val="clear" w:color="auto" w:fill="auto"/>
            <w:noWrap/>
            <w:vAlign w:val="center"/>
            <w:hideMark/>
          </w:tcPr>
          <w:p w14:paraId="0FCD13A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single" w:sz="4" w:space="0" w:color="auto"/>
              <w:right w:val="nil"/>
            </w:tcBorders>
            <w:shd w:val="clear" w:color="auto" w:fill="auto"/>
            <w:noWrap/>
            <w:vAlign w:val="center"/>
            <w:hideMark/>
          </w:tcPr>
          <w:p w14:paraId="4977FD2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23.80</w:t>
            </w:r>
          </w:p>
        </w:tc>
        <w:tc>
          <w:tcPr>
            <w:tcW w:w="0" w:type="auto"/>
            <w:tcBorders>
              <w:top w:val="nil"/>
              <w:left w:val="nil"/>
              <w:bottom w:val="single" w:sz="4" w:space="0" w:color="auto"/>
              <w:right w:val="nil"/>
            </w:tcBorders>
            <w:shd w:val="clear" w:color="auto" w:fill="auto"/>
            <w:noWrap/>
            <w:vAlign w:val="center"/>
            <w:hideMark/>
          </w:tcPr>
          <w:p w14:paraId="1B37BB4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single" w:sz="4" w:space="0" w:color="auto"/>
              <w:right w:val="nil"/>
            </w:tcBorders>
            <w:shd w:val="clear" w:color="auto" w:fill="auto"/>
            <w:noWrap/>
            <w:vAlign w:val="center"/>
            <w:hideMark/>
          </w:tcPr>
          <w:p w14:paraId="441955A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5.88</w:t>
            </w:r>
          </w:p>
        </w:tc>
      </w:tr>
      <w:tr w:rsidR="00B50F1D" w:rsidRPr="00B50F1D" w14:paraId="0B2C3D71"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377DDA08"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Observations</w:t>
            </w:r>
          </w:p>
        </w:tc>
        <w:tc>
          <w:tcPr>
            <w:tcW w:w="0" w:type="auto"/>
            <w:tcBorders>
              <w:top w:val="single" w:sz="4" w:space="0" w:color="auto"/>
              <w:left w:val="nil"/>
              <w:bottom w:val="nil"/>
              <w:right w:val="nil"/>
            </w:tcBorders>
            <w:shd w:val="clear" w:color="auto" w:fill="auto"/>
            <w:noWrap/>
            <w:vAlign w:val="center"/>
            <w:hideMark/>
          </w:tcPr>
          <w:p w14:paraId="7222415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258.00</w:t>
            </w:r>
          </w:p>
        </w:tc>
        <w:tc>
          <w:tcPr>
            <w:tcW w:w="0" w:type="auto"/>
            <w:tcBorders>
              <w:top w:val="single" w:sz="4" w:space="0" w:color="auto"/>
              <w:left w:val="nil"/>
              <w:bottom w:val="nil"/>
              <w:right w:val="nil"/>
            </w:tcBorders>
            <w:shd w:val="clear" w:color="auto" w:fill="auto"/>
            <w:noWrap/>
            <w:vAlign w:val="center"/>
            <w:hideMark/>
          </w:tcPr>
          <w:p w14:paraId="2732928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258.00</w:t>
            </w:r>
          </w:p>
        </w:tc>
        <w:tc>
          <w:tcPr>
            <w:tcW w:w="0" w:type="auto"/>
            <w:tcBorders>
              <w:top w:val="single" w:sz="4" w:space="0" w:color="auto"/>
              <w:left w:val="nil"/>
              <w:bottom w:val="nil"/>
              <w:right w:val="nil"/>
            </w:tcBorders>
            <w:shd w:val="clear" w:color="auto" w:fill="auto"/>
            <w:noWrap/>
            <w:vAlign w:val="center"/>
            <w:hideMark/>
          </w:tcPr>
          <w:p w14:paraId="5A2C4E1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257.00</w:t>
            </w:r>
          </w:p>
        </w:tc>
        <w:tc>
          <w:tcPr>
            <w:tcW w:w="0" w:type="auto"/>
            <w:tcBorders>
              <w:top w:val="single" w:sz="4" w:space="0" w:color="auto"/>
              <w:left w:val="nil"/>
              <w:bottom w:val="nil"/>
              <w:right w:val="nil"/>
            </w:tcBorders>
            <w:shd w:val="clear" w:color="auto" w:fill="auto"/>
            <w:noWrap/>
            <w:vAlign w:val="center"/>
            <w:hideMark/>
          </w:tcPr>
          <w:p w14:paraId="70BC844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257.00</w:t>
            </w:r>
          </w:p>
        </w:tc>
      </w:tr>
      <w:tr w:rsidR="00B50F1D" w:rsidRPr="00B50F1D" w14:paraId="356EA819" w14:textId="77777777" w:rsidTr="005D3E3E">
        <w:trPr>
          <w:trHeight w:val="300"/>
          <w:jc w:val="center"/>
        </w:trPr>
        <w:tc>
          <w:tcPr>
            <w:tcW w:w="0" w:type="auto"/>
            <w:tcBorders>
              <w:top w:val="nil"/>
              <w:left w:val="nil"/>
              <w:bottom w:val="nil"/>
              <w:right w:val="nil"/>
            </w:tcBorders>
            <w:shd w:val="clear" w:color="auto" w:fill="auto"/>
            <w:noWrap/>
            <w:hideMark/>
          </w:tcPr>
          <w:p w14:paraId="3B3DC5D5"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Log-Likelihood</w:t>
            </w:r>
          </w:p>
        </w:tc>
        <w:tc>
          <w:tcPr>
            <w:tcW w:w="0" w:type="auto"/>
            <w:tcBorders>
              <w:top w:val="nil"/>
              <w:left w:val="nil"/>
              <w:bottom w:val="nil"/>
              <w:right w:val="nil"/>
            </w:tcBorders>
            <w:shd w:val="clear" w:color="auto" w:fill="auto"/>
            <w:noWrap/>
            <w:vAlign w:val="center"/>
            <w:hideMark/>
          </w:tcPr>
          <w:p w14:paraId="4BDB558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247.52</w:t>
            </w:r>
          </w:p>
        </w:tc>
        <w:tc>
          <w:tcPr>
            <w:tcW w:w="0" w:type="auto"/>
            <w:tcBorders>
              <w:top w:val="nil"/>
              <w:left w:val="nil"/>
              <w:bottom w:val="nil"/>
              <w:right w:val="nil"/>
            </w:tcBorders>
            <w:shd w:val="clear" w:color="auto" w:fill="auto"/>
            <w:noWrap/>
            <w:vAlign w:val="center"/>
            <w:hideMark/>
          </w:tcPr>
          <w:p w14:paraId="386D952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282.91</w:t>
            </w:r>
          </w:p>
        </w:tc>
        <w:tc>
          <w:tcPr>
            <w:tcW w:w="0" w:type="auto"/>
            <w:tcBorders>
              <w:top w:val="nil"/>
              <w:left w:val="nil"/>
              <w:bottom w:val="nil"/>
              <w:right w:val="nil"/>
            </w:tcBorders>
            <w:shd w:val="clear" w:color="auto" w:fill="auto"/>
            <w:noWrap/>
            <w:vAlign w:val="center"/>
            <w:hideMark/>
          </w:tcPr>
          <w:p w14:paraId="5F00DDD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376.21</w:t>
            </w:r>
          </w:p>
        </w:tc>
        <w:tc>
          <w:tcPr>
            <w:tcW w:w="0" w:type="auto"/>
            <w:tcBorders>
              <w:top w:val="nil"/>
              <w:left w:val="nil"/>
              <w:bottom w:val="nil"/>
              <w:right w:val="nil"/>
            </w:tcBorders>
            <w:shd w:val="clear" w:color="auto" w:fill="auto"/>
            <w:noWrap/>
            <w:vAlign w:val="center"/>
            <w:hideMark/>
          </w:tcPr>
          <w:p w14:paraId="3F4AD8D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374.20</w:t>
            </w:r>
          </w:p>
        </w:tc>
      </w:tr>
      <w:tr w:rsidR="00B50F1D" w:rsidRPr="00B50F1D" w14:paraId="04E2AEC1" w14:textId="77777777" w:rsidTr="005D3E3E">
        <w:trPr>
          <w:trHeight w:val="300"/>
          <w:jc w:val="center"/>
        </w:trPr>
        <w:tc>
          <w:tcPr>
            <w:tcW w:w="0" w:type="auto"/>
            <w:tcBorders>
              <w:top w:val="nil"/>
              <w:left w:val="nil"/>
              <w:bottom w:val="nil"/>
              <w:right w:val="nil"/>
            </w:tcBorders>
            <w:shd w:val="clear" w:color="auto" w:fill="auto"/>
            <w:noWrap/>
            <w:hideMark/>
          </w:tcPr>
          <w:p w14:paraId="71338CB0"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AIC</w:t>
            </w:r>
          </w:p>
        </w:tc>
        <w:tc>
          <w:tcPr>
            <w:tcW w:w="0" w:type="auto"/>
            <w:tcBorders>
              <w:top w:val="nil"/>
              <w:left w:val="nil"/>
              <w:bottom w:val="nil"/>
              <w:right w:val="nil"/>
            </w:tcBorders>
            <w:shd w:val="clear" w:color="auto" w:fill="auto"/>
            <w:noWrap/>
            <w:vAlign w:val="center"/>
            <w:hideMark/>
          </w:tcPr>
          <w:p w14:paraId="61A9325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-487.04</w:t>
            </w:r>
          </w:p>
        </w:tc>
        <w:tc>
          <w:tcPr>
            <w:tcW w:w="0" w:type="auto"/>
            <w:tcBorders>
              <w:top w:val="nil"/>
              <w:left w:val="nil"/>
              <w:bottom w:val="nil"/>
              <w:right w:val="nil"/>
            </w:tcBorders>
            <w:shd w:val="clear" w:color="auto" w:fill="auto"/>
            <w:noWrap/>
            <w:vAlign w:val="center"/>
            <w:hideMark/>
          </w:tcPr>
          <w:p w14:paraId="32FC73B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-553.82</w:t>
            </w:r>
          </w:p>
        </w:tc>
        <w:tc>
          <w:tcPr>
            <w:tcW w:w="0" w:type="auto"/>
            <w:tcBorders>
              <w:top w:val="nil"/>
              <w:left w:val="nil"/>
              <w:bottom w:val="nil"/>
              <w:right w:val="nil"/>
            </w:tcBorders>
            <w:shd w:val="clear" w:color="auto" w:fill="auto"/>
            <w:noWrap/>
            <w:vAlign w:val="center"/>
            <w:hideMark/>
          </w:tcPr>
          <w:p w14:paraId="19EF297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-740.41</w:t>
            </w:r>
          </w:p>
        </w:tc>
        <w:tc>
          <w:tcPr>
            <w:tcW w:w="0" w:type="auto"/>
            <w:tcBorders>
              <w:top w:val="nil"/>
              <w:left w:val="nil"/>
              <w:bottom w:val="nil"/>
              <w:right w:val="nil"/>
            </w:tcBorders>
            <w:shd w:val="clear" w:color="auto" w:fill="auto"/>
            <w:noWrap/>
            <w:vAlign w:val="center"/>
            <w:hideMark/>
          </w:tcPr>
          <w:p w14:paraId="07167DB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-730.40</w:t>
            </w:r>
          </w:p>
        </w:tc>
      </w:tr>
      <w:tr w:rsidR="00B50F1D" w:rsidRPr="00B50F1D" w14:paraId="713C95DF" w14:textId="77777777" w:rsidTr="005D3E3E">
        <w:trPr>
          <w:trHeight w:val="300"/>
          <w:jc w:val="center"/>
        </w:trPr>
        <w:tc>
          <w:tcPr>
            <w:tcW w:w="0" w:type="auto"/>
            <w:tcBorders>
              <w:top w:val="nil"/>
              <w:left w:val="nil"/>
              <w:right w:val="nil"/>
            </w:tcBorders>
            <w:shd w:val="clear" w:color="auto" w:fill="auto"/>
            <w:noWrap/>
            <w:hideMark/>
          </w:tcPr>
          <w:p w14:paraId="0756D598"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BIC</w:t>
            </w:r>
          </w:p>
        </w:tc>
        <w:tc>
          <w:tcPr>
            <w:tcW w:w="0" w:type="auto"/>
            <w:tcBorders>
              <w:top w:val="nil"/>
              <w:left w:val="nil"/>
              <w:right w:val="nil"/>
            </w:tcBorders>
            <w:shd w:val="clear" w:color="auto" w:fill="auto"/>
            <w:noWrap/>
            <w:vAlign w:val="center"/>
            <w:hideMark/>
          </w:tcPr>
          <w:p w14:paraId="294CD38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-472.83</w:t>
            </w:r>
          </w:p>
        </w:tc>
        <w:tc>
          <w:tcPr>
            <w:tcW w:w="0" w:type="auto"/>
            <w:tcBorders>
              <w:top w:val="nil"/>
              <w:left w:val="nil"/>
              <w:right w:val="nil"/>
            </w:tcBorders>
            <w:shd w:val="clear" w:color="auto" w:fill="auto"/>
            <w:noWrap/>
            <w:vAlign w:val="center"/>
            <w:hideMark/>
          </w:tcPr>
          <w:p w14:paraId="035BBB7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-532.50</w:t>
            </w:r>
          </w:p>
        </w:tc>
        <w:tc>
          <w:tcPr>
            <w:tcW w:w="0" w:type="auto"/>
            <w:tcBorders>
              <w:top w:val="nil"/>
              <w:left w:val="nil"/>
              <w:right w:val="nil"/>
            </w:tcBorders>
            <w:shd w:val="clear" w:color="auto" w:fill="auto"/>
            <w:noWrap/>
            <w:vAlign w:val="center"/>
            <w:hideMark/>
          </w:tcPr>
          <w:p w14:paraId="71325F8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-719.12</w:t>
            </w:r>
          </w:p>
        </w:tc>
        <w:tc>
          <w:tcPr>
            <w:tcW w:w="0" w:type="auto"/>
            <w:tcBorders>
              <w:top w:val="nil"/>
              <w:left w:val="nil"/>
              <w:right w:val="nil"/>
            </w:tcBorders>
            <w:shd w:val="clear" w:color="auto" w:fill="auto"/>
            <w:noWrap/>
            <w:vAlign w:val="center"/>
            <w:hideMark/>
          </w:tcPr>
          <w:p w14:paraId="34886FF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-698.46</w:t>
            </w:r>
          </w:p>
        </w:tc>
      </w:tr>
      <w:tr w:rsidR="00B50F1D" w:rsidRPr="00B50F1D" w14:paraId="48DCE611" w14:textId="77777777" w:rsidTr="005D3E3E">
        <w:trPr>
          <w:trHeight w:val="300"/>
          <w:jc w:val="center"/>
        </w:trPr>
        <w:tc>
          <w:tcPr>
            <w:tcW w:w="0" w:type="auto"/>
            <w:tcBorders>
              <w:top w:val="nil"/>
              <w:left w:val="nil"/>
              <w:bottom w:val="single" w:sz="4" w:space="0" w:color="auto"/>
              <w:right w:val="nil"/>
            </w:tcBorders>
            <w:shd w:val="clear" w:color="auto" w:fill="auto"/>
            <w:noWrap/>
            <w:hideMark/>
          </w:tcPr>
          <w:p w14:paraId="3C4E73DD"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DIC</w:t>
            </w:r>
          </w:p>
        </w:tc>
        <w:tc>
          <w:tcPr>
            <w:tcW w:w="0" w:type="auto"/>
            <w:tcBorders>
              <w:top w:val="nil"/>
              <w:left w:val="nil"/>
              <w:bottom w:val="single" w:sz="4" w:space="0" w:color="auto"/>
              <w:right w:val="nil"/>
            </w:tcBorders>
            <w:shd w:val="clear" w:color="auto" w:fill="auto"/>
            <w:noWrap/>
            <w:vAlign w:val="center"/>
            <w:hideMark/>
          </w:tcPr>
          <w:p w14:paraId="28BFB5D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-484.83</w:t>
            </w:r>
          </w:p>
        </w:tc>
        <w:tc>
          <w:tcPr>
            <w:tcW w:w="0" w:type="auto"/>
            <w:tcBorders>
              <w:top w:val="nil"/>
              <w:left w:val="nil"/>
              <w:bottom w:val="single" w:sz="4" w:space="0" w:color="auto"/>
              <w:right w:val="nil"/>
            </w:tcBorders>
            <w:shd w:val="clear" w:color="auto" w:fill="auto"/>
            <w:noWrap/>
            <w:vAlign w:val="center"/>
            <w:hideMark/>
          </w:tcPr>
          <w:p w14:paraId="5DAF905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-552.46</w:t>
            </w:r>
          </w:p>
        </w:tc>
        <w:tc>
          <w:tcPr>
            <w:tcW w:w="0" w:type="auto"/>
            <w:tcBorders>
              <w:top w:val="nil"/>
              <w:left w:val="nil"/>
              <w:bottom w:val="single" w:sz="4" w:space="0" w:color="auto"/>
              <w:right w:val="nil"/>
            </w:tcBorders>
            <w:shd w:val="clear" w:color="auto" w:fill="auto"/>
            <w:noWrap/>
            <w:vAlign w:val="center"/>
            <w:hideMark/>
          </w:tcPr>
          <w:p w14:paraId="3340F28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-744.48</w:t>
            </w:r>
          </w:p>
        </w:tc>
        <w:tc>
          <w:tcPr>
            <w:tcW w:w="0" w:type="auto"/>
            <w:tcBorders>
              <w:top w:val="nil"/>
              <w:left w:val="nil"/>
              <w:bottom w:val="single" w:sz="4" w:space="0" w:color="auto"/>
              <w:right w:val="nil"/>
            </w:tcBorders>
            <w:shd w:val="clear" w:color="auto" w:fill="auto"/>
            <w:noWrap/>
            <w:vAlign w:val="center"/>
            <w:hideMark/>
          </w:tcPr>
          <w:p w14:paraId="5DA61E1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-726.97</w:t>
            </w:r>
          </w:p>
        </w:tc>
      </w:tr>
    </w:tbl>
    <w:p w14:paraId="5D72FD3B" w14:textId="77777777" w:rsidR="00B50F1D" w:rsidRPr="00B50F1D" w:rsidRDefault="00B50F1D" w:rsidP="00B50F1D">
      <w:pPr>
        <w:rPr>
          <w:rFonts w:eastAsia="Calibri"/>
          <w:sz w:val="24"/>
          <w:szCs w:val="24"/>
        </w:rPr>
      </w:pPr>
      <w:r w:rsidRPr="00B50F1D">
        <w:rPr>
          <w:rFonts w:eastAsia="Calibri"/>
          <w:sz w:val="24"/>
          <w:szCs w:val="24"/>
        </w:rPr>
        <w:br w:type="page"/>
      </w:r>
    </w:p>
    <w:p w14:paraId="1F699F38" w14:textId="77777777" w:rsidR="00B50F1D" w:rsidRPr="00B50F1D" w:rsidRDefault="00B50F1D" w:rsidP="00B50F1D">
      <w:pPr>
        <w:spacing w:after="200" w:line="276" w:lineRule="auto"/>
        <w:jc w:val="center"/>
        <w:rPr>
          <w:rFonts w:eastAsia="Calibri"/>
          <w:sz w:val="24"/>
          <w:szCs w:val="24"/>
        </w:rPr>
      </w:pPr>
      <w:r w:rsidRPr="00B50F1D">
        <w:rPr>
          <w:rFonts w:eastAsia="Calibri"/>
          <w:sz w:val="24"/>
          <w:szCs w:val="24"/>
        </w:rPr>
        <w:lastRenderedPageBreak/>
        <w:t>Table 4</w:t>
      </w:r>
    </w:p>
    <w:p w14:paraId="320DF891" w14:textId="77777777" w:rsidR="00B50F1D" w:rsidRPr="00B50F1D" w:rsidRDefault="00B50F1D" w:rsidP="00B50F1D">
      <w:pPr>
        <w:spacing w:after="200" w:line="276" w:lineRule="auto"/>
        <w:jc w:val="center"/>
        <w:rPr>
          <w:rFonts w:eastAsia="Calibri"/>
          <w:sz w:val="24"/>
          <w:szCs w:val="24"/>
        </w:rPr>
      </w:pPr>
      <w:r w:rsidRPr="00B50F1D">
        <w:rPr>
          <w:rFonts w:eastAsia="Calibri"/>
          <w:sz w:val="24"/>
          <w:szCs w:val="24"/>
        </w:rPr>
        <w:t>Midwest Univariate Markov-Switching Models</w:t>
      </w:r>
    </w:p>
    <w:tbl>
      <w:tblPr>
        <w:tblW w:w="0" w:type="auto"/>
        <w:jc w:val="center"/>
        <w:tblLook w:val="04A0" w:firstRow="1" w:lastRow="0" w:firstColumn="1" w:lastColumn="0" w:noHBand="0" w:noVBand="1"/>
      </w:tblPr>
      <w:tblGrid>
        <w:gridCol w:w="1736"/>
        <w:gridCol w:w="956"/>
        <w:gridCol w:w="956"/>
        <w:gridCol w:w="956"/>
        <w:gridCol w:w="956"/>
      </w:tblGrid>
      <w:tr w:rsidR="00B50F1D" w:rsidRPr="00B50F1D" w14:paraId="37400413" w14:textId="77777777" w:rsidTr="005D3E3E">
        <w:trPr>
          <w:trHeight w:val="300"/>
          <w:jc w:val="center"/>
        </w:trPr>
        <w:tc>
          <w:tcPr>
            <w:tcW w:w="0" w:type="auto"/>
            <w:tcBorders>
              <w:top w:val="single" w:sz="4" w:space="0" w:color="auto"/>
              <w:left w:val="nil"/>
              <w:bottom w:val="single" w:sz="4" w:space="0" w:color="auto"/>
              <w:right w:val="nil"/>
            </w:tcBorders>
            <w:shd w:val="clear" w:color="auto" w:fill="auto"/>
            <w:noWrap/>
            <w:vAlign w:val="bottom"/>
            <w:hideMark/>
          </w:tcPr>
          <w:p w14:paraId="5D05A89E" w14:textId="77777777" w:rsidR="00B50F1D" w:rsidRPr="00B50F1D" w:rsidRDefault="00B50F1D" w:rsidP="00B50F1D">
            <w:pPr>
              <w:spacing w:after="0" w:line="240" w:lineRule="auto"/>
              <w:rPr>
                <w:rFonts w:eastAsia="Times New Roman"/>
                <w:sz w:val="24"/>
                <w:szCs w:val="24"/>
              </w:rPr>
            </w:pPr>
          </w:p>
        </w:tc>
        <w:tc>
          <w:tcPr>
            <w:tcW w:w="0" w:type="auto"/>
            <w:tcBorders>
              <w:top w:val="single" w:sz="4" w:space="0" w:color="auto"/>
              <w:left w:val="nil"/>
              <w:bottom w:val="single" w:sz="4" w:space="0" w:color="auto"/>
              <w:right w:val="nil"/>
            </w:tcBorders>
            <w:shd w:val="clear" w:color="auto" w:fill="auto"/>
            <w:noWrap/>
            <w:vAlign w:val="bottom"/>
            <w:hideMark/>
          </w:tcPr>
          <w:p w14:paraId="3D229C5A"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MS2</w:t>
            </w:r>
          </w:p>
        </w:tc>
        <w:tc>
          <w:tcPr>
            <w:tcW w:w="0" w:type="auto"/>
            <w:tcBorders>
              <w:top w:val="single" w:sz="4" w:space="0" w:color="auto"/>
              <w:left w:val="nil"/>
              <w:bottom w:val="single" w:sz="4" w:space="0" w:color="auto"/>
              <w:right w:val="nil"/>
            </w:tcBorders>
            <w:shd w:val="clear" w:color="auto" w:fill="auto"/>
            <w:noWrap/>
            <w:vAlign w:val="bottom"/>
            <w:hideMark/>
          </w:tcPr>
          <w:p w14:paraId="73D4F232"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MS3</w:t>
            </w:r>
          </w:p>
        </w:tc>
        <w:tc>
          <w:tcPr>
            <w:tcW w:w="0" w:type="auto"/>
            <w:tcBorders>
              <w:top w:val="single" w:sz="4" w:space="0" w:color="auto"/>
              <w:left w:val="nil"/>
              <w:bottom w:val="single" w:sz="4" w:space="0" w:color="auto"/>
              <w:right w:val="nil"/>
            </w:tcBorders>
            <w:shd w:val="clear" w:color="auto" w:fill="auto"/>
            <w:noWrap/>
            <w:vAlign w:val="bottom"/>
            <w:hideMark/>
          </w:tcPr>
          <w:p w14:paraId="4B5C6FA2"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MS2AR</w:t>
            </w:r>
          </w:p>
        </w:tc>
        <w:tc>
          <w:tcPr>
            <w:tcW w:w="0" w:type="auto"/>
            <w:tcBorders>
              <w:top w:val="single" w:sz="4" w:space="0" w:color="auto"/>
              <w:left w:val="nil"/>
              <w:bottom w:val="single" w:sz="4" w:space="0" w:color="auto"/>
              <w:right w:val="nil"/>
            </w:tcBorders>
            <w:shd w:val="clear" w:color="auto" w:fill="auto"/>
            <w:noWrap/>
            <w:vAlign w:val="bottom"/>
            <w:hideMark/>
          </w:tcPr>
          <w:p w14:paraId="34338347"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MS3AR</w:t>
            </w:r>
          </w:p>
        </w:tc>
      </w:tr>
      <w:tr w:rsidR="00B50F1D" w:rsidRPr="00B50F1D" w14:paraId="6274F03B"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hideMark/>
          </w:tcPr>
          <w:p w14:paraId="2DE9191B" w14:textId="77777777" w:rsidR="00B50F1D" w:rsidRPr="00B50F1D" w:rsidRDefault="00B50F1D" w:rsidP="00B50F1D">
            <w:pPr>
              <w:spacing w:after="0" w:line="240" w:lineRule="auto"/>
              <w:rPr>
                <w:rFonts w:eastAsia="Times New Roman"/>
                <w:i/>
                <w:sz w:val="24"/>
                <w:szCs w:val="24"/>
              </w:rPr>
            </w:pPr>
            <w:r w:rsidRPr="00B50F1D">
              <w:rPr>
                <w:rFonts w:eastAsia="Calibri"/>
                <w:i/>
                <w:sz w:val="24"/>
                <w:szCs w:val="24"/>
              </w:rPr>
              <w:t>Regime 1</w:t>
            </w:r>
          </w:p>
        </w:tc>
      </w:tr>
      <w:tr w:rsidR="00B50F1D" w:rsidRPr="00B50F1D" w14:paraId="00E00CFE"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3B30F5F4" w14:textId="77777777" w:rsidR="00B50F1D" w:rsidRPr="00B50F1D" w:rsidRDefault="00B50F1D" w:rsidP="00B50F1D">
            <w:pPr>
              <w:spacing w:after="0" w:line="240" w:lineRule="auto"/>
              <w:rPr>
                <w:rFonts w:eastAsia="Times New Roman"/>
                <w:color w:val="000000"/>
                <w:sz w:val="24"/>
                <w:szCs w:val="24"/>
              </w:rPr>
            </w:pPr>
            <m:oMath>
              <m:r>
                <w:rPr>
                  <w:rFonts w:ascii="Cambria Math" w:eastAsia="Times New Roman" w:hAnsi="Cambria Math"/>
                  <w:color w:val="000000"/>
                  <w:sz w:val="24"/>
                  <w:szCs w:val="24"/>
                </w:rPr>
                <m:t>U</m:t>
              </m:r>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S</m:t>
                  </m:r>
                </m:e>
                <m:sub>
                  <m:r>
                    <w:rPr>
                      <w:rFonts w:ascii="Cambria Math" w:eastAsia="Times New Roman" w:hAnsi="Cambria Math"/>
                      <w:color w:val="000000"/>
                      <w:sz w:val="24"/>
                      <w:szCs w:val="24"/>
                    </w:rPr>
                    <m:t>t-1</m:t>
                  </m:r>
                </m:sub>
              </m:sSub>
            </m:oMath>
            <w:r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6058686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3AAA44A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3118C9E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0.96</w:t>
            </w:r>
          </w:p>
        </w:tc>
        <w:tc>
          <w:tcPr>
            <w:tcW w:w="0" w:type="auto"/>
            <w:tcBorders>
              <w:top w:val="single" w:sz="4" w:space="0" w:color="auto"/>
              <w:left w:val="nil"/>
              <w:bottom w:val="nil"/>
              <w:right w:val="nil"/>
            </w:tcBorders>
            <w:shd w:val="clear" w:color="auto" w:fill="auto"/>
            <w:noWrap/>
            <w:vAlign w:val="center"/>
            <w:hideMark/>
          </w:tcPr>
          <w:p w14:paraId="1F0794B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0.95</w:t>
            </w:r>
          </w:p>
        </w:tc>
      </w:tr>
      <w:tr w:rsidR="00B50F1D" w:rsidRPr="00B50F1D" w14:paraId="7FFF672A" w14:textId="77777777" w:rsidTr="005D3E3E">
        <w:trPr>
          <w:trHeight w:val="300"/>
          <w:jc w:val="center"/>
        </w:trPr>
        <w:tc>
          <w:tcPr>
            <w:tcW w:w="0" w:type="auto"/>
            <w:tcBorders>
              <w:top w:val="nil"/>
              <w:left w:val="nil"/>
              <w:bottom w:val="nil"/>
              <w:right w:val="nil"/>
            </w:tcBorders>
            <w:shd w:val="clear" w:color="auto" w:fill="auto"/>
            <w:noWrap/>
            <w:hideMark/>
          </w:tcPr>
          <w:p w14:paraId="2E5F12B7"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105DB0E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5594D2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DF1933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0.02</w:t>
            </w:r>
          </w:p>
        </w:tc>
        <w:tc>
          <w:tcPr>
            <w:tcW w:w="0" w:type="auto"/>
            <w:tcBorders>
              <w:top w:val="nil"/>
              <w:left w:val="nil"/>
              <w:bottom w:val="nil"/>
              <w:right w:val="nil"/>
            </w:tcBorders>
            <w:shd w:val="clear" w:color="auto" w:fill="auto"/>
            <w:noWrap/>
            <w:vAlign w:val="center"/>
            <w:hideMark/>
          </w:tcPr>
          <w:p w14:paraId="37A9967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0.04</w:t>
            </w:r>
          </w:p>
        </w:tc>
      </w:tr>
      <w:tr w:rsidR="00B50F1D" w:rsidRPr="00B50F1D" w14:paraId="73AA4539" w14:textId="77777777" w:rsidTr="005D3E3E">
        <w:trPr>
          <w:trHeight w:val="300"/>
          <w:jc w:val="center"/>
        </w:trPr>
        <w:tc>
          <w:tcPr>
            <w:tcW w:w="0" w:type="auto"/>
            <w:tcBorders>
              <w:top w:val="nil"/>
              <w:left w:val="nil"/>
              <w:bottom w:val="nil"/>
              <w:right w:val="nil"/>
            </w:tcBorders>
            <w:shd w:val="clear" w:color="auto" w:fill="auto"/>
            <w:noWrap/>
            <w:hideMark/>
          </w:tcPr>
          <w:p w14:paraId="0425BF15"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37202FD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1.21</w:t>
            </w:r>
          </w:p>
        </w:tc>
        <w:tc>
          <w:tcPr>
            <w:tcW w:w="0" w:type="auto"/>
            <w:tcBorders>
              <w:top w:val="nil"/>
              <w:left w:val="nil"/>
              <w:bottom w:val="nil"/>
              <w:right w:val="nil"/>
            </w:tcBorders>
            <w:shd w:val="clear" w:color="auto" w:fill="auto"/>
            <w:noWrap/>
            <w:vAlign w:val="center"/>
            <w:hideMark/>
          </w:tcPr>
          <w:p w14:paraId="68D73EB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1.12</w:t>
            </w:r>
          </w:p>
        </w:tc>
        <w:tc>
          <w:tcPr>
            <w:tcW w:w="0" w:type="auto"/>
            <w:tcBorders>
              <w:top w:val="nil"/>
              <w:left w:val="nil"/>
              <w:bottom w:val="nil"/>
              <w:right w:val="nil"/>
            </w:tcBorders>
            <w:shd w:val="clear" w:color="auto" w:fill="auto"/>
            <w:noWrap/>
            <w:vAlign w:val="center"/>
            <w:hideMark/>
          </w:tcPr>
          <w:p w14:paraId="248CD70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0.06</w:t>
            </w:r>
          </w:p>
        </w:tc>
        <w:tc>
          <w:tcPr>
            <w:tcW w:w="0" w:type="auto"/>
            <w:tcBorders>
              <w:top w:val="nil"/>
              <w:left w:val="nil"/>
              <w:bottom w:val="nil"/>
              <w:right w:val="nil"/>
            </w:tcBorders>
            <w:shd w:val="clear" w:color="auto" w:fill="auto"/>
            <w:noWrap/>
            <w:vAlign w:val="center"/>
            <w:hideMark/>
          </w:tcPr>
          <w:p w14:paraId="4A211EE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0.07</w:t>
            </w:r>
          </w:p>
        </w:tc>
      </w:tr>
      <w:tr w:rsidR="00B50F1D" w:rsidRPr="00B50F1D" w14:paraId="7F4E3CA3" w14:textId="77777777" w:rsidTr="005D3E3E">
        <w:trPr>
          <w:trHeight w:val="300"/>
          <w:jc w:val="center"/>
        </w:trPr>
        <w:tc>
          <w:tcPr>
            <w:tcW w:w="0" w:type="auto"/>
            <w:tcBorders>
              <w:top w:val="nil"/>
              <w:left w:val="nil"/>
              <w:bottom w:val="nil"/>
              <w:right w:val="nil"/>
            </w:tcBorders>
            <w:shd w:val="clear" w:color="auto" w:fill="auto"/>
            <w:noWrap/>
            <w:hideMark/>
          </w:tcPr>
          <w:p w14:paraId="662E9158"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238ABDB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0.02</w:t>
            </w:r>
          </w:p>
        </w:tc>
        <w:tc>
          <w:tcPr>
            <w:tcW w:w="0" w:type="auto"/>
            <w:tcBorders>
              <w:top w:val="nil"/>
              <w:left w:val="nil"/>
              <w:bottom w:val="nil"/>
              <w:right w:val="nil"/>
            </w:tcBorders>
            <w:shd w:val="clear" w:color="auto" w:fill="auto"/>
            <w:noWrap/>
            <w:vAlign w:val="center"/>
            <w:hideMark/>
          </w:tcPr>
          <w:p w14:paraId="1C9C68F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c>
          <w:tcPr>
            <w:tcW w:w="0" w:type="auto"/>
            <w:tcBorders>
              <w:top w:val="nil"/>
              <w:left w:val="nil"/>
              <w:bottom w:val="nil"/>
              <w:right w:val="nil"/>
            </w:tcBorders>
            <w:shd w:val="clear" w:color="auto" w:fill="auto"/>
            <w:noWrap/>
            <w:vAlign w:val="center"/>
            <w:hideMark/>
          </w:tcPr>
          <w:p w14:paraId="3773F65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c>
          <w:tcPr>
            <w:tcW w:w="0" w:type="auto"/>
            <w:tcBorders>
              <w:top w:val="nil"/>
              <w:left w:val="nil"/>
              <w:bottom w:val="nil"/>
              <w:right w:val="nil"/>
            </w:tcBorders>
            <w:shd w:val="clear" w:color="auto" w:fill="auto"/>
            <w:noWrap/>
            <w:vAlign w:val="center"/>
            <w:hideMark/>
          </w:tcPr>
          <w:p w14:paraId="76BE584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0.05</w:t>
            </w:r>
          </w:p>
        </w:tc>
      </w:tr>
      <w:tr w:rsidR="00B50F1D" w:rsidRPr="00B50F1D" w14:paraId="0C30461C" w14:textId="77777777" w:rsidTr="005D3E3E">
        <w:trPr>
          <w:trHeight w:val="300"/>
          <w:jc w:val="center"/>
        </w:trPr>
        <w:tc>
          <w:tcPr>
            <w:tcW w:w="0" w:type="auto"/>
            <w:tcBorders>
              <w:top w:val="nil"/>
              <w:left w:val="nil"/>
              <w:bottom w:val="nil"/>
              <w:right w:val="nil"/>
            </w:tcBorders>
            <w:shd w:val="clear" w:color="auto" w:fill="auto"/>
            <w:noWrap/>
            <w:hideMark/>
          </w:tcPr>
          <w:p w14:paraId="7779421B"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01EA009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0.26</w:t>
            </w:r>
          </w:p>
        </w:tc>
        <w:tc>
          <w:tcPr>
            <w:tcW w:w="0" w:type="auto"/>
            <w:tcBorders>
              <w:top w:val="nil"/>
              <w:left w:val="nil"/>
              <w:bottom w:val="nil"/>
              <w:right w:val="nil"/>
            </w:tcBorders>
            <w:shd w:val="clear" w:color="auto" w:fill="auto"/>
            <w:noWrap/>
            <w:vAlign w:val="center"/>
            <w:hideMark/>
          </w:tcPr>
          <w:p w14:paraId="09267C2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0.23</w:t>
            </w:r>
          </w:p>
        </w:tc>
        <w:tc>
          <w:tcPr>
            <w:tcW w:w="0" w:type="auto"/>
            <w:tcBorders>
              <w:top w:val="nil"/>
              <w:left w:val="nil"/>
              <w:bottom w:val="nil"/>
              <w:right w:val="nil"/>
            </w:tcBorders>
            <w:shd w:val="clear" w:color="auto" w:fill="auto"/>
            <w:noWrap/>
            <w:vAlign w:val="center"/>
            <w:hideMark/>
          </w:tcPr>
          <w:p w14:paraId="247593F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0.17</w:t>
            </w:r>
          </w:p>
        </w:tc>
        <w:tc>
          <w:tcPr>
            <w:tcW w:w="0" w:type="auto"/>
            <w:tcBorders>
              <w:top w:val="nil"/>
              <w:left w:val="nil"/>
              <w:bottom w:val="nil"/>
              <w:right w:val="nil"/>
            </w:tcBorders>
            <w:shd w:val="clear" w:color="auto" w:fill="auto"/>
            <w:noWrap/>
            <w:vAlign w:val="center"/>
            <w:hideMark/>
          </w:tcPr>
          <w:p w14:paraId="4DBAA3F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0.16</w:t>
            </w:r>
          </w:p>
        </w:tc>
      </w:tr>
      <w:tr w:rsidR="00B50F1D" w:rsidRPr="00B50F1D" w14:paraId="609147D9"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32FE4B08" w14:textId="77777777" w:rsidR="00B50F1D" w:rsidRPr="00B50F1D" w:rsidRDefault="00B50F1D" w:rsidP="00B50F1D">
            <w:pPr>
              <w:spacing w:after="0" w:line="240" w:lineRule="auto"/>
              <w:rPr>
                <w:rFonts w:eastAsia="Times New Roman"/>
                <w:i/>
                <w:color w:val="000000"/>
                <w:sz w:val="24"/>
                <w:szCs w:val="24"/>
              </w:rPr>
            </w:pPr>
            <w:r w:rsidRPr="00B50F1D">
              <w:rPr>
                <w:rFonts w:eastAsia="Calibri"/>
                <w:i/>
                <w:sz w:val="24"/>
                <w:szCs w:val="24"/>
              </w:rPr>
              <w:t>Regime 2</w:t>
            </w:r>
          </w:p>
        </w:tc>
      </w:tr>
      <w:tr w:rsidR="00B50F1D" w:rsidRPr="00B50F1D" w14:paraId="359575BD"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407E36C9" w14:textId="77777777" w:rsidR="00B50F1D" w:rsidRPr="00B50F1D" w:rsidRDefault="00B50F1D" w:rsidP="00B50F1D">
            <w:pPr>
              <w:spacing w:after="0" w:line="240" w:lineRule="auto"/>
              <w:rPr>
                <w:rFonts w:eastAsia="Times New Roman"/>
                <w:color w:val="000000"/>
                <w:sz w:val="24"/>
                <w:szCs w:val="24"/>
              </w:rPr>
            </w:pPr>
            <m:oMath>
              <m:r>
                <w:rPr>
                  <w:rFonts w:ascii="Cambria Math" w:eastAsia="Times New Roman" w:hAnsi="Cambria Math"/>
                  <w:color w:val="000000"/>
                  <w:sz w:val="24"/>
                  <w:szCs w:val="24"/>
                </w:rPr>
                <m:t>U</m:t>
              </m:r>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S</m:t>
                  </m:r>
                </m:e>
                <m:sub>
                  <m:r>
                    <w:rPr>
                      <w:rFonts w:ascii="Cambria Math" w:eastAsia="Times New Roman" w:hAnsi="Cambria Math"/>
                      <w:color w:val="000000"/>
                      <w:sz w:val="24"/>
                      <w:szCs w:val="24"/>
                    </w:rPr>
                    <m:t>t-1</m:t>
                  </m:r>
                </m:sub>
              </m:sSub>
            </m:oMath>
            <w:r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4508868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731DA3C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53213F7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0.71</w:t>
            </w:r>
          </w:p>
        </w:tc>
        <w:tc>
          <w:tcPr>
            <w:tcW w:w="0" w:type="auto"/>
            <w:tcBorders>
              <w:top w:val="single" w:sz="4" w:space="0" w:color="auto"/>
              <w:left w:val="nil"/>
              <w:bottom w:val="nil"/>
              <w:right w:val="nil"/>
            </w:tcBorders>
            <w:shd w:val="clear" w:color="auto" w:fill="auto"/>
            <w:noWrap/>
            <w:vAlign w:val="center"/>
            <w:hideMark/>
          </w:tcPr>
          <w:p w14:paraId="3D8BC1C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0.78</w:t>
            </w:r>
          </w:p>
        </w:tc>
      </w:tr>
      <w:tr w:rsidR="00B50F1D" w:rsidRPr="00B50F1D" w14:paraId="1457A066" w14:textId="77777777" w:rsidTr="005D3E3E">
        <w:trPr>
          <w:trHeight w:val="300"/>
          <w:jc w:val="center"/>
        </w:trPr>
        <w:tc>
          <w:tcPr>
            <w:tcW w:w="0" w:type="auto"/>
            <w:tcBorders>
              <w:top w:val="nil"/>
              <w:left w:val="nil"/>
              <w:bottom w:val="nil"/>
              <w:right w:val="nil"/>
            </w:tcBorders>
            <w:shd w:val="clear" w:color="auto" w:fill="auto"/>
            <w:noWrap/>
            <w:hideMark/>
          </w:tcPr>
          <w:p w14:paraId="41D29EF7"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4829324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6F7A079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781D7C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0.24</w:t>
            </w:r>
          </w:p>
        </w:tc>
        <w:tc>
          <w:tcPr>
            <w:tcW w:w="0" w:type="auto"/>
            <w:tcBorders>
              <w:top w:val="nil"/>
              <w:left w:val="nil"/>
              <w:bottom w:val="nil"/>
              <w:right w:val="nil"/>
            </w:tcBorders>
            <w:shd w:val="clear" w:color="auto" w:fill="auto"/>
            <w:noWrap/>
            <w:vAlign w:val="center"/>
            <w:hideMark/>
          </w:tcPr>
          <w:p w14:paraId="0B3F3EC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0.20</w:t>
            </w:r>
          </w:p>
        </w:tc>
      </w:tr>
      <w:tr w:rsidR="00B50F1D" w:rsidRPr="00B50F1D" w14:paraId="73678F4C" w14:textId="77777777" w:rsidTr="005D3E3E">
        <w:trPr>
          <w:trHeight w:val="300"/>
          <w:jc w:val="center"/>
        </w:trPr>
        <w:tc>
          <w:tcPr>
            <w:tcW w:w="0" w:type="auto"/>
            <w:tcBorders>
              <w:top w:val="nil"/>
              <w:left w:val="nil"/>
              <w:bottom w:val="nil"/>
              <w:right w:val="nil"/>
            </w:tcBorders>
            <w:shd w:val="clear" w:color="auto" w:fill="auto"/>
            <w:noWrap/>
            <w:hideMark/>
          </w:tcPr>
          <w:p w14:paraId="00B12F91"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287A7E3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2.20</w:t>
            </w:r>
          </w:p>
        </w:tc>
        <w:tc>
          <w:tcPr>
            <w:tcW w:w="0" w:type="auto"/>
            <w:tcBorders>
              <w:top w:val="nil"/>
              <w:left w:val="nil"/>
              <w:bottom w:val="nil"/>
              <w:right w:val="nil"/>
            </w:tcBorders>
            <w:shd w:val="clear" w:color="auto" w:fill="auto"/>
            <w:noWrap/>
            <w:vAlign w:val="center"/>
            <w:hideMark/>
          </w:tcPr>
          <w:p w14:paraId="7E496BE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1.62</w:t>
            </w:r>
          </w:p>
        </w:tc>
        <w:tc>
          <w:tcPr>
            <w:tcW w:w="0" w:type="auto"/>
            <w:tcBorders>
              <w:top w:val="nil"/>
              <w:left w:val="nil"/>
              <w:bottom w:val="nil"/>
              <w:right w:val="nil"/>
            </w:tcBorders>
            <w:shd w:val="clear" w:color="auto" w:fill="auto"/>
            <w:noWrap/>
            <w:vAlign w:val="center"/>
            <w:hideMark/>
          </w:tcPr>
          <w:p w14:paraId="61BCA94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0.43</w:t>
            </w:r>
          </w:p>
        </w:tc>
        <w:tc>
          <w:tcPr>
            <w:tcW w:w="0" w:type="auto"/>
            <w:tcBorders>
              <w:top w:val="nil"/>
              <w:left w:val="nil"/>
              <w:bottom w:val="nil"/>
              <w:right w:val="nil"/>
            </w:tcBorders>
            <w:shd w:val="clear" w:color="auto" w:fill="auto"/>
            <w:noWrap/>
            <w:vAlign w:val="center"/>
            <w:hideMark/>
          </w:tcPr>
          <w:p w14:paraId="1DB63DA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0.33</w:t>
            </w:r>
          </w:p>
        </w:tc>
      </w:tr>
      <w:tr w:rsidR="00B50F1D" w:rsidRPr="00B50F1D" w14:paraId="5EAC3164" w14:textId="77777777" w:rsidTr="005D3E3E">
        <w:trPr>
          <w:trHeight w:val="300"/>
          <w:jc w:val="center"/>
        </w:trPr>
        <w:tc>
          <w:tcPr>
            <w:tcW w:w="0" w:type="auto"/>
            <w:tcBorders>
              <w:top w:val="nil"/>
              <w:left w:val="nil"/>
              <w:bottom w:val="nil"/>
              <w:right w:val="nil"/>
            </w:tcBorders>
            <w:shd w:val="clear" w:color="auto" w:fill="auto"/>
            <w:noWrap/>
            <w:hideMark/>
          </w:tcPr>
          <w:p w14:paraId="66F144D4"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50EA5A5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0.07</w:t>
            </w:r>
          </w:p>
        </w:tc>
        <w:tc>
          <w:tcPr>
            <w:tcW w:w="0" w:type="auto"/>
            <w:tcBorders>
              <w:top w:val="nil"/>
              <w:left w:val="nil"/>
              <w:bottom w:val="nil"/>
              <w:right w:val="nil"/>
            </w:tcBorders>
            <w:shd w:val="clear" w:color="auto" w:fill="auto"/>
            <w:noWrap/>
            <w:vAlign w:val="center"/>
            <w:hideMark/>
          </w:tcPr>
          <w:p w14:paraId="4998E04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0.06</w:t>
            </w:r>
          </w:p>
        </w:tc>
        <w:tc>
          <w:tcPr>
            <w:tcW w:w="0" w:type="auto"/>
            <w:tcBorders>
              <w:top w:val="nil"/>
              <w:left w:val="nil"/>
              <w:bottom w:val="nil"/>
              <w:right w:val="nil"/>
            </w:tcBorders>
            <w:shd w:val="clear" w:color="auto" w:fill="auto"/>
            <w:noWrap/>
            <w:vAlign w:val="center"/>
            <w:hideMark/>
          </w:tcPr>
          <w:p w14:paraId="08E1A6E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0.30</w:t>
            </w:r>
          </w:p>
        </w:tc>
        <w:tc>
          <w:tcPr>
            <w:tcW w:w="0" w:type="auto"/>
            <w:tcBorders>
              <w:top w:val="nil"/>
              <w:left w:val="nil"/>
              <w:bottom w:val="nil"/>
              <w:right w:val="nil"/>
            </w:tcBorders>
            <w:shd w:val="clear" w:color="auto" w:fill="auto"/>
            <w:noWrap/>
            <w:vAlign w:val="center"/>
            <w:hideMark/>
          </w:tcPr>
          <w:p w14:paraId="53CC462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0.27</w:t>
            </w:r>
          </w:p>
        </w:tc>
      </w:tr>
      <w:tr w:rsidR="00B50F1D" w:rsidRPr="00B50F1D" w14:paraId="087BEC47" w14:textId="77777777" w:rsidTr="005D3E3E">
        <w:trPr>
          <w:trHeight w:val="300"/>
          <w:jc w:val="center"/>
        </w:trPr>
        <w:tc>
          <w:tcPr>
            <w:tcW w:w="0" w:type="auto"/>
            <w:tcBorders>
              <w:top w:val="nil"/>
              <w:left w:val="nil"/>
              <w:bottom w:val="nil"/>
              <w:right w:val="nil"/>
            </w:tcBorders>
            <w:shd w:val="clear" w:color="auto" w:fill="auto"/>
            <w:noWrap/>
            <w:hideMark/>
          </w:tcPr>
          <w:p w14:paraId="0EEFA066"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19E91F1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0.47</w:t>
            </w:r>
          </w:p>
        </w:tc>
        <w:tc>
          <w:tcPr>
            <w:tcW w:w="0" w:type="auto"/>
            <w:tcBorders>
              <w:top w:val="nil"/>
              <w:left w:val="nil"/>
              <w:bottom w:val="nil"/>
              <w:right w:val="nil"/>
            </w:tcBorders>
            <w:shd w:val="clear" w:color="auto" w:fill="auto"/>
            <w:noWrap/>
            <w:vAlign w:val="center"/>
            <w:hideMark/>
          </w:tcPr>
          <w:p w14:paraId="1F5A1AA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0.25</w:t>
            </w:r>
          </w:p>
        </w:tc>
        <w:tc>
          <w:tcPr>
            <w:tcW w:w="0" w:type="auto"/>
            <w:tcBorders>
              <w:top w:val="nil"/>
              <w:left w:val="nil"/>
              <w:bottom w:val="nil"/>
              <w:right w:val="nil"/>
            </w:tcBorders>
            <w:shd w:val="clear" w:color="auto" w:fill="auto"/>
            <w:noWrap/>
            <w:vAlign w:val="center"/>
            <w:hideMark/>
          </w:tcPr>
          <w:p w14:paraId="5EBE6BF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0.37</w:t>
            </w:r>
          </w:p>
        </w:tc>
        <w:tc>
          <w:tcPr>
            <w:tcW w:w="0" w:type="auto"/>
            <w:tcBorders>
              <w:top w:val="nil"/>
              <w:left w:val="nil"/>
              <w:bottom w:val="nil"/>
              <w:right w:val="nil"/>
            </w:tcBorders>
            <w:shd w:val="clear" w:color="auto" w:fill="auto"/>
            <w:noWrap/>
            <w:vAlign w:val="center"/>
            <w:hideMark/>
          </w:tcPr>
          <w:p w14:paraId="4A3FB12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0.35</w:t>
            </w:r>
          </w:p>
        </w:tc>
      </w:tr>
      <w:tr w:rsidR="00B50F1D" w:rsidRPr="00B50F1D" w14:paraId="262ED6C8"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152421BC" w14:textId="77777777" w:rsidR="00B50F1D" w:rsidRPr="00B50F1D" w:rsidRDefault="00B50F1D" w:rsidP="00B50F1D">
            <w:pPr>
              <w:spacing w:after="0" w:line="240" w:lineRule="auto"/>
              <w:rPr>
                <w:rFonts w:eastAsia="Times New Roman"/>
                <w:i/>
                <w:color w:val="000000"/>
                <w:sz w:val="24"/>
                <w:szCs w:val="24"/>
              </w:rPr>
            </w:pPr>
            <w:r w:rsidRPr="00B50F1D">
              <w:rPr>
                <w:rFonts w:eastAsia="Calibri"/>
                <w:i/>
                <w:sz w:val="24"/>
                <w:szCs w:val="24"/>
              </w:rPr>
              <w:t>Regime 3</w:t>
            </w:r>
          </w:p>
        </w:tc>
      </w:tr>
      <w:tr w:rsidR="00B50F1D" w:rsidRPr="00B50F1D" w14:paraId="0175BB6F"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6DF273F2" w14:textId="77777777" w:rsidR="00B50F1D" w:rsidRPr="00B50F1D" w:rsidRDefault="00B50F1D" w:rsidP="00B50F1D">
            <w:pPr>
              <w:spacing w:after="0" w:line="240" w:lineRule="auto"/>
              <w:rPr>
                <w:rFonts w:eastAsia="Times New Roman"/>
                <w:color w:val="000000"/>
                <w:sz w:val="24"/>
                <w:szCs w:val="24"/>
              </w:rPr>
            </w:pPr>
            <m:oMath>
              <m:r>
                <w:rPr>
                  <w:rFonts w:ascii="Cambria Math" w:eastAsia="Times New Roman" w:hAnsi="Cambria Math"/>
                  <w:color w:val="000000"/>
                  <w:sz w:val="24"/>
                  <w:szCs w:val="24"/>
                </w:rPr>
                <m:t>U</m:t>
              </m:r>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S</m:t>
                  </m:r>
                </m:e>
                <m:sub>
                  <m:r>
                    <w:rPr>
                      <w:rFonts w:ascii="Cambria Math" w:eastAsia="Times New Roman" w:hAnsi="Cambria Math"/>
                      <w:color w:val="000000"/>
                      <w:sz w:val="24"/>
                      <w:szCs w:val="24"/>
                    </w:rPr>
                    <m:t>t-1</m:t>
                  </m:r>
                </m:sub>
              </m:sSub>
            </m:oMath>
            <w:r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0956FB1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68EB2B5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20E9C8B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43C541A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0.78</w:t>
            </w:r>
          </w:p>
        </w:tc>
      </w:tr>
      <w:tr w:rsidR="00B50F1D" w:rsidRPr="00B50F1D" w14:paraId="2D090560" w14:textId="77777777" w:rsidTr="005D3E3E">
        <w:trPr>
          <w:trHeight w:val="300"/>
          <w:jc w:val="center"/>
        </w:trPr>
        <w:tc>
          <w:tcPr>
            <w:tcW w:w="0" w:type="auto"/>
            <w:tcBorders>
              <w:top w:val="nil"/>
              <w:left w:val="nil"/>
              <w:bottom w:val="nil"/>
              <w:right w:val="nil"/>
            </w:tcBorders>
            <w:shd w:val="clear" w:color="auto" w:fill="auto"/>
            <w:noWrap/>
            <w:hideMark/>
          </w:tcPr>
          <w:p w14:paraId="1CA4312C"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61FF200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137C96F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2DB8E2A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28DC788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0.18</w:t>
            </w:r>
          </w:p>
        </w:tc>
      </w:tr>
      <w:tr w:rsidR="00B50F1D" w:rsidRPr="00B50F1D" w14:paraId="564800BB" w14:textId="77777777" w:rsidTr="005D3E3E">
        <w:trPr>
          <w:trHeight w:val="300"/>
          <w:jc w:val="center"/>
        </w:trPr>
        <w:tc>
          <w:tcPr>
            <w:tcW w:w="0" w:type="auto"/>
            <w:tcBorders>
              <w:top w:val="nil"/>
              <w:left w:val="nil"/>
              <w:bottom w:val="nil"/>
              <w:right w:val="nil"/>
            </w:tcBorders>
            <w:shd w:val="clear" w:color="auto" w:fill="auto"/>
            <w:noWrap/>
            <w:hideMark/>
          </w:tcPr>
          <w:p w14:paraId="4E1FF30A"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3ABBA53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BBD2B7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2.52</w:t>
            </w:r>
          </w:p>
        </w:tc>
        <w:tc>
          <w:tcPr>
            <w:tcW w:w="0" w:type="auto"/>
            <w:tcBorders>
              <w:top w:val="nil"/>
              <w:left w:val="nil"/>
              <w:bottom w:val="nil"/>
              <w:right w:val="nil"/>
            </w:tcBorders>
            <w:shd w:val="clear" w:color="auto" w:fill="auto"/>
            <w:noWrap/>
            <w:vAlign w:val="center"/>
            <w:hideMark/>
          </w:tcPr>
          <w:p w14:paraId="3339EFF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50B8A2B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0.35</w:t>
            </w:r>
          </w:p>
        </w:tc>
      </w:tr>
      <w:tr w:rsidR="00B50F1D" w:rsidRPr="00B50F1D" w14:paraId="67AC48BE" w14:textId="77777777" w:rsidTr="005D3E3E">
        <w:trPr>
          <w:trHeight w:val="300"/>
          <w:jc w:val="center"/>
        </w:trPr>
        <w:tc>
          <w:tcPr>
            <w:tcW w:w="0" w:type="auto"/>
            <w:tcBorders>
              <w:top w:val="nil"/>
              <w:left w:val="nil"/>
              <w:bottom w:val="nil"/>
              <w:right w:val="nil"/>
            </w:tcBorders>
            <w:shd w:val="clear" w:color="auto" w:fill="auto"/>
            <w:noWrap/>
            <w:hideMark/>
          </w:tcPr>
          <w:p w14:paraId="2350D822"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6F804DC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28353C7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0.09</w:t>
            </w:r>
          </w:p>
        </w:tc>
        <w:tc>
          <w:tcPr>
            <w:tcW w:w="0" w:type="auto"/>
            <w:tcBorders>
              <w:top w:val="nil"/>
              <w:left w:val="nil"/>
              <w:bottom w:val="nil"/>
              <w:right w:val="nil"/>
            </w:tcBorders>
            <w:shd w:val="clear" w:color="auto" w:fill="auto"/>
            <w:noWrap/>
            <w:vAlign w:val="center"/>
            <w:hideMark/>
          </w:tcPr>
          <w:p w14:paraId="1D5E55D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710B99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0.27</w:t>
            </w:r>
          </w:p>
        </w:tc>
      </w:tr>
      <w:tr w:rsidR="00B50F1D" w:rsidRPr="00B50F1D" w14:paraId="7D18502F" w14:textId="77777777" w:rsidTr="005D3E3E">
        <w:trPr>
          <w:trHeight w:val="300"/>
          <w:jc w:val="center"/>
        </w:trPr>
        <w:tc>
          <w:tcPr>
            <w:tcW w:w="0" w:type="auto"/>
            <w:tcBorders>
              <w:top w:val="nil"/>
              <w:left w:val="nil"/>
              <w:bottom w:val="nil"/>
              <w:right w:val="nil"/>
            </w:tcBorders>
            <w:shd w:val="clear" w:color="auto" w:fill="auto"/>
            <w:noWrap/>
            <w:hideMark/>
          </w:tcPr>
          <w:p w14:paraId="576F8307"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6C0293D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9EF437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0.38</w:t>
            </w:r>
          </w:p>
        </w:tc>
        <w:tc>
          <w:tcPr>
            <w:tcW w:w="0" w:type="auto"/>
            <w:tcBorders>
              <w:top w:val="nil"/>
              <w:left w:val="nil"/>
              <w:bottom w:val="nil"/>
              <w:right w:val="nil"/>
            </w:tcBorders>
            <w:shd w:val="clear" w:color="auto" w:fill="auto"/>
            <w:noWrap/>
            <w:vAlign w:val="center"/>
            <w:hideMark/>
          </w:tcPr>
          <w:p w14:paraId="2AFC702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167FB1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0.35</w:t>
            </w:r>
          </w:p>
        </w:tc>
      </w:tr>
      <w:tr w:rsidR="00B50F1D" w:rsidRPr="00B50F1D" w14:paraId="27C2D779"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28C90912"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p11</w:t>
            </w:r>
          </w:p>
        </w:tc>
        <w:tc>
          <w:tcPr>
            <w:tcW w:w="0" w:type="auto"/>
            <w:tcBorders>
              <w:top w:val="single" w:sz="4" w:space="0" w:color="auto"/>
              <w:left w:val="nil"/>
              <w:bottom w:val="nil"/>
              <w:right w:val="nil"/>
            </w:tcBorders>
            <w:shd w:val="clear" w:color="auto" w:fill="auto"/>
            <w:noWrap/>
            <w:vAlign w:val="center"/>
            <w:hideMark/>
          </w:tcPr>
          <w:p w14:paraId="436DC3E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0.99</w:t>
            </w:r>
          </w:p>
        </w:tc>
        <w:tc>
          <w:tcPr>
            <w:tcW w:w="0" w:type="auto"/>
            <w:tcBorders>
              <w:top w:val="single" w:sz="4" w:space="0" w:color="auto"/>
              <w:left w:val="nil"/>
              <w:bottom w:val="nil"/>
              <w:right w:val="nil"/>
            </w:tcBorders>
            <w:shd w:val="clear" w:color="auto" w:fill="auto"/>
            <w:noWrap/>
            <w:vAlign w:val="center"/>
            <w:hideMark/>
          </w:tcPr>
          <w:p w14:paraId="6500DF3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0.98</w:t>
            </w:r>
          </w:p>
        </w:tc>
        <w:tc>
          <w:tcPr>
            <w:tcW w:w="0" w:type="auto"/>
            <w:tcBorders>
              <w:top w:val="single" w:sz="4" w:space="0" w:color="auto"/>
              <w:left w:val="nil"/>
              <w:bottom w:val="nil"/>
              <w:right w:val="nil"/>
            </w:tcBorders>
            <w:shd w:val="clear" w:color="auto" w:fill="auto"/>
            <w:noWrap/>
            <w:vAlign w:val="center"/>
            <w:hideMark/>
          </w:tcPr>
          <w:p w14:paraId="6D7F1AB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0.97</w:t>
            </w:r>
          </w:p>
        </w:tc>
        <w:tc>
          <w:tcPr>
            <w:tcW w:w="0" w:type="auto"/>
            <w:tcBorders>
              <w:top w:val="single" w:sz="4" w:space="0" w:color="auto"/>
              <w:left w:val="nil"/>
              <w:bottom w:val="nil"/>
              <w:right w:val="nil"/>
            </w:tcBorders>
            <w:shd w:val="clear" w:color="auto" w:fill="auto"/>
            <w:noWrap/>
            <w:vAlign w:val="center"/>
            <w:hideMark/>
          </w:tcPr>
          <w:p w14:paraId="4030B5F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0.94</w:t>
            </w:r>
          </w:p>
        </w:tc>
      </w:tr>
      <w:tr w:rsidR="00B50F1D" w:rsidRPr="00B50F1D" w14:paraId="5E36F9B8" w14:textId="77777777" w:rsidTr="005D3E3E">
        <w:trPr>
          <w:trHeight w:val="300"/>
          <w:jc w:val="center"/>
        </w:trPr>
        <w:tc>
          <w:tcPr>
            <w:tcW w:w="0" w:type="auto"/>
            <w:tcBorders>
              <w:top w:val="nil"/>
              <w:left w:val="nil"/>
              <w:bottom w:val="nil"/>
              <w:right w:val="nil"/>
            </w:tcBorders>
            <w:shd w:val="clear" w:color="auto" w:fill="auto"/>
            <w:noWrap/>
            <w:hideMark/>
          </w:tcPr>
          <w:p w14:paraId="78D0FCA5"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p21</w:t>
            </w:r>
          </w:p>
        </w:tc>
        <w:tc>
          <w:tcPr>
            <w:tcW w:w="0" w:type="auto"/>
            <w:tcBorders>
              <w:top w:val="nil"/>
              <w:left w:val="nil"/>
              <w:bottom w:val="nil"/>
              <w:right w:val="nil"/>
            </w:tcBorders>
            <w:shd w:val="clear" w:color="auto" w:fill="auto"/>
            <w:noWrap/>
            <w:vAlign w:val="center"/>
            <w:hideMark/>
          </w:tcPr>
          <w:p w14:paraId="04792EE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0.98</w:t>
            </w:r>
          </w:p>
        </w:tc>
        <w:tc>
          <w:tcPr>
            <w:tcW w:w="0" w:type="auto"/>
            <w:tcBorders>
              <w:top w:val="nil"/>
              <w:left w:val="nil"/>
              <w:bottom w:val="nil"/>
              <w:right w:val="nil"/>
            </w:tcBorders>
            <w:shd w:val="clear" w:color="auto" w:fill="auto"/>
            <w:noWrap/>
            <w:vAlign w:val="center"/>
            <w:hideMark/>
          </w:tcPr>
          <w:p w14:paraId="3809B34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0.94</w:t>
            </w:r>
          </w:p>
        </w:tc>
        <w:tc>
          <w:tcPr>
            <w:tcW w:w="0" w:type="auto"/>
            <w:tcBorders>
              <w:top w:val="nil"/>
              <w:left w:val="nil"/>
              <w:bottom w:val="nil"/>
              <w:right w:val="nil"/>
            </w:tcBorders>
            <w:shd w:val="clear" w:color="auto" w:fill="auto"/>
            <w:noWrap/>
            <w:vAlign w:val="center"/>
            <w:hideMark/>
          </w:tcPr>
          <w:p w14:paraId="672F96B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0.76</w:t>
            </w:r>
          </w:p>
        </w:tc>
        <w:tc>
          <w:tcPr>
            <w:tcW w:w="0" w:type="auto"/>
            <w:tcBorders>
              <w:top w:val="nil"/>
              <w:left w:val="nil"/>
              <w:bottom w:val="nil"/>
              <w:right w:val="nil"/>
            </w:tcBorders>
            <w:shd w:val="clear" w:color="auto" w:fill="auto"/>
            <w:noWrap/>
            <w:vAlign w:val="center"/>
            <w:hideMark/>
          </w:tcPr>
          <w:p w14:paraId="27B4CD5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0.74</w:t>
            </w:r>
          </w:p>
        </w:tc>
      </w:tr>
      <w:tr w:rsidR="00B50F1D" w:rsidRPr="00B50F1D" w14:paraId="149C3396" w14:textId="77777777" w:rsidTr="005D3E3E">
        <w:trPr>
          <w:trHeight w:val="300"/>
          <w:jc w:val="center"/>
        </w:trPr>
        <w:tc>
          <w:tcPr>
            <w:tcW w:w="0" w:type="auto"/>
            <w:tcBorders>
              <w:top w:val="nil"/>
              <w:left w:val="nil"/>
              <w:bottom w:val="nil"/>
              <w:right w:val="nil"/>
            </w:tcBorders>
            <w:shd w:val="clear" w:color="auto" w:fill="auto"/>
            <w:noWrap/>
            <w:hideMark/>
          </w:tcPr>
          <w:p w14:paraId="7E16E3A1"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p33</w:t>
            </w:r>
          </w:p>
        </w:tc>
        <w:tc>
          <w:tcPr>
            <w:tcW w:w="0" w:type="auto"/>
            <w:tcBorders>
              <w:top w:val="nil"/>
              <w:left w:val="nil"/>
              <w:bottom w:val="nil"/>
              <w:right w:val="nil"/>
            </w:tcBorders>
            <w:shd w:val="clear" w:color="auto" w:fill="auto"/>
            <w:noWrap/>
            <w:vAlign w:val="center"/>
            <w:hideMark/>
          </w:tcPr>
          <w:p w14:paraId="4F2784E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A21B36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0.95</w:t>
            </w:r>
          </w:p>
        </w:tc>
        <w:tc>
          <w:tcPr>
            <w:tcW w:w="0" w:type="auto"/>
            <w:tcBorders>
              <w:top w:val="nil"/>
              <w:left w:val="nil"/>
              <w:bottom w:val="nil"/>
              <w:right w:val="nil"/>
            </w:tcBorders>
            <w:shd w:val="clear" w:color="auto" w:fill="auto"/>
            <w:noWrap/>
            <w:vAlign w:val="center"/>
            <w:hideMark/>
          </w:tcPr>
          <w:p w14:paraId="39ED814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6785D72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0.71</w:t>
            </w:r>
          </w:p>
        </w:tc>
      </w:tr>
      <w:tr w:rsidR="00B50F1D" w:rsidRPr="00B50F1D" w14:paraId="119D40E5" w14:textId="77777777" w:rsidTr="005D3E3E">
        <w:trPr>
          <w:trHeight w:val="300"/>
          <w:jc w:val="center"/>
        </w:trPr>
        <w:tc>
          <w:tcPr>
            <w:tcW w:w="0" w:type="auto"/>
            <w:tcBorders>
              <w:top w:val="nil"/>
              <w:left w:val="nil"/>
              <w:bottom w:val="nil"/>
              <w:right w:val="nil"/>
            </w:tcBorders>
            <w:shd w:val="clear" w:color="auto" w:fill="auto"/>
            <w:noWrap/>
          </w:tcPr>
          <w:p w14:paraId="4773C65A"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3F8D41C3" w14:textId="77777777" w:rsidR="00B50F1D" w:rsidRPr="00B50F1D" w:rsidRDefault="00B50F1D" w:rsidP="00B50F1D">
            <w:pPr>
              <w:spacing w:after="0" w:line="240" w:lineRule="auto"/>
              <w:jc w:val="center"/>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2920B23A" w14:textId="77777777" w:rsidR="00B50F1D" w:rsidRPr="00B50F1D" w:rsidRDefault="00B50F1D" w:rsidP="00B50F1D">
            <w:pPr>
              <w:spacing w:after="0" w:line="240" w:lineRule="auto"/>
              <w:jc w:val="center"/>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6662337C" w14:textId="77777777" w:rsidR="00B50F1D" w:rsidRPr="00B50F1D" w:rsidRDefault="00B50F1D" w:rsidP="00B50F1D">
            <w:pPr>
              <w:spacing w:after="0" w:line="240" w:lineRule="auto"/>
              <w:jc w:val="center"/>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605E02C6" w14:textId="77777777" w:rsidR="00B50F1D" w:rsidRPr="00B50F1D" w:rsidRDefault="00B50F1D" w:rsidP="00B50F1D">
            <w:pPr>
              <w:spacing w:after="0" w:line="240" w:lineRule="auto"/>
              <w:jc w:val="center"/>
              <w:rPr>
                <w:rFonts w:eastAsia="Times New Roman"/>
                <w:color w:val="000000"/>
                <w:sz w:val="24"/>
                <w:szCs w:val="24"/>
              </w:rPr>
            </w:pPr>
          </w:p>
        </w:tc>
      </w:tr>
      <w:tr w:rsidR="00B50F1D" w:rsidRPr="00B50F1D" w14:paraId="7B8E94DF" w14:textId="77777777" w:rsidTr="005D3E3E">
        <w:trPr>
          <w:trHeight w:val="300"/>
          <w:jc w:val="center"/>
        </w:trPr>
        <w:tc>
          <w:tcPr>
            <w:tcW w:w="0" w:type="auto"/>
            <w:tcBorders>
              <w:top w:val="nil"/>
              <w:left w:val="nil"/>
              <w:bottom w:val="nil"/>
              <w:right w:val="nil"/>
            </w:tcBorders>
            <w:shd w:val="clear" w:color="auto" w:fill="auto"/>
            <w:noWrap/>
            <w:hideMark/>
          </w:tcPr>
          <w:p w14:paraId="58CF584C"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D1</w:t>
            </w:r>
          </w:p>
        </w:tc>
        <w:tc>
          <w:tcPr>
            <w:tcW w:w="0" w:type="auto"/>
            <w:tcBorders>
              <w:top w:val="nil"/>
              <w:left w:val="nil"/>
              <w:bottom w:val="nil"/>
              <w:right w:val="nil"/>
            </w:tcBorders>
            <w:shd w:val="clear" w:color="auto" w:fill="auto"/>
            <w:noWrap/>
            <w:vAlign w:val="center"/>
            <w:hideMark/>
          </w:tcPr>
          <w:p w14:paraId="257B43E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134.38</w:t>
            </w:r>
          </w:p>
        </w:tc>
        <w:tc>
          <w:tcPr>
            <w:tcW w:w="0" w:type="auto"/>
            <w:tcBorders>
              <w:top w:val="nil"/>
              <w:left w:val="nil"/>
              <w:bottom w:val="nil"/>
              <w:right w:val="nil"/>
            </w:tcBorders>
            <w:shd w:val="clear" w:color="auto" w:fill="auto"/>
            <w:noWrap/>
            <w:vAlign w:val="center"/>
            <w:hideMark/>
          </w:tcPr>
          <w:p w14:paraId="04E9157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44.56</w:t>
            </w:r>
          </w:p>
        </w:tc>
        <w:tc>
          <w:tcPr>
            <w:tcW w:w="0" w:type="auto"/>
            <w:tcBorders>
              <w:top w:val="nil"/>
              <w:left w:val="nil"/>
              <w:bottom w:val="nil"/>
              <w:right w:val="nil"/>
            </w:tcBorders>
            <w:shd w:val="clear" w:color="auto" w:fill="auto"/>
            <w:noWrap/>
            <w:vAlign w:val="center"/>
            <w:hideMark/>
          </w:tcPr>
          <w:p w14:paraId="7CEA401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29.01</w:t>
            </w:r>
          </w:p>
        </w:tc>
        <w:tc>
          <w:tcPr>
            <w:tcW w:w="0" w:type="auto"/>
            <w:tcBorders>
              <w:top w:val="nil"/>
              <w:left w:val="nil"/>
              <w:bottom w:val="nil"/>
              <w:right w:val="nil"/>
            </w:tcBorders>
            <w:shd w:val="clear" w:color="auto" w:fill="auto"/>
            <w:noWrap/>
            <w:vAlign w:val="center"/>
            <w:hideMark/>
          </w:tcPr>
          <w:p w14:paraId="41A895F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15.55</w:t>
            </w:r>
          </w:p>
        </w:tc>
      </w:tr>
      <w:tr w:rsidR="00B50F1D" w:rsidRPr="00B50F1D" w14:paraId="29FB3A59" w14:textId="77777777" w:rsidTr="005D3E3E">
        <w:trPr>
          <w:trHeight w:val="300"/>
          <w:jc w:val="center"/>
        </w:trPr>
        <w:tc>
          <w:tcPr>
            <w:tcW w:w="0" w:type="auto"/>
            <w:tcBorders>
              <w:top w:val="nil"/>
              <w:left w:val="nil"/>
              <w:right w:val="nil"/>
            </w:tcBorders>
            <w:shd w:val="clear" w:color="auto" w:fill="auto"/>
            <w:noWrap/>
            <w:hideMark/>
          </w:tcPr>
          <w:p w14:paraId="27F23549"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D2</w:t>
            </w:r>
          </w:p>
        </w:tc>
        <w:tc>
          <w:tcPr>
            <w:tcW w:w="0" w:type="auto"/>
            <w:tcBorders>
              <w:top w:val="nil"/>
              <w:left w:val="nil"/>
              <w:right w:val="nil"/>
            </w:tcBorders>
            <w:shd w:val="clear" w:color="auto" w:fill="auto"/>
            <w:noWrap/>
            <w:vAlign w:val="center"/>
            <w:hideMark/>
          </w:tcPr>
          <w:p w14:paraId="11F2F82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42.99</w:t>
            </w:r>
          </w:p>
        </w:tc>
        <w:tc>
          <w:tcPr>
            <w:tcW w:w="0" w:type="auto"/>
            <w:tcBorders>
              <w:top w:val="nil"/>
              <w:left w:val="nil"/>
              <w:right w:val="nil"/>
            </w:tcBorders>
            <w:shd w:val="clear" w:color="auto" w:fill="auto"/>
            <w:noWrap/>
            <w:vAlign w:val="center"/>
            <w:hideMark/>
          </w:tcPr>
          <w:p w14:paraId="3127BB3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17.29</w:t>
            </w:r>
          </w:p>
        </w:tc>
        <w:tc>
          <w:tcPr>
            <w:tcW w:w="0" w:type="auto"/>
            <w:tcBorders>
              <w:top w:val="nil"/>
              <w:left w:val="nil"/>
              <w:right w:val="nil"/>
            </w:tcBorders>
            <w:shd w:val="clear" w:color="auto" w:fill="auto"/>
            <w:noWrap/>
            <w:vAlign w:val="center"/>
            <w:hideMark/>
          </w:tcPr>
          <w:p w14:paraId="5C45801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4.18</w:t>
            </w:r>
          </w:p>
        </w:tc>
        <w:tc>
          <w:tcPr>
            <w:tcW w:w="0" w:type="auto"/>
            <w:tcBorders>
              <w:top w:val="nil"/>
              <w:left w:val="nil"/>
              <w:right w:val="nil"/>
            </w:tcBorders>
            <w:shd w:val="clear" w:color="auto" w:fill="auto"/>
            <w:noWrap/>
            <w:vAlign w:val="center"/>
            <w:hideMark/>
          </w:tcPr>
          <w:p w14:paraId="7150207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3.85</w:t>
            </w:r>
          </w:p>
        </w:tc>
      </w:tr>
      <w:tr w:rsidR="00B50F1D" w:rsidRPr="00B50F1D" w14:paraId="04C888E9" w14:textId="77777777" w:rsidTr="005D3E3E">
        <w:trPr>
          <w:trHeight w:val="300"/>
          <w:jc w:val="center"/>
        </w:trPr>
        <w:tc>
          <w:tcPr>
            <w:tcW w:w="0" w:type="auto"/>
            <w:tcBorders>
              <w:top w:val="nil"/>
              <w:left w:val="nil"/>
              <w:bottom w:val="single" w:sz="4" w:space="0" w:color="auto"/>
              <w:right w:val="nil"/>
            </w:tcBorders>
            <w:shd w:val="clear" w:color="auto" w:fill="auto"/>
            <w:noWrap/>
            <w:hideMark/>
          </w:tcPr>
          <w:p w14:paraId="25FA2134"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D3</w:t>
            </w:r>
          </w:p>
        </w:tc>
        <w:tc>
          <w:tcPr>
            <w:tcW w:w="0" w:type="auto"/>
            <w:tcBorders>
              <w:top w:val="nil"/>
              <w:left w:val="nil"/>
              <w:bottom w:val="single" w:sz="4" w:space="0" w:color="auto"/>
              <w:right w:val="nil"/>
            </w:tcBorders>
            <w:shd w:val="clear" w:color="auto" w:fill="auto"/>
            <w:noWrap/>
            <w:vAlign w:val="center"/>
            <w:hideMark/>
          </w:tcPr>
          <w:p w14:paraId="07D89C9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single" w:sz="4" w:space="0" w:color="auto"/>
              <w:right w:val="nil"/>
            </w:tcBorders>
            <w:shd w:val="clear" w:color="auto" w:fill="auto"/>
            <w:noWrap/>
            <w:vAlign w:val="center"/>
            <w:hideMark/>
          </w:tcPr>
          <w:p w14:paraId="1BFAFD8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19.17</w:t>
            </w:r>
          </w:p>
        </w:tc>
        <w:tc>
          <w:tcPr>
            <w:tcW w:w="0" w:type="auto"/>
            <w:tcBorders>
              <w:top w:val="nil"/>
              <w:left w:val="nil"/>
              <w:bottom w:val="single" w:sz="4" w:space="0" w:color="auto"/>
              <w:right w:val="nil"/>
            </w:tcBorders>
            <w:shd w:val="clear" w:color="auto" w:fill="auto"/>
            <w:noWrap/>
            <w:vAlign w:val="center"/>
            <w:hideMark/>
          </w:tcPr>
          <w:p w14:paraId="06DD0D3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single" w:sz="4" w:space="0" w:color="auto"/>
              <w:right w:val="nil"/>
            </w:tcBorders>
            <w:shd w:val="clear" w:color="auto" w:fill="auto"/>
            <w:noWrap/>
            <w:vAlign w:val="center"/>
            <w:hideMark/>
          </w:tcPr>
          <w:p w14:paraId="6951DE4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3.50</w:t>
            </w:r>
          </w:p>
        </w:tc>
      </w:tr>
      <w:tr w:rsidR="00B50F1D" w:rsidRPr="00B50F1D" w14:paraId="5938E3ED"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1C38FA95"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Observations</w:t>
            </w:r>
          </w:p>
        </w:tc>
        <w:tc>
          <w:tcPr>
            <w:tcW w:w="0" w:type="auto"/>
            <w:tcBorders>
              <w:top w:val="single" w:sz="4" w:space="0" w:color="auto"/>
              <w:left w:val="nil"/>
              <w:bottom w:val="nil"/>
              <w:right w:val="nil"/>
            </w:tcBorders>
            <w:shd w:val="clear" w:color="auto" w:fill="auto"/>
            <w:noWrap/>
            <w:vAlign w:val="center"/>
            <w:hideMark/>
          </w:tcPr>
          <w:p w14:paraId="50F1F8D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258.00</w:t>
            </w:r>
          </w:p>
        </w:tc>
        <w:tc>
          <w:tcPr>
            <w:tcW w:w="0" w:type="auto"/>
            <w:tcBorders>
              <w:top w:val="single" w:sz="4" w:space="0" w:color="auto"/>
              <w:left w:val="nil"/>
              <w:bottom w:val="nil"/>
              <w:right w:val="nil"/>
            </w:tcBorders>
            <w:shd w:val="clear" w:color="auto" w:fill="auto"/>
            <w:noWrap/>
            <w:vAlign w:val="center"/>
            <w:hideMark/>
          </w:tcPr>
          <w:p w14:paraId="6DE48B0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258.00</w:t>
            </w:r>
          </w:p>
        </w:tc>
        <w:tc>
          <w:tcPr>
            <w:tcW w:w="0" w:type="auto"/>
            <w:tcBorders>
              <w:top w:val="single" w:sz="4" w:space="0" w:color="auto"/>
              <w:left w:val="nil"/>
              <w:bottom w:val="nil"/>
              <w:right w:val="nil"/>
            </w:tcBorders>
            <w:shd w:val="clear" w:color="auto" w:fill="auto"/>
            <w:noWrap/>
            <w:vAlign w:val="center"/>
            <w:hideMark/>
          </w:tcPr>
          <w:p w14:paraId="73B752F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257.00</w:t>
            </w:r>
          </w:p>
        </w:tc>
        <w:tc>
          <w:tcPr>
            <w:tcW w:w="0" w:type="auto"/>
            <w:tcBorders>
              <w:top w:val="single" w:sz="4" w:space="0" w:color="auto"/>
              <w:left w:val="nil"/>
              <w:bottom w:val="nil"/>
              <w:right w:val="nil"/>
            </w:tcBorders>
            <w:shd w:val="clear" w:color="auto" w:fill="auto"/>
            <w:noWrap/>
            <w:vAlign w:val="center"/>
            <w:hideMark/>
          </w:tcPr>
          <w:p w14:paraId="5AF7385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257.00</w:t>
            </w:r>
          </w:p>
        </w:tc>
      </w:tr>
      <w:tr w:rsidR="00B50F1D" w:rsidRPr="00B50F1D" w14:paraId="1190122E" w14:textId="77777777" w:rsidTr="005D3E3E">
        <w:trPr>
          <w:trHeight w:val="300"/>
          <w:jc w:val="center"/>
        </w:trPr>
        <w:tc>
          <w:tcPr>
            <w:tcW w:w="0" w:type="auto"/>
            <w:tcBorders>
              <w:top w:val="nil"/>
              <w:left w:val="nil"/>
              <w:bottom w:val="nil"/>
              <w:right w:val="nil"/>
            </w:tcBorders>
            <w:shd w:val="clear" w:color="auto" w:fill="auto"/>
            <w:noWrap/>
            <w:hideMark/>
          </w:tcPr>
          <w:p w14:paraId="768CED23"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Log-Likelihood</w:t>
            </w:r>
          </w:p>
        </w:tc>
        <w:tc>
          <w:tcPr>
            <w:tcW w:w="0" w:type="auto"/>
            <w:tcBorders>
              <w:top w:val="nil"/>
              <w:left w:val="nil"/>
              <w:bottom w:val="nil"/>
              <w:right w:val="nil"/>
            </w:tcBorders>
            <w:shd w:val="clear" w:color="auto" w:fill="auto"/>
            <w:noWrap/>
            <w:vAlign w:val="center"/>
            <w:hideMark/>
          </w:tcPr>
          <w:p w14:paraId="1772431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190.44</w:t>
            </w:r>
          </w:p>
        </w:tc>
        <w:tc>
          <w:tcPr>
            <w:tcW w:w="0" w:type="auto"/>
            <w:tcBorders>
              <w:top w:val="nil"/>
              <w:left w:val="nil"/>
              <w:bottom w:val="nil"/>
              <w:right w:val="nil"/>
            </w:tcBorders>
            <w:shd w:val="clear" w:color="auto" w:fill="auto"/>
            <w:noWrap/>
            <w:vAlign w:val="center"/>
            <w:hideMark/>
          </w:tcPr>
          <w:p w14:paraId="1584881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248.71</w:t>
            </w:r>
          </w:p>
        </w:tc>
        <w:tc>
          <w:tcPr>
            <w:tcW w:w="0" w:type="auto"/>
            <w:tcBorders>
              <w:top w:val="nil"/>
              <w:left w:val="nil"/>
              <w:bottom w:val="nil"/>
              <w:right w:val="nil"/>
            </w:tcBorders>
            <w:shd w:val="clear" w:color="auto" w:fill="auto"/>
            <w:noWrap/>
            <w:vAlign w:val="center"/>
            <w:hideMark/>
          </w:tcPr>
          <w:p w14:paraId="1864F5A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350.44</w:t>
            </w:r>
          </w:p>
        </w:tc>
        <w:tc>
          <w:tcPr>
            <w:tcW w:w="0" w:type="auto"/>
            <w:tcBorders>
              <w:top w:val="nil"/>
              <w:left w:val="nil"/>
              <w:bottom w:val="nil"/>
              <w:right w:val="nil"/>
            </w:tcBorders>
            <w:shd w:val="clear" w:color="auto" w:fill="auto"/>
            <w:noWrap/>
            <w:vAlign w:val="center"/>
            <w:hideMark/>
          </w:tcPr>
          <w:p w14:paraId="7430DCB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346.51</w:t>
            </w:r>
          </w:p>
        </w:tc>
      </w:tr>
      <w:tr w:rsidR="00B50F1D" w:rsidRPr="00B50F1D" w14:paraId="45B45F91" w14:textId="77777777" w:rsidTr="005D3E3E">
        <w:trPr>
          <w:trHeight w:val="300"/>
          <w:jc w:val="center"/>
        </w:trPr>
        <w:tc>
          <w:tcPr>
            <w:tcW w:w="0" w:type="auto"/>
            <w:tcBorders>
              <w:top w:val="nil"/>
              <w:left w:val="nil"/>
              <w:bottom w:val="nil"/>
              <w:right w:val="nil"/>
            </w:tcBorders>
            <w:shd w:val="clear" w:color="auto" w:fill="auto"/>
            <w:noWrap/>
            <w:hideMark/>
          </w:tcPr>
          <w:p w14:paraId="5F161D17"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AIC</w:t>
            </w:r>
          </w:p>
        </w:tc>
        <w:tc>
          <w:tcPr>
            <w:tcW w:w="0" w:type="auto"/>
            <w:tcBorders>
              <w:top w:val="nil"/>
              <w:left w:val="nil"/>
              <w:bottom w:val="nil"/>
              <w:right w:val="nil"/>
            </w:tcBorders>
            <w:shd w:val="clear" w:color="auto" w:fill="auto"/>
            <w:noWrap/>
            <w:vAlign w:val="center"/>
            <w:hideMark/>
          </w:tcPr>
          <w:p w14:paraId="6E66E5E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-372.87</w:t>
            </w:r>
          </w:p>
        </w:tc>
        <w:tc>
          <w:tcPr>
            <w:tcW w:w="0" w:type="auto"/>
            <w:tcBorders>
              <w:top w:val="nil"/>
              <w:left w:val="nil"/>
              <w:bottom w:val="nil"/>
              <w:right w:val="nil"/>
            </w:tcBorders>
            <w:shd w:val="clear" w:color="auto" w:fill="auto"/>
            <w:noWrap/>
            <w:vAlign w:val="center"/>
            <w:hideMark/>
          </w:tcPr>
          <w:p w14:paraId="7C8EB3F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-485.42</w:t>
            </w:r>
          </w:p>
        </w:tc>
        <w:tc>
          <w:tcPr>
            <w:tcW w:w="0" w:type="auto"/>
            <w:tcBorders>
              <w:top w:val="nil"/>
              <w:left w:val="nil"/>
              <w:bottom w:val="nil"/>
              <w:right w:val="nil"/>
            </w:tcBorders>
            <w:shd w:val="clear" w:color="auto" w:fill="auto"/>
            <w:noWrap/>
            <w:vAlign w:val="center"/>
            <w:hideMark/>
          </w:tcPr>
          <w:p w14:paraId="099C18D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-688.89</w:t>
            </w:r>
          </w:p>
        </w:tc>
        <w:tc>
          <w:tcPr>
            <w:tcW w:w="0" w:type="auto"/>
            <w:tcBorders>
              <w:top w:val="nil"/>
              <w:left w:val="nil"/>
              <w:bottom w:val="nil"/>
              <w:right w:val="nil"/>
            </w:tcBorders>
            <w:shd w:val="clear" w:color="auto" w:fill="auto"/>
            <w:noWrap/>
            <w:vAlign w:val="center"/>
            <w:hideMark/>
          </w:tcPr>
          <w:p w14:paraId="447132B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-675.02</w:t>
            </w:r>
          </w:p>
        </w:tc>
      </w:tr>
      <w:tr w:rsidR="00B50F1D" w:rsidRPr="00B50F1D" w14:paraId="1E064D70" w14:textId="77777777" w:rsidTr="005D3E3E">
        <w:trPr>
          <w:trHeight w:val="300"/>
          <w:jc w:val="center"/>
        </w:trPr>
        <w:tc>
          <w:tcPr>
            <w:tcW w:w="0" w:type="auto"/>
            <w:tcBorders>
              <w:top w:val="nil"/>
              <w:left w:val="nil"/>
              <w:right w:val="nil"/>
            </w:tcBorders>
            <w:shd w:val="clear" w:color="auto" w:fill="auto"/>
            <w:noWrap/>
            <w:hideMark/>
          </w:tcPr>
          <w:p w14:paraId="33C30E86"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BIC</w:t>
            </w:r>
          </w:p>
        </w:tc>
        <w:tc>
          <w:tcPr>
            <w:tcW w:w="0" w:type="auto"/>
            <w:tcBorders>
              <w:top w:val="nil"/>
              <w:left w:val="nil"/>
              <w:right w:val="nil"/>
            </w:tcBorders>
            <w:shd w:val="clear" w:color="auto" w:fill="auto"/>
            <w:noWrap/>
            <w:vAlign w:val="center"/>
            <w:hideMark/>
          </w:tcPr>
          <w:p w14:paraId="5D11042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-358.66</w:t>
            </w:r>
          </w:p>
        </w:tc>
        <w:tc>
          <w:tcPr>
            <w:tcW w:w="0" w:type="auto"/>
            <w:tcBorders>
              <w:top w:val="nil"/>
              <w:left w:val="nil"/>
              <w:right w:val="nil"/>
            </w:tcBorders>
            <w:shd w:val="clear" w:color="auto" w:fill="auto"/>
            <w:noWrap/>
            <w:vAlign w:val="center"/>
            <w:hideMark/>
          </w:tcPr>
          <w:p w14:paraId="70D8D4A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-464.10</w:t>
            </w:r>
          </w:p>
        </w:tc>
        <w:tc>
          <w:tcPr>
            <w:tcW w:w="0" w:type="auto"/>
            <w:tcBorders>
              <w:top w:val="nil"/>
              <w:left w:val="nil"/>
              <w:right w:val="nil"/>
            </w:tcBorders>
            <w:shd w:val="clear" w:color="auto" w:fill="auto"/>
            <w:noWrap/>
            <w:vAlign w:val="center"/>
            <w:hideMark/>
          </w:tcPr>
          <w:p w14:paraId="496238D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-667.59</w:t>
            </w:r>
          </w:p>
        </w:tc>
        <w:tc>
          <w:tcPr>
            <w:tcW w:w="0" w:type="auto"/>
            <w:tcBorders>
              <w:top w:val="nil"/>
              <w:left w:val="nil"/>
              <w:right w:val="nil"/>
            </w:tcBorders>
            <w:shd w:val="clear" w:color="auto" w:fill="auto"/>
            <w:noWrap/>
            <w:vAlign w:val="center"/>
            <w:hideMark/>
          </w:tcPr>
          <w:p w14:paraId="582BA92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-643.08</w:t>
            </w:r>
          </w:p>
        </w:tc>
      </w:tr>
      <w:tr w:rsidR="00B50F1D" w:rsidRPr="00B50F1D" w14:paraId="2DDFA75C" w14:textId="77777777" w:rsidTr="005D3E3E">
        <w:trPr>
          <w:trHeight w:val="300"/>
          <w:jc w:val="center"/>
        </w:trPr>
        <w:tc>
          <w:tcPr>
            <w:tcW w:w="0" w:type="auto"/>
            <w:tcBorders>
              <w:top w:val="nil"/>
              <w:left w:val="nil"/>
              <w:bottom w:val="single" w:sz="4" w:space="0" w:color="auto"/>
              <w:right w:val="nil"/>
            </w:tcBorders>
            <w:shd w:val="clear" w:color="auto" w:fill="auto"/>
            <w:noWrap/>
            <w:hideMark/>
          </w:tcPr>
          <w:p w14:paraId="72D58199"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DIC</w:t>
            </w:r>
          </w:p>
        </w:tc>
        <w:tc>
          <w:tcPr>
            <w:tcW w:w="0" w:type="auto"/>
            <w:tcBorders>
              <w:top w:val="nil"/>
              <w:left w:val="nil"/>
              <w:bottom w:val="single" w:sz="4" w:space="0" w:color="auto"/>
              <w:right w:val="nil"/>
            </w:tcBorders>
            <w:shd w:val="clear" w:color="auto" w:fill="auto"/>
            <w:noWrap/>
            <w:vAlign w:val="center"/>
            <w:hideMark/>
          </w:tcPr>
          <w:p w14:paraId="03D9C87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-370.48</w:t>
            </w:r>
          </w:p>
        </w:tc>
        <w:tc>
          <w:tcPr>
            <w:tcW w:w="0" w:type="auto"/>
            <w:tcBorders>
              <w:top w:val="nil"/>
              <w:left w:val="nil"/>
              <w:bottom w:val="single" w:sz="4" w:space="0" w:color="auto"/>
              <w:right w:val="nil"/>
            </w:tcBorders>
            <w:shd w:val="clear" w:color="auto" w:fill="auto"/>
            <w:noWrap/>
            <w:vAlign w:val="center"/>
            <w:hideMark/>
          </w:tcPr>
          <w:p w14:paraId="54EC36B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-484.32</w:t>
            </w:r>
          </w:p>
        </w:tc>
        <w:tc>
          <w:tcPr>
            <w:tcW w:w="0" w:type="auto"/>
            <w:tcBorders>
              <w:top w:val="nil"/>
              <w:left w:val="nil"/>
              <w:bottom w:val="single" w:sz="4" w:space="0" w:color="auto"/>
              <w:right w:val="nil"/>
            </w:tcBorders>
            <w:shd w:val="clear" w:color="auto" w:fill="auto"/>
            <w:noWrap/>
            <w:vAlign w:val="center"/>
            <w:hideMark/>
          </w:tcPr>
          <w:p w14:paraId="04FB571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-692.87</w:t>
            </w:r>
          </w:p>
        </w:tc>
        <w:tc>
          <w:tcPr>
            <w:tcW w:w="0" w:type="auto"/>
            <w:tcBorders>
              <w:top w:val="nil"/>
              <w:left w:val="nil"/>
              <w:bottom w:val="single" w:sz="4" w:space="0" w:color="auto"/>
              <w:right w:val="nil"/>
            </w:tcBorders>
            <w:shd w:val="clear" w:color="auto" w:fill="auto"/>
            <w:noWrap/>
            <w:vAlign w:val="center"/>
            <w:hideMark/>
          </w:tcPr>
          <w:p w14:paraId="3948833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-678.99</w:t>
            </w:r>
          </w:p>
        </w:tc>
      </w:tr>
    </w:tbl>
    <w:p w14:paraId="782432FC" w14:textId="77777777" w:rsidR="00B50F1D" w:rsidRPr="00B50F1D" w:rsidRDefault="00B50F1D" w:rsidP="00B50F1D">
      <w:pPr>
        <w:rPr>
          <w:rFonts w:eastAsia="Calibri"/>
          <w:sz w:val="24"/>
          <w:szCs w:val="24"/>
        </w:rPr>
      </w:pPr>
      <w:r w:rsidRPr="00B50F1D">
        <w:rPr>
          <w:rFonts w:eastAsia="Calibri"/>
          <w:sz w:val="24"/>
          <w:szCs w:val="24"/>
        </w:rPr>
        <w:br w:type="page"/>
      </w:r>
    </w:p>
    <w:p w14:paraId="1FC4E117" w14:textId="77777777" w:rsidR="00B50F1D" w:rsidRPr="00B50F1D" w:rsidRDefault="00B50F1D" w:rsidP="00B50F1D">
      <w:pPr>
        <w:jc w:val="center"/>
        <w:rPr>
          <w:rFonts w:eastAsia="Calibri"/>
          <w:sz w:val="24"/>
          <w:szCs w:val="24"/>
        </w:rPr>
      </w:pPr>
      <w:r w:rsidRPr="00B50F1D">
        <w:rPr>
          <w:rFonts w:eastAsia="Calibri"/>
          <w:sz w:val="24"/>
          <w:szCs w:val="24"/>
        </w:rPr>
        <w:lastRenderedPageBreak/>
        <w:t>Table 5</w:t>
      </w:r>
    </w:p>
    <w:p w14:paraId="5EFBE66D" w14:textId="77777777" w:rsidR="00B50F1D" w:rsidRPr="00B50F1D" w:rsidRDefault="00B50F1D" w:rsidP="00B50F1D">
      <w:pPr>
        <w:jc w:val="center"/>
        <w:rPr>
          <w:rFonts w:eastAsia="Calibri"/>
          <w:sz w:val="24"/>
          <w:szCs w:val="24"/>
        </w:rPr>
      </w:pPr>
      <w:r w:rsidRPr="00B50F1D">
        <w:rPr>
          <w:rFonts w:eastAsia="Calibri"/>
          <w:sz w:val="24"/>
          <w:szCs w:val="24"/>
        </w:rPr>
        <w:t>West Univariate Markov-Switching Models</w:t>
      </w:r>
    </w:p>
    <w:tbl>
      <w:tblPr>
        <w:tblW w:w="0" w:type="auto"/>
        <w:jc w:val="center"/>
        <w:tblLook w:val="04A0" w:firstRow="1" w:lastRow="0" w:firstColumn="1" w:lastColumn="0" w:noHBand="0" w:noVBand="1"/>
      </w:tblPr>
      <w:tblGrid>
        <w:gridCol w:w="1736"/>
        <w:gridCol w:w="956"/>
        <w:gridCol w:w="956"/>
        <w:gridCol w:w="956"/>
        <w:gridCol w:w="956"/>
      </w:tblGrid>
      <w:tr w:rsidR="00B50F1D" w:rsidRPr="00B50F1D" w14:paraId="19A1F9A0" w14:textId="77777777" w:rsidTr="005D3E3E">
        <w:trPr>
          <w:trHeight w:val="300"/>
          <w:jc w:val="center"/>
        </w:trPr>
        <w:tc>
          <w:tcPr>
            <w:tcW w:w="0" w:type="auto"/>
            <w:tcBorders>
              <w:top w:val="single" w:sz="4" w:space="0" w:color="auto"/>
              <w:left w:val="nil"/>
              <w:bottom w:val="single" w:sz="4" w:space="0" w:color="auto"/>
              <w:right w:val="nil"/>
            </w:tcBorders>
            <w:shd w:val="clear" w:color="auto" w:fill="auto"/>
            <w:noWrap/>
            <w:vAlign w:val="bottom"/>
            <w:hideMark/>
          </w:tcPr>
          <w:p w14:paraId="00C3D0D9" w14:textId="77777777" w:rsidR="00B50F1D" w:rsidRPr="00B50F1D" w:rsidRDefault="00B50F1D" w:rsidP="00B50F1D">
            <w:pPr>
              <w:spacing w:after="0" w:line="240" w:lineRule="auto"/>
              <w:rPr>
                <w:rFonts w:eastAsia="Times New Roman"/>
                <w:sz w:val="24"/>
                <w:szCs w:val="24"/>
              </w:rPr>
            </w:pPr>
          </w:p>
        </w:tc>
        <w:tc>
          <w:tcPr>
            <w:tcW w:w="0" w:type="auto"/>
            <w:tcBorders>
              <w:top w:val="single" w:sz="4" w:space="0" w:color="auto"/>
              <w:left w:val="nil"/>
              <w:bottom w:val="single" w:sz="4" w:space="0" w:color="auto"/>
              <w:right w:val="nil"/>
            </w:tcBorders>
            <w:shd w:val="clear" w:color="auto" w:fill="auto"/>
            <w:noWrap/>
            <w:vAlign w:val="center"/>
            <w:hideMark/>
          </w:tcPr>
          <w:p w14:paraId="732FC1DC" w14:textId="77777777" w:rsidR="00B50F1D" w:rsidRPr="00B50F1D" w:rsidRDefault="00B50F1D" w:rsidP="00B50F1D">
            <w:pPr>
              <w:spacing w:after="0" w:line="240" w:lineRule="auto"/>
              <w:jc w:val="center"/>
              <w:rPr>
                <w:rFonts w:eastAsia="Times New Roman"/>
                <w:i/>
                <w:color w:val="000000"/>
                <w:sz w:val="24"/>
                <w:szCs w:val="24"/>
              </w:rPr>
            </w:pPr>
            <w:r w:rsidRPr="00B50F1D">
              <w:rPr>
                <w:rFonts w:eastAsia="Times New Roman"/>
                <w:i/>
                <w:color w:val="000000"/>
                <w:sz w:val="24"/>
                <w:szCs w:val="24"/>
              </w:rPr>
              <w:t>MS2</w:t>
            </w:r>
          </w:p>
        </w:tc>
        <w:tc>
          <w:tcPr>
            <w:tcW w:w="0" w:type="auto"/>
            <w:tcBorders>
              <w:top w:val="single" w:sz="4" w:space="0" w:color="auto"/>
              <w:left w:val="nil"/>
              <w:bottom w:val="single" w:sz="4" w:space="0" w:color="auto"/>
              <w:right w:val="nil"/>
            </w:tcBorders>
            <w:shd w:val="clear" w:color="auto" w:fill="auto"/>
            <w:noWrap/>
            <w:vAlign w:val="center"/>
            <w:hideMark/>
          </w:tcPr>
          <w:p w14:paraId="0A2D1B7F" w14:textId="77777777" w:rsidR="00B50F1D" w:rsidRPr="00B50F1D" w:rsidRDefault="00B50F1D" w:rsidP="00B50F1D">
            <w:pPr>
              <w:spacing w:after="0" w:line="240" w:lineRule="auto"/>
              <w:jc w:val="center"/>
              <w:rPr>
                <w:rFonts w:eastAsia="Times New Roman"/>
                <w:i/>
                <w:color w:val="000000"/>
                <w:sz w:val="24"/>
                <w:szCs w:val="24"/>
              </w:rPr>
            </w:pPr>
            <w:r w:rsidRPr="00B50F1D">
              <w:rPr>
                <w:rFonts w:eastAsia="Times New Roman"/>
                <w:i/>
                <w:color w:val="000000"/>
                <w:sz w:val="24"/>
                <w:szCs w:val="24"/>
              </w:rPr>
              <w:t>MS3</w:t>
            </w:r>
          </w:p>
        </w:tc>
        <w:tc>
          <w:tcPr>
            <w:tcW w:w="0" w:type="auto"/>
            <w:tcBorders>
              <w:top w:val="single" w:sz="4" w:space="0" w:color="auto"/>
              <w:left w:val="nil"/>
              <w:bottom w:val="single" w:sz="4" w:space="0" w:color="auto"/>
              <w:right w:val="nil"/>
            </w:tcBorders>
            <w:shd w:val="clear" w:color="auto" w:fill="auto"/>
            <w:noWrap/>
            <w:vAlign w:val="center"/>
            <w:hideMark/>
          </w:tcPr>
          <w:p w14:paraId="7F849ED7" w14:textId="77777777" w:rsidR="00B50F1D" w:rsidRPr="00B50F1D" w:rsidRDefault="00B50F1D" w:rsidP="00B50F1D">
            <w:pPr>
              <w:spacing w:after="0" w:line="240" w:lineRule="auto"/>
              <w:jc w:val="center"/>
              <w:rPr>
                <w:rFonts w:eastAsia="Times New Roman"/>
                <w:i/>
                <w:color w:val="000000"/>
                <w:sz w:val="24"/>
                <w:szCs w:val="24"/>
              </w:rPr>
            </w:pPr>
            <w:r w:rsidRPr="00B50F1D">
              <w:rPr>
                <w:rFonts w:eastAsia="Times New Roman"/>
                <w:i/>
                <w:color w:val="000000"/>
                <w:sz w:val="24"/>
                <w:szCs w:val="24"/>
              </w:rPr>
              <w:t>MS2AR</w:t>
            </w:r>
          </w:p>
        </w:tc>
        <w:tc>
          <w:tcPr>
            <w:tcW w:w="0" w:type="auto"/>
            <w:tcBorders>
              <w:top w:val="single" w:sz="4" w:space="0" w:color="auto"/>
              <w:left w:val="nil"/>
              <w:bottom w:val="single" w:sz="4" w:space="0" w:color="auto"/>
              <w:right w:val="nil"/>
            </w:tcBorders>
            <w:shd w:val="clear" w:color="auto" w:fill="auto"/>
            <w:noWrap/>
            <w:vAlign w:val="center"/>
            <w:hideMark/>
          </w:tcPr>
          <w:p w14:paraId="1DCE97CB" w14:textId="77777777" w:rsidR="00B50F1D" w:rsidRPr="00B50F1D" w:rsidRDefault="00B50F1D" w:rsidP="00B50F1D">
            <w:pPr>
              <w:spacing w:after="0" w:line="240" w:lineRule="auto"/>
              <w:jc w:val="center"/>
              <w:rPr>
                <w:rFonts w:eastAsia="Times New Roman"/>
                <w:i/>
                <w:color w:val="000000"/>
                <w:sz w:val="24"/>
                <w:szCs w:val="24"/>
              </w:rPr>
            </w:pPr>
            <w:r w:rsidRPr="00B50F1D">
              <w:rPr>
                <w:rFonts w:eastAsia="Times New Roman"/>
                <w:i/>
                <w:color w:val="000000"/>
                <w:sz w:val="24"/>
                <w:szCs w:val="24"/>
              </w:rPr>
              <w:t>MS3AR</w:t>
            </w:r>
          </w:p>
        </w:tc>
      </w:tr>
      <w:tr w:rsidR="00B50F1D" w:rsidRPr="00B50F1D" w14:paraId="6711C980"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75F22F69" w14:textId="77777777" w:rsidR="00B50F1D" w:rsidRPr="00B50F1D" w:rsidRDefault="00B50F1D" w:rsidP="00B50F1D">
            <w:pPr>
              <w:spacing w:after="0" w:line="240" w:lineRule="auto"/>
              <w:rPr>
                <w:rFonts w:eastAsia="Times New Roman"/>
                <w:i/>
                <w:sz w:val="24"/>
                <w:szCs w:val="24"/>
              </w:rPr>
            </w:pPr>
            <w:r w:rsidRPr="00B50F1D">
              <w:rPr>
                <w:rFonts w:eastAsia="Calibri"/>
                <w:i/>
                <w:sz w:val="24"/>
                <w:szCs w:val="24"/>
              </w:rPr>
              <w:t>Regime 1</w:t>
            </w:r>
          </w:p>
        </w:tc>
      </w:tr>
      <w:tr w:rsidR="00B50F1D" w:rsidRPr="00B50F1D" w14:paraId="22594ECC"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306C252B" w14:textId="77777777" w:rsidR="00B50F1D" w:rsidRPr="00B50F1D" w:rsidRDefault="00B50F1D" w:rsidP="00B50F1D">
            <w:pPr>
              <w:spacing w:after="0" w:line="240" w:lineRule="auto"/>
              <w:rPr>
                <w:rFonts w:eastAsia="Times New Roman"/>
                <w:color w:val="000000"/>
                <w:sz w:val="24"/>
                <w:szCs w:val="24"/>
              </w:rPr>
            </w:pPr>
            <m:oMath>
              <m:r>
                <w:rPr>
                  <w:rFonts w:ascii="Cambria Math" w:eastAsia="Times New Roman" w:hAnsi="Cambria Math"/>
                  <w:color w:val="000000"/>
                  <w:sz w:val="24"/>
                  <w:szCs w:val="24"/>
                </w:rPr>
                <m:t>U</m:t>
              </m:r>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S</m:t>
                  </m:r>
                </m:e>
                <m:sub>
                  <m:r>
                    <w:rPr>
                      <w:rFonts w:ascii="Cambria Math" w:eastAsia="Times New Roman" w:hAnsi="Cambria Math"/>
                      <w:color w:val="000000"/>
                      <w:sz w:val="24"/>
                      <w:szCs w:val="24"/>
                    </w:rPr>
                    <m:t>t-1</m:t>
                  </m:r>
                </m:sub>
              </m:sSub>
            </m:oMath>
            <w:r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3FDAAB2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42E4CA6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5E3616C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0.92</w:t>
            </w:r>
          </w:p>
        </w:tc>
        <w:tc>
          <w:tcPr>
            <w:tcW w:w="0" w:type="auto"/>
            <w:tcBorders>
              <w:top w:val="single" w:sz="4" w:space="0" w:color="auto"/>
              <w:left w:val="nil"/>
              <w:bottom w:val="nil"/>
              <w:right w:val="nil"/>
            </w:tcBorders>
            <w:shd w:val="clear" w:color="auto" w:fill="auto"/>
            <w:noWrap/>
            <w:vAlign w:val="center"/>
            <w:hideMark/>
          </w:tcPr>
          <w:p w14:paraId="5C14BB1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0.92</w:t>
            </w:r>
          </w:p>
        </w:tc>
      </w:tr>
      <w:tr w:rsidR="00B50F1D" w:rsidRPr="00B50F1D" w14:paraId="126EA110" w14:textId="77777777" w:rsidTr="005D3E3E">
        <w:trPr>
          <w:trHeight w:val="300"/>
          <w:jc w:val="center"/>
        </w:trPr>
        <w:tc>
          <w:tcPr>
            <w:tcW w:w="0" w:type="auto"/>
            <w:tcBorders>
              <w:top w:val="nil"/>
              <w:left w:val="nil"/>
              <w:bottom w:val="nil"/>
              <w:right w:val="nil"/>
            </w:tcBorders>
            <w:shd w:val="clear" w:color="auto" w:fill="auto"/>
            <w:noWrap/>
            <w:hideMark/>
          </w:tcPr>
          <w:p w14:paraId="5730B6DC"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02E3EC1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CE503D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8D17F5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c>
          <w:tcPr>
            <w:tcW w:w="0" w:type="auto"/>
            <w:tcBorders>
              <w:top w:val="nil"/>
              <w:left w:val="nil"/>
              <w:bottom w:val="nil"/>
              <w:right w:val="nil"/>
            </w:tcBorders>
            <w:shd w:val="clear" w:color="auto" w:fill="auto"/>
            <w:noWrap/>
            <w:vAlign w:val="center"/>
            <w:hideMark/>
          </w:tcPr>
          <w:p w14:paraId="180EFF8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0.04</w:t>
            </w:r>
          </w:p>
        </w:tc>
      </w:tr>
      <w:tr w:rsidR="00B50F1D" w:rsidRPr="00B50F1D" w14:paraId="729B7DFC" w14:textId="77777777" w:rsidTr="005D3E3E">
        <w:trPr>
          <w:trHeight w:val="300"/>
          <w:jc w:val="center"/>
        </w:trPr>
        <w:tc>
          <w:tcPr>
            <w:tcW w:w="0" w:type="auto"/>
            <w:tcBorders>
              <w:top w:val="nil"/>
              <w:left w:val="nil"/>
              <w:bottom w:val="nil"/>
              <w:right w:val="nil"/>
            </w:tcBorders>
            <w:shd w:val="clear" w:color="auto" w:fill="auto"/>
            <w:noWrap/>
            <w:hideMark/>
          </w:tcPr>
          <w:p w14:paraId="39259850"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7251030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1.44</w:t>
            </w:r>
          </w:p>
        </w:tc>
        <w:tc>
          <w:tcPr>
            <w:tcW w:w="0" w:type="auto"/>
            <w:tcBorders>
              <w:top w:val="nil"/>
              <w:left w:val="nil"/>
              <w:bottom w:val="nil"/>
              <w:right w:val="nil"/>
            </w:tcBorders>
            <w:shd w:val="clear" w:color="auto" w:fill="auto"/>
            <w:noWrap/>
            <w:vAlign w:val="center"/>
            <w:hideMark/>
          </w:tcPr>
          <w:p w14:paraId="28EF5A0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1.26</w:t>
            </w:r>
          </w:p>
        </w:tc>
        <w:tc>
          <w:tcPr>
            <w:tcW w:w="0" w:type="auto"/>
            <w:tcBorders>
              <w:top w:val="nil"/>
              <w:left w:val="nil"/>
              <w:bottom w:val="nil"/>
              <w:right w:val="nil"/>
            </w:tcBorders>
            <w:shd w:val="clear" w:color="auto" w:fill="auto"/>
            <w:noWrap/>
            <w:vAlign w:val="center"/>
            <w:hideMark/>
          </w:tcPr>
          <w:p w14:paraId="015D708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0.13</w:t>
            </w:r>
          </w:p>
        </w:tc>
        <w:tc>
          <w:tcPr>
            <w:tcW w:w="0" w:type="auto"/>
            <w:tcBorders>
              <w:top w:val="nil"/>
              <w:left w:val="nil"/>
              <w:bottom w:val="nil"/>
              <w:right w:val="nil"/>
            </w:tcBorders>
            <w:shd w:val="clear" w:color="auto" w:fill="auto"/>
            <w:noWrap/>
            <w:vAlign w:val="center"/>
            <w:hideMark/>
          </w:tcPr>
          <w:p w14:paraId="78B27E1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0.13</w:t>
            </w:r>
          </w:p>
        </w:tc>
      </w:tr>
      <w:tr w:rsidR="00B50F1D" w:rsidRPr="00B50F1D" w14:paraId="560A177B" w14:textId="77777777" w:rsidTr="005D3E3E">
        <w:trPr>
          <w:trHeight w:val="300"/>
          <w:jc w:val="center"/>
        </w:trPr>
        <w:tc>
          <w:tcPr>
            <w:tcW w:w="0" w:type="auto"/>
            <w:tcBorders>
              <w:top w:val="nil"/>
              <w:left w:val="nil"/>
              <w:bottom w:val="nil"/>
              <w:right w:val="nil"/>
            </w:tcBorders>
            <w:shd w:val="clear" w:color="auto" w:fill="auto"/>
            <w:noWrap/>
            <w:hideMark/>
          </w:tcPr>
          <w:p w14:paraId="523D2541"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0ECB206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c>
          <w:tcPr>
            <w:tcW w:w="0" w:type="auto"/>
            <w:tcBorders>
              <w:top w:val="nil"/>
              <w:left w:val="nil"/>
              <w:bottom w:val="nil"/>
              <w:right w:val="nil"/>
            </w:tcBorders>
            <w:shd w:val="clear" w:color="auto" w:fill="auto"/>
            <w:noWrap/>
            <w:vAlign w:val="center"/>
            <w:hideMark/>
          </w:tcPr>
          <w:p w14:paraId="21A7F26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c>
          <w:tcPr>
            <w:tcW w:w="0" w:type="auto"/>
            <w:tcBorders>
              <w:top w:val="nil"/>
              <w:left w:val="nil"/>
              <w:bottom w:val="nil"/>
              <w:right w:val="nil"/>
            </w:tcBorders>
            <w:shd w:val="clear" w:color="auto" w:fill="auto"/>
            <w:noWrap/>
            <w:vAlign w:val="center"/>
            <w:hideMark/>
          </w:tcPr>
          <w:p w14:paraId="430C30F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0.05</w:t>
            </w:r>
          </w:p>
        </w:tc>
        <w:tc>
          <w:tcPr>
            <w:tcW w:w="0" w:type="auto"/>
            <w:tcBorders>
              <w:top w:val="nil"/>
              <w:left w:val="nil"/>
              <w:bottom w:val="nil"/>
              <w:right w:val="nil"/>
            </w:tcBorders>
            <w:shd w:val="clear" w:color="auto" w:fill="auto"/>
            <w:noWrap/>
            <w:vAlign w:val="center"/>
            <w:hideMark/>
          </w:tcPr>
          <w:p w14:paraId="45BF46C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0.06</w:t>
            </w:r>
          </w:p>
        </w:tc>
      </w:tr>
      <w:tr w:rsidR="00B50F1D" w:rsidRPr="00B50F1D" w14:paraId="17FF2088" w14:textId="77777777" w:rsidTr="005D3E3E">
        <w:trPr>
          <w:trHeight w:val="300"/>
          <w:jc w:val="center"/>
        </w:trPr>
        <w:tc>
          <w:tcPr>
            <w:tcW w:w="0" w:type="auto"/>
            <w:tcBorders>
              <w:top w:val="nil"/>
              <w:left w:val="nil"/>
              <w:bottom w:val="nil"/>
              <w:right w:val="nil"/>
            </w:tcBorders>
            <w:shd w:val="clear" w:color="auto" w:fill="auto"/>
            <w:noWrap/>
            <w:hideMark/>
          </w:tcPr>
          <w:p w14:paraId="5C339A74"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42B94D0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0.29</w:t>
            </w:r>
          </w:p>
        </w:tc>
        <w:tc>
          <w:tcPr>
            <w:tcW w:w="0" w:type="auto"/>
            <w:tcBorders>
              <w:top w:val="nil"/>
              <w:left w:val="nil"/>
              <w:bottom w:val="nil"/>
              <w:right w:val="nil"/>
            </w:tcBorders>
            <w:shd w:val="clear" w:color="auto" w:fill="auto"/>
            <w:noWrap/>
            <w:vAlign w:val="center"/>
            <w:hideMark/>
          </w:tcPr>
          <w:p w14:paraId="59CBD25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0.25</w:t>
            </w:r>
          </w:p>
        </w:tc>
        <w:tc>
          <w:tcPr>
            <w:tcW w:w="0" w:type="auto"/>
            <w:tcBorders>
              <w:top w:val="nil"/>
              <w:left w:val="nil"/>
              <w:bottom w:val="nil"/>
              <w:right w:val="nil"/>
            </w:tcBorders>
            <w:shd w:val="clear" w:color="auto" w:fill="auto"/>
            <w:noWrap/>
            <w:vAlign w:val="center"/>
            <w:hideMark/>
          </w:tcPr>
          <w:p w14:paraId="7B5034A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0.20</w:t>
            </w:r>
          </w:p>
        </w:tc>
        <w:tc>
          <w:tcPr>
            <w:tcW w:w="0" w:type="auto"/>
            <w:tcBorders>
              <w:top w:val="nil"/>
              <w:left w:val="nil"/>
              <w:bottom w:val="nil"/>
              <w:right w:val="nil"/>
            </w:tcBorders>
            <w:shd w:val="clear" w:color="auto" w:fill="auto"/>
            <w:noWrap/>
            <w:vAlign w:val="center"/>
            <w:hideMark/>
          </w:tcPr>
          <w:p w14:paraId="4F01ED7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0.19</w:t>
            </w:r>
          </w:p>
        </w:tc>
      </w:tr>
      <w:tr w:rsidR="00B50F1D" w:rsidRPr="00B50F1D" w14:paraId="74C7097B"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318FCD62" w14:textId="77777777" w:rsidR="00B50F1D" w:rsidRPr="00B50F1D" w:rsidRDefault="00B50F1D" w:rsidP="00B50F1D">
            <w:pPr>
              <w:spacing w:after="0" w:line="240" w:lineRule="auto"/>
              <w:rPr>
                <w:rFonts w:eastAsia="Times New Roman"/>
                <w:i/>
                <w:color w:val="000000"/>
                <w:sz w:val="24"/>
                <w:szCs w:val="24"/>
              </w:rPr>
            </w:pPr>
            <w:r w:rsidRPr="00B50F1D">
              <w:rPr>
                <w:rFonts w:eastAsia="Calibri"/>
                <w:i/>
                <w:sz w:val="24"/>
                <w:szCs w:val="24"/>
              </w:rPr>
              <w:t>Regime 2</w:t>
            </w:r>
          </w:p>
        </w:tc>
      </w:tr>
      <w:tr w:rsidR="00B50F1D" w:rsidRPr="00B50F1D" w14:paraId="241E7795"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12C3AE92" w14:textId="77777777" w:rsidR="00B50F1D" w:rsidRPr="00B50F1D" w:rsidRDefault="00B50F1D" w:rsidP="00B50F1D">
            <w:pPr>
              <w:spacing w:after="0" w:line="240" w:lineRule="auto"/>
              <w:rPr>
                <w:rFonts w:eastAsia="Times New Roman"/>
                <w:color w:val="000000"/>
                <w:sz w:val="24"/>
                <w:szCs w:val="24"/>
              </w:rPr>
            </w:pPr>
            <m:oMath>
              <m:r>
                <w:rPr>
                  <w:rFonts w:ascii="Cambria Math" w:eastAsia="Times New Roman" w:hAnsi="Cambria Math"/>
                  <w:color w:val="000000"/>
                  <w:sz w:val="24"/>
                  <w:szCs w:val="24"/>
                </w:rPr>
                <m:t>U</m:t>
              </m:r>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S</m:t>
                  </m:r>
                </m:e>
                <m:sub>
                  <m:r>
                    <w:rPr>
                      <w:rFonts w:ascii="Cambria Math" w:eastAsia="Times New Roman" w:hAnsi="Cambria Math"/>
                      <w:color w:val="000000"/>
                      <w:sz w:val="24"/>
                      <w:szCs w:val="24"/>
                    </w:rPr>
                    <m:t>t-1</m:t>
                  </m:r>
                </m:sub>
              </m:sSub>
            </m:oMath>
            <w:r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780CC65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1D2102D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1677D8C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0.37</w:t>
            </w:r>
          </w:p>
        </w:tc>
        <w:tc>
          <w:tcPr>
            <w:tcW w:w="0" w:type="auto"/>
            <w:tcBorders>
              <w:top w:val="single" w:sz="4" w:space="0" w:color="auto"/>
              <w:left w:val="nil"/>
              <w:bottom w:val="nil"/>
              <w:right w:val="nil"/>
            </w:tcBorders>
            <w:shd w:val="clear" w:color="auto" w:fill="auto"/>
            <w:noWrap/>
            <w:vAlign w:val="center"/>
            <w:hideMark/>
          </w:tcPr>
          <w:p w14:paraId="0EC4849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0.51</w:t>
            </w:r>
          </w:p>
        </w:tc>
      </w:tr>
      <w:tr w:rsidR="00B50F1D" w:rsidRPr="00B50F1D" w14:paraId="75FBFA3A" w14:textId="77777777" w:rsidTr="005D3E3E">
        <w:trPr>
          <w:trHeight w:val="300"/>
          <w:jc w:val="center"/>
        </w:trPr>
        <w:tc>
          <w:tcPr>
            <w:tcW w:w="0" w:type="auto"/>
            <w:tcBorders>
              <w:top w:val="nil"/>
              <w:left w:val="nil"/>
              <w:bottom w:val="nil"/>
              <w:right w:val="nil"/>
            </w:tcBorders>
            <w:shd w:val="clear" w:color="auto" w:fill="auto"/>
            <w:noWrap/>
            <w:hideMark/>
          </w:tcPr>
          <w:p w14:paraId="3FDE5EDA"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50E9B53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0DA385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EB0BD1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0.29</w:t>
            </w:r>
          </w:p>
        </w:tc>
        <w:tc>
          <w:tcPr>
            <w:tcW w:w="0" w:type="auto"/>
            <w:tcBorders>
              <w:top w:val="nil"/>
              <w:left w:val="nil"/>
              <w:bottom w:val="nil"/>
              <w:right w:val="nil"/>
            </w:tcBorders>
            <w:shd w:val="clear" w:color="auto" w:fill="auto"/>
            <w:noWrap/>
            <w:vAlign w:val="center"/>
            <w:hideMark/>
          </w:tcPr>
          <w:p w14:paraId="1D52365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0.30</w:t>
            </w:r>
          </w:p>
        </w:tc>
      </w:tr>
      <w:tr w:rsidR="00B50F1D" w:rsidRPr="00B50F1D" w14:paraId="36B7D3F9" w14:textId="77777777" w:rsidTr="005D3E3E">
        <w:trPr>
          <w:trHeight w:val="300"/>
          <w:jc w:val="center"/>
        </w:trPr>
        <w:tc>
          <w:tcPr>
            <w:tcW w:w="0" w:type="auto"/>
            <w:tcBorders>
              <w:top w:val="nil"/>
              <w:left w:val="nil"/>
              <w:bottom w:val="nil"/>
              <w:right w:val="nil"/>
            </w:tcBorders>
            <w:shd w:val="clear" w:color="auto" w:fill="auto"/>
            <w:noWrap/>
            <w:hideMark/>
          </w:tcPr>
          <w:p w14:paraId="5EBB739C"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584F214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2.15</w:t>
            </w:r>
          </w:p>
        </w:tc>
        <w:tc>
          <w:tcPr>
            <w:tcW w:w="0" w:type="auto"/>
            <w:tcBorders>
              <w:top w:val="nil"/>
              <w:left w:val="nil"/>
              <w:bottom w:val="nil"/>
              <w:right w:val="nil"/>
            </w:tcBorders>
            <w:shd w:val="clear" w:color="auto" w:fill="auto"/>
            <w:noWrap/>
            <w:vAlign w:val="center"/>
            <w:hideMark/>
          </w:tcPr>
          <w:p w14:paraId="6EBC996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1.71</w:t>
            </w:r>
          </w:p>
        </w:tc>
        <w:tc>
          <w:tcPr>
            <w:tcW w:w="0" w:type="auto"/>
            <w:tcBorders>
              <w:top w:val="nil"/>
              <w:left w:val="nil"/>
              <w:bottom w:val="nil"/>
              <w:right w:val="nil"/>
            </w:tcBorders>
            <w:shd w:val="clear" w:color="auto" w:fill="auto"/>
            <w:noWrap/>
            <w:vAlign w:val="center"/>
            <w:hideMark/>
          </w:tcPr>
          <w:p w14:paraId="5456D55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1.00</w:t>
            </w:r>
          </w:p>
        </w:tc>
        <w:tc>
          <w:tcPr>
            <w:tcW w:w="0" w:type="auto"/>
            <w:tcBorders>
              <w:top w:val="nil"/>
              <w:left w:val="nil"/>
              <w:bottom w:val="nil"/>
              <w:right w:val="nil"/>
            </w:tcBorders>
            <w:shd w:val="clear" w:color="auto" w:fill="auto"/>
            <w:noWrap/>
            <w:vAlign w:val="center"/>
            <w:hideMark/>
          </w:tcPr>
          <w:p w14:paraId="2244713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0.75</w:t>
            </w:r>
          </w:p>
        </w:tc>
      </w:tr>
      <w:tr w:rsidR="00B50F1D" w:rsidRPr="00B50F1D" w14:paraId="565D5A18" w14:textId="77777777" w:rsidTr="005D3E3E">
        <w:trPr>
          <w:trHeight w:val="300"/>
          <w:jc w:val="center"/>
        </w:trPr>
        <w:tc>
          <w:tcPr>
            <w:tcW w:w="0" w:type="auto"/>
            <w:tcBorders>
              <w:top w:val="nil"/>
              <w:left w:val="nil"/>
              <w:bottom w:val="nil"/>
              <w:right w:val="nil"/>
            </w:tcBorders>
            <w:shd w:val="clear" w:color="auto" w:fill="auto"/>
            <w:noWrap/>
            <w:hideMark/>
          </w:tcPr>
          <w:p w14:paraId="454BC981"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077E2FB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0.07</w:t>
            </w:r>
          </w:p>
        </w:tc>
        <w:tc>
          <w:tcPr>
            <w:tcW w:w="0" w:type="auto"/>
            <w:tcBorders>
              <w:top w:val="nil"/>
              <w:left w:val="nil"/>
              <w:bottom w:val="nil"/>
              <w:right w:val="nil"/>
            </w:tcBorders>
            <w:shd w:val="clear" w:color="auto" w:fill="auto"/>
            <w:noWrap/>
            <w:vAlign w:val="center"/>
            <w:hideMark/>
          </w:tcPr>
          <w:p w14:paraId="0EF9F8E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c>
          <w:tcPr>
            <w:tcW w:w="0" w:type="auto"/>
            <w:tcBorders>
              <w:top w:val="nil"/>
              <w:left w:val="nil"/>
              <w:bottom w:val="nil"/>
              <w:right w:val="nil"/>
            </w:tcBorders>
            <w:shd w:val="clear" w:color="auto" w:fill="auto"/>
            <w:noWrap/>
            <w:vAlign w:val="center"/>
            <w:hideMark/>
          </w:tcPr>
          <w:p w14:paraId="26CF1D0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0.47</w:t>
            </w:r>
          </w:p>
        </w:tc>
        <w:tc>
          <w:tcPr>
            <w:tcW w:w="0" w:type="auto"/>
            <w:tcBorders>
              <w:top w:val="nil"/>
              <w:left w:val="nil"/>
              <w:bottom w:val="nil"/>
              <w:right w:val="nil"/>
            </w:tcBorders>
            <w:shd w:val="clear" w:color="auto" w:fill="auto"/>
            <w:noWrap/>
            <w:vAlign w:val="center"/>
            <w:hideMark/>
          </w:tcPr>
          <w:p w14:paraId="7298435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0.46</w:t>
            </w:r>
          </w:p>
        </w:tc>
      </w:tr>
      <w:tr w:rsidR="00B50F1D" w:rsidRPr="00B50F1D" w14:paraId="0C857428" w14:textId="77777777" w:rsidTr="005D3E3E">
        <w:trPr>
          <w:trHeight w:val="300"/>
          <w:jc w:val="center"/>
        </w:trPr>
        <w:tc>
          <w:tcPr>
            <w:tcW w:w="0" w:type="auto"/>
            <w:tcBorders>
              <w:top w:val="nil"/>
              <w:left w:val="nil"/>
              <w:bottom w:val="nil"/>
              <w:right w:val="nil"/>
            </w:tcBorders>
            <w:shd w:val="clear" w:color="auto" w:fill="auto"/>
            <w:noWrap/>
            <w:hideMark/>
          </w:tcPr>
          <w:p w14:paraId="565628C1"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42664C6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0.41</w:t>
            </w:r>
          </w:p>
        </w:tc>
        <w:tc>
          <w:tcPr>
            <w:tcW w:w="0" w:type="auto"/>
            <w:tcBorders>
              <w:top w:val="nil"/>
              <w:left w:val="nil"/>
              <w:bottom w:val="nil"/>
              <w:right w:val="nil"/>
            </w:tcBorders>
            <w:shd w:val="clear" w:color="auto" w:fill="auto"/>
            <w:noWrap/>
            <w:vAlign w:val="center"/>
            <w:hideMark/>
          </w:tcPr>
          <w:p w14:paraId="698CFE0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0.25</w:t>
            </w:r>
          </w:p>
        </w:tc>
        <w:tc>
          <w:tcPr>
            <w:tcW w:w="0" w:type="auto"/>
            <w:tcBorders>
              <w:top w:val="nil"/>
              <w:left w:val="nil"/>
              <w:bottom w:val="nil"/>
              <w:right w:val="nil"/>
            </w:tcBorders>
            <w:shd w:val="clear" w:color="auto" w:fill="auto"/>
            <w:noWrap/>
            <w:vAlign w:val="center"/>
            <w:hideMark/>
          </w:tcPr>
          <w:p w14:paraId="60FA35B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0.44</w:t>
            </w:r>
          </w:p>
        </w:tc>
        <w:tc>
          <w:tcPr>
            <w:tcW w:w="0" w:type="auto"/>
            <w:tcBorders>
              <w:top w:val="nil"/>
              <w:left w:val="nil"/>
              <w:bottom w:val="nil"/>
              <w:right w:val="nil"/>
            </w:tcBorders>
            <w:shd w:val="clear" w:color="auto" w:fill="auto"/>
            <w:noWrap/>
            <w:vAlign w:val="center"/>
            <w:hideMark/>
          </w:tcPr>
          <w:p w14:paraId="79ECCD1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0.40</w:t>
            </w:r>
          </w:p>
        </w:tc>
      </w:tr>
      <w:tr w:rsidR="00B50F1D" w:rsidRPr="00B50F1D" w14:paraId="1E3CE193"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76C5D302" w14:textId="77777777" w:rsidR="00B50F1D" w:rsidRPr="00B50F1D" w:rsidRDefault="00B50F1D" w:rsidP="00B50F1D">
            <w:pPr>
              <w:spacing w:after="0" w:line="240" w:lineRule="auto"/>
              <w:rPr>
                <w:rFonts w:eastAsia="Times New Roman"/>
                <w:i/>
                <w:color w:val="000000"/>
                <w:sz w:val="24"/>
                <w:szCs w:val="24"/>
              </w:rPr>
            </w:pPr>
            <w:r w:rsidRPr="00B50F1D">
              <w:rPr>
                <w:rFonts w:eastAsia="Calibri"/>
                <w:i/>
                <w:sz w:val="24"/>
                <w:szCs w:val="24"/>
              </w:rPr>
              <w:t>Regime 3</w:t>
            </w:r>
          </w:p>
        </w:tc>
      </w:tr>
      <w:tr w:rsidR="00B50F1D" w:rsidRPr="00B50F1D" w14:paraId="4E8EDA75"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20A682F8" w14:textId="77777777" w:rsidR="00B50F1D" w:rsidRPr="00B50F1D" w:rsidRDefault="00B50F1D" w:rsidP="00B50F1D">
            <w:pPr>
              <w:spacing w:after="0" w:line="240" w:lineRule="auto"/>
              <w:rPr>
                <w:rFonts w:eastAsia="Times New Roman"/>
                <w:color w:val="000000"/>
                <w:sz w:val="24"/>
                <w:szCs w:val="24"/>
              </w:rPr>
            </w:pPr>
            <m:oMath>
              <m:r>
                <w:rPr>
                  <w:rFonts w:ascii="Cambria Math" w:eastAsia="Times New Roman" w:hAnsi="Cambria Math"/>
                  <w:color w:val="000000"/>
                  <w:sz w:val="24"/>
                  <w:szCs w:val="24"/>
                </w:rPr>
                <m:t>U</m:t>
              </m:r>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S</m:t>
                  </m:r>
                </m:e>
                <m:sub>
                  <m:r>
                    <w:rPr>
                      <w:rFonts w:ascii="Cambria Math" w:eastAsia="Times New Roman" w:hAnsi="Cambria Math"/>
                      <w:color w:val="000000"/>
                      <w:sz w:val="24"/>
                      <w:szCs w:val="24"/>
                    </w:rPr>
                    <m:t>t-1</m:t>
                  </m:r>
                </m:sub>
              </m:sSub>
            </m:oMath>
            <w:r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2EFB314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759E015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49A6B90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1C14370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0.49</w:t>
            </w:r>
          </w:p>
        </w:tc>
      </w:tr>
      <w:tr w:rsidR="00B50F1D" w:rsidRPr="00B50F1D" w14:paraId="5B818C91" w14:textId="77777777" w:rsidTr="005D3E3E">
        <w:trPr>
          <w:trHeight w:val="300"/>
          <w:jc w:val="center"/>
        </w:trPr>
        <w:tc>
          <w:tcPr>
            <w:tcW w:w="0" w:type="auto"/>
            <w:tcBorders>
              <w:top w:val="nil"/>
              <w:left w:val="nil"/>
              <w:bottom w:val="nil"/>
              <w:right w:val="nil"/>
            </w:tcBorders>
            <w:shd w:val="clear" w:color="auto" w:fill="auto"/>
            <w:noWrap/>
            <w:hideMark/>
          </w:tcPr>
          <w:p w14:paraId="595FA414"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45266A7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6DCFDB0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5A11ABE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2FC7E2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0.31</w:t>
            </w:r>
          </w:p>
        </w:tc>
      </w:tr>
      <w:tr w:rsidR="00B50F1D" w:rsidRPr="00B50F1D" w14:paraId="12E5605C" w14:textId="77777777" w:rsidTr="005D3E3E">
        <w:trPr>
          <w:trHeight w:val="300"/>
          <w:jc w:val="center"/>
        </w:trPr>
        <w:tc>
          <w:tcPr>
            <w:tcW w:w="0" w:type="auto"/>
            <w:tcBorders>
              <w:top w:val="nil"/>
              <w:left w:val="nil"/>
              <w:bottom w:val="nil"/>
              <w:right w:val="nil"/>
            </w:tcBorders>
            <w:shd w:val="clear" w:color="auto" w:fill="auto"/>
            <w:noWrap/>
            <w:hideMark/>
          </w:tcPr>
          <w:p w14:paraId="13FA7936"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0B08BAA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68EC53D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2.44</w:t>
            </w:r>
          </w:p>
        </w:tc>
        <w:tc>
          <w:tcPr>
            <w:tcW w:w="0" w:type="auto"/>
            <w:tcBorders>
              <w:top w:val="nil"/>
              <w:left w:val="nil"/>
              <w:bottom w:val="nil"/>
              <w:right w:val="nil"/>
            </w:tcBorders>
            <w:shd w:val="clear" w:color="auto" w:fill="auto"/>
            <w:noWrap/>
            <w:vAlign w:val="center"/>
            <w:hideMark/>
          </w:tcPr>
          <w:p w14:paraId="4D58E5B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6670DD4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0.76</w:t>
            </w:r>
          </w:p>
        </w:tc>
      </w:tr>
      <w:tr w:rsidR="00B50F1D" w:rsidRPr="00B50F1D" w14:paraId="3A323B0D" w14:textId="77777777" w:rsidTr="005D3E3E">
        <w:trPr>
          <w:trHeight w:val="300"/>
          <w:jc w:val="center"/>
        </w:trPr>
        <w:tc>
          <w:tcPr>
            <w:tcW w:w="0" w:type="auto"/>
            <w:tcBorders>
              <w:top w:val="nil"/>
              <w:left w:val="nil"/>
              <w:bottom w:val="nil"/>
              <w:right w:val="nil"/>
            </w:tcBorders>
            <w:shd w:val="clear" w:color="auto" w:fill="auto"/>
            <w:noWrap/>
            <w:hideMark/>
          </w:tcPr>
          <w:p w14:paraId="04AE570F"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2F4E7F5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17707F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0.09</w:t>
            </w:r>
          </w:p>
        </w:tc>
        <w:tc>
          <w:tcPr>
            <w:tcW w:w="0" w:type="auto"/>
            <w:tcBorders>
              <w:top w:val="nil"/>
              <w:left w:val="nil"/>
              <w:bottom w:val="nil"/>
              <w:right w:val="nil"/>
            </w:tcBorders>
            <w:shd w:val="clear" w:color="auto" w:fill="auto"/>
            <w:noWrap/>
            <w:vAlign w:val="center"/>
            <w:hideMark/>
          </w:tcPr>
          <w:p w14:paraId="7E7A4C4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4CD11D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0.45</w:t>
            </w:r>
          </w:p>
        </w:tc>
      </w:tr>
      <w:tr w:rsidR="00B50F1D" w:rsidRPr="00B50F1D" w14:paraId="3962C5D9" w14:textId="77777777" w:rsidTr="005D3E3E">
        <w:trPr>
          <w:trHeight w:val="300"/>
          <w:jc w:val="center"/>
        </w:trPr>
        <w:tc>
          <w:tcPr>
            <w:tcW w:w="0" w:type="auto"/>
            <w:tcBorders>
              <w:top w:val="nil"/>
              <w:left w:val="nil"/>
              <w:bottom w:val="nil"/>
              <w:right w:val="nil"/>
            </w:tcBorders>
            <w:shd w:val="clear" w:color="auto" w:fill="auto"/>
            <w:noWrap/>
            <w:hideMark/>
          </w:tcPr>
          <w:p w14:paraId="34102250"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6A01209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84B3BC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0.42</w:t>
            </w:r>
          </w:p>
        </w:tc>
        <w:tc>
          <w:tcPr>
            <w:tcW w:w="0" w:type="auto"/>
            <w:tcBorders>
              <w:top w:val="nil"/>
              <w:left w:val="nil"/>
              <w:bottom w:val="nil"/>
              <w:right w:val="nil"/>
            </w:tcBorders>
            <w:shd w:val="clear" w:color="auto" w:fill="auto"/>
            <w:noWrap/>
            <w:vAlign w:val="center"/>
            <w:hideMark/>
          </w:tcPr>
          <w:p w14:paraId="0941511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29D05BE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0.39</w:t>
            </w:r>
          </w:p>
        </w:tc>
      </w:tr>
      <w:tr w:rsidR="00B50F1D" w:rsidRPr="00B50F1D" w14:paraId="40FCB31D"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1D4CE542"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p11</w:t>
            </w:r>
          </w:p>
        </w:tc>
        <w:tc>
          <w:tcPr>
            <w:tcW w:w="0" w:type="auto"/>
            <w:tcBorders>
              <w:top w:val="single" w:sz="4" w:space="0" w:color="auto"/>
              <w:left w:val="nil"/>
              <w:bottom w:val="nil"/>
              <w:right w:val="nil"/>
            </w:tcBorders>
            <w:shd w:val="clear" w:color="auto" w:fill="auto"/>
            <w:noWrap/>
            <w:vAlign w:val="center"/>
            <w:hideMark/>
          </w:tcPr>
          <w:p w14:paraId="2A03DD2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0.98</w:t>
            </w:r>
          </w:p>
        </w:tc>
        <w:tc>
          <w:tcPr>
            <w:tcW w:w="0" w:type="auto"/>
            <w:tcBorders>
              <w:top w:val="single" w:sz="4" w:space="0" w:color="auto"/>
              <w:left w:val="nil"/>
              <w:bottom w:val="nil"/>
              <w:right w:val="nil"/>
            </w:tcBorders>
            <w:shd w:val="clear" w:color="auto" w:fill="auto"/>
            <w:noWrap/>
            <w:vAlign w:val="center"/>
            <w:hideMark/>
          </w:tcPr>
          <w:p w14:paraId="7147381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0.96</w:t>
            </w:r>
          </w:p>
        </w:tc>
        <w:tc>
          <w:tcPr>
            <w:tcW w:w="0" w:type="auto"/>
            <w:tcBorders>
              <w:top w:val="single" w:sz="4" w:space="0" w:color="auto"/>
              <w:left w:val="nil"/>
              <w:bottom w:val="nil"/>
              <w:right w:val="nil"/>
            </w:tcBorders>
            <w:shd w:val="clear" w:color="auto" w:fill="auto"/>
            <w:noWrap/>
            <w:vAlign w:val="center"/>
            <w:hideMark/>
          </w:tcPr>
          <w:p w14:paraId="5440BDC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0.96</w:t>
            </w:r>
          </w:p>
        </w:tc>
        <w:tc>
          <w:tcPr>
            <w:tcW w:w="0" w:type="auto"/>
            <w:tcBorders>
              <w:top w:val="single" w:sz="4" w:space="0" w:color="auto"/>
              <w:left w:val="nil"/>
              <w:bottom w:val="nil"/>
              <w:right w:val="nil"/>
            </w:tcBorders>
            <w:shd w:val="clear" w:color="auto" w:fill="auto"/>
            <w:noWrap/>
            <w:vAlign w:val="center"/>
            <w:hideMark/>
          </w:tcPr>
          <w:p w14:paraId="52BD3DE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0.94</w:t>
            </w:r>
          </w:p>
        </w:tc>
      </w:tr>
      <w:tr w:rsidR="00B50F1D" w:rsidRPr="00B50F1D" w14:paraId="2EC24109" w14:textId="77777777" w:rsidTr="005D3E3E">
        <w:trPr>
          <w:trHeight w:val="300"/>
          <w:jc w:val="center"/>
        </w:trPr>
        <w:tc>
          <w:tcPr>
            <w:tcW w:w="0" w:type="auto"/>
            <w:tcBorders>
              <w:top w:val="nil"/>
              <w:left w:val="nil"/>
              <w:bottom w:val="nil"/>
              <w:right w:val="nil"/>
            </w:tcBorders>
            <w:shd w:val="clear" w:color="auto" w:fill="auto"/>
            <w:noWrap/>
            <w:hideMark/>
          </w:tcPr>
          <w:p w14:paraId="39704477"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p21</w:t>
            </w:r>
          </w:p>
        </w:tc>
        <w:tc>
          <w:tcPr>
            <w:tcW w:w="0" w:type="auto"/>
            <w:tcBorders>
              <w:top w:val="nil"/>
              <w:left w:val="nil"/>
              <w:bottom w:val="nil"/>
              <w:right w:val="nil"/>
            </w:tcBorders>
            <w:shd w:val="clear" w:color="auto" w:fill="auto"/>
            <w:noWrap/>
            <w:vAlign w:val="center"/>
            <w:hideMark/>
          </w:tcPr>
          <w:p w14:paraId="22FF566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0.95</w:t>
            </w:r>
          </w:p>
        </w:tc>
        <w:tc>
          <w:tcPr>
            <w:tcW w:w="0" w:type="auto"/>
            <w:tcBorders>
              <w:top w:val="nil"/>
              <w:left w:val="nil"/>
              <w:bottom w:val="nil"/>
              <w:right w:val="nil"/>
            </w:tcBorders>
            <w:shd w:val="clear" w:color="auto" w:fill="auto"/>
            <w:noWrap/>
            <w:vAlign w:val="center"/>
            <w:hideMark/>
          </w:tcPr>
          <w:p w14:paraId="38A2B11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0.96</w:t>
            </w:r>
          </w:p>
        </w:tc>
        <w:tc>
          <w:tcPr>
            <w:tcW w:w="0" w:type="auto"/>
            <w:tcBorders>
              <w:top w:val="nil"/>
              <w:left w:val="nil"/>
              <w:bottom w:val="nil"/>
              <w:right w:val="nil"/>
            </w:tcBorders>
            <w:shd w:val="clear" w:color="auto" w:fill="auto"/>
            <w:noWrap/>
            <w:vAlign w:val="center"/>
            <w:hideMark/>
          </w:tcPr>
          <w:p w14:paraId="546FB87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0.73</w:t>
            </w:r>
          </w:p>
        </w:tc>
        <w:tc>
          <w:tcPr>
            <w:tcW w:w="0" w:type="auto"/>
            <w:tcBorders>
              <w:top w:val="nil"/>
              <w:left w:val="nil"/>
              <w:bottom w:val="nil"/>
              <w:right w:val="nil"/>
            </w:tcBorders>
            <w:shd w:val="clear" w:color="auto" w:fill="auto"/>
            <w:noWrap/>
            <w:vAlign w:val="center"/>
            <w:hideMark/>
          </w:tcPr>
          <w:p w14:paraId="5D0548A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0.73</w:t>
            </w:r>
          </w:p>
        </w:tc>
      </w:tr>
      <w:tr w:rsidR="00B50F1D" w:rsidRPr="00B50F1D" w14:paraId="72374141" w14:textId="77777777" w:rsidTr="005D3E3E">
        <w:trPr>
          <w:trHeight w:val="300"/>
          <w:jc w:val="center"/>
        </w:trPr>
        <w:tc>
          <w:tcPr>
            <w:tcW w:w="0" w:type="auto"/>
            <w:tcBorders>
              <w:top w:val="nil"/>
              <w:left w:val="nil"/>
              <w:bottom w:val="nil"/>
              <w:right w:val="nil"/>
            </w:tcBorders>
            <w:shd w:val="clear" w:color="auto" w:fill="auto"/>
            <w:noWrap/>
            <w:hideMark/>
          </w:tcPr>
          <w:p w14:paraId="6D45B97A"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p33</w:t>
            </w:r>
          </w:p>
        </w:tc>
        <w:tc>
          <w:tcPr>
            <w:tcW w:w="0" w:type="auto"/>
            <w:tcBorders>
              <w:top w:val="nil"/>
              <w:left w:val="nil"/>
              <w:bottom w:val="nil"/>
              <w:right w:val="nil"/>
            </w:tcBorders>
            <w:shd w:val="clear" w:color="auto" w:fill="auto"/>
            <w:noWrap/>
            <w:vAlign w:val="center"/>
            <w:hideMark/>
          </w:tcPr>
          <w:p w14:paraId="26E97AE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661CB3E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0.92</w:t>
            </w:r>
          </w:p>
        </w:tc>
        <w:tc>
          <w:tcPr>
            <w:tcW w:w="0" w:type="auto"/>
            <w:tcBorders>
              <w:top w:val="nil"/>
              <w:left w:val="nil"/>
              <w:bottom w:val="nil"/>
              <w:right w:val="nil"/>
            </w:tcBorders>
            <w:shd w:val="clear" w:color="auto" w:fill="auto"/>
            <w:noWrap/>
            <w:vAlign w:val="center"/>
            <w:hideMark/>
          </w:tcPr>
          <w:p w14:paraId="762D8EE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CD0681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0.75</w:t>
            </w:r>
          </w:p>
        </w:tc>
      </w:tr>
      <w:tr w:rsidR="00B50F1D" w:rsidRPr="00B50F1D" w14:paraId="652D8DBC" w14:textId="77777777" w:rsidTr="005D3E3E">
        <w:trPr>
          <w:trHeight w:val="300"/>
          <w:jc w:val="center"/>
        </w:trPr>
        <w:tc>
          <w:tcPr>
            <w:tcW w:w="0" w:type="auto"/>
            <w:tcBorders>
              <w:top w:val="nil"/>
              <w:left w:val="nil"/>
              <w:bottom w:val="nil"/>
              <w:right w:val="nil"/>
            </w:tcBorders>
            <w:shd w:val="clear" w:color="auto" w:fill="auto"/>
            <w:noWrap/>
          </w:tcPr>
          <w:p w14:paraId="4CCF4C34"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47AB4ED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tcPr>
          <w:p w14:paraId="11FB7F4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tcPr>
          <w:p w14:paraId="784F322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tcPr>
          <w:p w14:paraId="11437D6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r>
      <w:tr w:rsidR="00B50F1D" w:rsidRPr="00B50F1D" w14:paraId="360FB5B1" w14:textId="77777777" w:rsidTr="005D3E3E">
        <w:trPr>
          <w:trHeight w:val="300"/>
          <w:jc w:val="center"/>
        </w:trPr>
        <w:tc>
          <w:tcPr>
            <w:tcW w:w="0" w:type="auto"/>
            <w:tcBorders>
              <w:top w:val="nil"/>
              <w:left w:val="nil"/>
              <w:bottom w:val="nil"/>
              <w:right w:val="nil"/>
            </w:tcBorders>
            <w:shd w:val="clear" w:color="auto" w:fill="auto"/>
            <w:noWrap/>
            <w:hideMark/>
          </w:tcPr>
          <w:p w14:paraId="1FA3588A"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D1</w:t>
            </w:r>
          </w:p>
        </w:tc>
        <w:tc>
          <w:tcPr>
            <w:tcW w:w="0" w:type="auto"/>
            <w:tcBorders>
              <w:top w:val="nil"/>
              <w:left w:val="nil"/>
              <w:bottom w:val="nil"/>
              <w:right w:val="nil"/>
            </w:tcBorders>
            <w:shd w:val="clear" w:color="auto" w:fill="auto"/>
            <w:noWrap/>
            <w:vAlign w:val="center"/>
            <w:hideMark/>
          </w:tcPr>
          <w:p w14:paraId="5888678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49.44</w:t>
            </w:r>
          </w:p>
        </w:tc>
        <w:tc>
          <w:tcPr>
            <w:tcW w:w="0" w:type="auto"/>
            <w:tcBorders>
              <w:top w:val="nil"/>
              <w:left w:val="nil"/>
              <w:bottom w:val="nil"/>
              <w:right w:val="nil"/>
            </w:tcBorders>
            <w:shd w:val="clear" w:color="auto" w:fill="auto"/>
            <w:noWrap/>
            <w:vAlign w:val="center"/>
            <w:hideMark/>
          </w:tcPr>
          <w:p w14:paraId="03F92F4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25.70</w:t>
            </w:r>
          </w:p>
        </w:tc>
        <w:tc>
          <w:tcPr>
            <w:tcW w:w="0" w:type="auto"/>
            <w:tcBorders>
              <w:top w:val="nil"/>
              <w:left w:val="nil"/>
              <w:bottom w:val="nil"/>
              <w:right w:val="nil"/>
            </w:tcBorders>
            <w:shd w:val="clear" w:color="auto" w:fill="auto"/>
            <w:noWrap/>
            <w:vAlign w:val="center"/>
            <w:hideMark/>
          </w:tcPr>
          <w:p w14:paraId="0998040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25.13</w:t>
            </w:r>
          </w:p>
        </w:tc>
        <w:tc>
          <w:tcPr>
            <w:tcW w:w="0" w:type="auto"/>
            <w:tcBorders>
              <w:top w:val="nil"/>
              <w:left w:val="nil"/>
              <w:bottom w:val="nil"/>
              <w:right w:val="nil"/>
            </w:tcBorders>
            <w:shd w:val="clear" w:color="auto" w:fill="auto"/>
            <w:noWrap/>
            <w:vAlign w:val="center"/>
            <w:hideMark/>
          </w:tcPr>
          <w:p w14:paraId="27DF215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17.12</w:t>
            </w:r>
          </w:p>
        </w:tc>
      </w:tr>
      <w:tr w:rsidR="00B50F1D" w:rsidRPr="00B50F1D" w14:paraId="4D8DCAF6" w14:textId="77777777" w:rsidTr="005D3E3E">
        <w:trPr>
          <w:trHeight w:val="300"/>
          <w:jc w:val="center"/>
        </w:trPr>
        <w:tc>
          <w:tcPr>
            <w:tcW w:w="0" w:type="auto"/>
            <w:tcBorders>
              <w:top w:val="nil"/>
              <w:left w:val="nil"/>
              <w:right w:val="nil"/>
            </w:tcBorders>
            <w:shd w:val="clear" w:color="auto" w:fill="auto"/>
            <w:noWrap/>
            <w:hideMark/>
          </w:tcPr>
          <w:p w14:paraId="13BA1707"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D2</w:t>
            </w:r>
          </w:p>
        </w:tc>
        <w:tc>
          <w:tcPr>
            <w:tcW w:w="0" w:type="auto"/>
            <w:tcBorders>
              <w:top w:val="nil"/>
              <w:left w:val="nil"/>
              <w:right w:val="nil"/>
            </w:tcBorders>
            <w:shd w:val="clear" w:color="auto" w:fill="auto"/>
            <w:noWrap/>
            <w:vAlign w:val="center"/>
            <w:hideMark/>
          </w:tcPr>
          <w:p w14:paraId="6512253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18.35</w:t>
            </w:r>
          </w:p>
        </w:tc>
        <w:tc>
          <w:tcPr>
            <w:tcW w:w="0" w:type="auto"/>
            <w:tcBorders>
              <w:top w:val="nil"/>
              <w:left w:val="nil"/>
              <w:right w:val="nil"/>
            </w:tcBorders>
            <w:shd w:val="clear" w:color="auto" w:fill="auto"/>
            <w:noWrap/>
            <w:vAlign w:val="center"/>
            <w:hideMark/>
          </w:tcPr>
          <w:p w14:paraId="042A4EE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25.73</w:t>
            </w:r>
          </w:p>
        </w:tc>
        <w:tc>
          <w:tcPr>
            <w:tcW w:w="0" w:type="auto"/>
            <w:tcBorders>
              <w:top w:val="nil"/>
              <w:left w:val="nil"/>
              <w:right w:val="nil"/>
            </w:tcBorders>
            <w:shd w:val="clear" w:color="auto" w:fill="auto"/>
            <w:noWrap/>
            <w:vAlign w:val="center"/>
            <w:hideMark/>
          </w:tcPr>
          <w:p w14:paraId="6621B5E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3.69</w:t>
            </w:r>
          </w:p>
        </w:tc>
        <w:tc>
          <w:tcPr>
            <w:tcW w:w="0" w:type="auto"/>
            <w:tcBorders>
              <w:top w:val="nil"/>
              <w:left w:val="nil"/>
              <w:right w:val="nil"/>
            </w:tcBorders>
            <w:shd w:val="clear" w:color="auto" w:fill="auto"/>
            <w:noWrap/>
            <w:vAlign w:val="center"/>
            <w:hideMark/>
          </w:tcPr>
          <w:p w14:paraId="364D464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3.72</w:t>
            </w:r>
          </w:p>
        </w:tc>
      </w:tr>
      <w:tr w:rsidR="00B50F1D" w:rsidRPr="00B50F1D" w14:paraId="71F567B8" w14:textId="77777777" w:rsidTr="005D3E3E">
        <w:trPr>
          <w:trHeight w:val="300"/>
          <w:jc w:val="center"/>
        </w:trPr>
        <w:tc>
          <w:tcPr>
            <w:tcW w:w="0" w:type="auto"/>
            <w:tcBorders>
              <w:top w:val="nil"/>
              <w:left w:val="nil"/>
              <w:bottom w:val="single" w:sz="4" w:space="0" w:color="auto"/>
              <w:right w:val="nil"/>
            </w:tcBorders>
            <w:shd w:val="clear" w:color="auto" w:fill="auto"/>
            <w:noWrap/>
            <w:hideMark/>
          </w:tcPr>
          <w:p w14:paraId="53B02FE9"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D3</w:t>
            </w:r>
          </w:p>
        </w:tc>
        <w:tc>
          <w:tcPr>
            <w:tcW w:w="0" w:type="auto"/>
            <w:tcBorders>
              <w:top w:val="nil"/>
              <w:left w:val="nil"/>
              <w:bottom w:val="single" w:sz="4" w:space="0" w:color="auto"/>
              <w:right w:val="nil"/>
            </w:tcBorders>
            <w:shd w:val="clear" w:color="auto" w:fill="auto"/>
            <w:noWrap/>
            <w:vAlign w:val="center"/>
            <w:hideMark/>
          </w:tcPr>
          <w:p w14:paraId="292AD0B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single" w:sz="4" w:space="0" w:color="auto"/>
              <w:right w:val="nil"/>
            </w:tcBorders>
            <w:shd w:val="clear" w:color="auto" w:fill="auto"/>
            <w:noWrap/>
            <w:vAlign w:val="center"/>
            <w:hideMark/>
          </w:tcPr>
          <w:p w14:paraId="6A96CD5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11.83</w:t>
            </w:r>
          </w:p>
        </w:tc>
        <w:tc>
          <w:tcPr>
            <w:tcW w:w="0" w:type="auto"/>
            <w:tcBorders>
              <w:top w:val="nil"/>
              <w:left w:val="nil"/>
              <w:bottom w:val="single" w:sz="4" w:space="0" w:color="auto"/>
              <w:right w:val="nil"/>
            </w:tcBorders>
            <w:shd w:val="clear" w:color="auto" w:fill="auto"/>
            <w:noWrap/>
            <w:vAlign w:val="center"/>
            <w:hideMark/>
          </w:tcPr>
          <w:p w14:paraId="36510F1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single" w:sz="4" w:space="0" w:color="auto"/>
              <w:right w:val="nil"/>
            </w:tcBorders>
            <w:shd w:val="clear" w:color="auto" w:fill="auto"/>
            <w:noWrap/>
            <w:vAlign w:val="center"/>
            <w:hideMark/>
          </w:tcPr>
          <w:p w14:paraId="5EBC1EC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4.07</w:t>
            </w:r>
          </w:p>
        </w:tc>
      </w:tr>
      <w:tr w:rsidR="00B50F1D" w:rsidRPr="00B50F1D" w14:paraId="28E5D03D"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6E98FD38"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Observations</w:t>
            </w:r>
          </w:p>
        </w:tc>
        <w:tc>
          <w:tcPr>
            <w:tcW w:w="0" w:type="auto"/>
            <w:tcBorders>
              <w:top w:val="single" w:sz="4" w:space="0" w:color="auto"/>
              <w:left w:val="nil"/>
              <w:bottom w:val="nil"/>
              <w:right w:val="nil"/>
            </w:tcBorders>
            <w:shd w:val="clear" w:color="auto" w:fill="auto"/>
            <w:noWrap/>
            <w:vAlign w:val="center"/>
            <w:hideMark/>
          </w:tcPr>
          <w:p w14:paraId="7E37457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258.00</w:t>
            </w:r>
          </w:p>
        </w:tc>
        <w:tc>
          <w:tcPr>
            <w:tcW w:w="0" w:type="auto"/>
            <w:tcBorders>
              <w:top w:val="single" w:sz="4" w:space="0" w:color="auto"/>
              <w:left w:val="nil"/>
              <w:bottom w:val="nil"/>
              <w:right w:val="nil"/>
            </w:tcBorders>
            <w:shd w:val="clear" w:color="auto" w:fill="auto"/>
            <w:noWrap/>
            <w:vAlign w:val="center"/>
            <w:hideMark/>
          </w:tcPr>
          <w:p w14:paraId="2970539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258.00</w:t>
            </w:r>
          </w:p>
        </w:tc>
        <w:tc>
          <w:tcPr>
            <w:tcW w:w="0" w:type="auto"/>
            <w:tcBorders>
              <w:top w:val="single" w:sz="4" w:space="0" w:color="auto"/>
              <w:left w:val="nil"/>
              <w:bottom w:val="nil"/>
              <w:right w:val="nil"/>
            </w:tcBorders>
            <w:shd w:val="clear" w:color="auto" w:fill="auto"/>
            <w:noWrap/>
            <w:vAlign w:val="center"/>
            <w:hideMark/>
          </w:tcPr>
          <w:p w14:paraId="5542FF8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257.00</w:t>
            </w:r>
          </w:p>
        </w:tc>
        <w:tc>
          <w:tcPr>
            <w:tcW w:w="0" w:type="auto"/>
            <w:tcBorders>
              <w:top w:val="single" w:sz="4" w:space="0" w:color="auto"/>
              <w:left w:val="nil"/>
              <w:bottom w:val="nil"/>
              <w:right w:val="nil"/>
            </w:tcBorders>
            <w:shd w:val="clear" w:color="auto" w:fill="auto"/>
            <w:noWrap/>
            <w:vAlign w:val="center"/>
            <w:hideMark/>
          </w:tcPr>
          <w:p w14:paraId="0652933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257.00</w:t>
            </w:r>
          </w:p>
        </w:tc>
      </w:tr>
      <w:tr w:rsidR="00B50F1D" w:rsidRPr="00B50F1D" w14:paraId="719D22DE" w14:textId="77777777" w:rsidTr="005D3E3E">
        <w:trPr>
          <w:trHeight w:val="300"/>
          <w:jc w:val="center"/>
        </w:trPr>
        <w:tc>
          <w:tcPr>
            <w:tcW w:w="0" w:type="auto"/>
            <w:tcBorders>
              <w:top w:val="nil"/>
              <w:left w:val="nil"/>
              <w:bottom w:val="nil"/>
              <w:right w:val="nil"/>
            </w:tcBorders>
            <w:shd w:val="clear" w:color="auto" w:fill="auto"/>
            <w:noWrap/>
            <w:hideMark/>
          </w:tcPr>
          <w:p w14:paraId="13727D4B"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Log-Likelihood</w:t>
            </w:r>
          </w:p>
        </w:tc>
        <w:tc>
          <w:tcPr>
            <w:tcW w:w="0" w:type="auto"/>
            <w:tcBorders>
              <w:top w:val="nil"/>
              <w:left w:val="nil"/>
              <w:bottom w:val="nil"/>
              <w:right w:val="nil"/>
            </w:tcBorders>
            <w:shd w:val="clear" w:color="auto" w:fill="auto"/>
            <w:noWrap/>
            <w:vAlign w:val="center"/>
            <w:hideMark/>
          </w:tcPr>
          <w:p w14:paraId="2A3D648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170.37</w:t>
            </w:r>
          </w:p>
        </w:tc>
        <w:tc>
          <w:tcPr>
            <w:tcW w:w="0" w:type="auto"/>
            <w:tcBorders>
              <w:top w:val="nil"/>
              <w:left w:val="nil"/>
              <w:bottom w:val="nil"/>
              <w:right w:val="nil"/>
            </w:tcBorders>
            <w:shd w:val="clear" w:color="auto" w:fill="auto"/>
            <w:noWrap/>
            <w:vAlign w:val="center"/>
            <w:hideMark/>
          </w:tcPr>
          <w:p w14:paraId="1045CD4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225.60</w:t>
            </w:r>
          </w:p>
        </w:tc>
        <w:tc>
          <w:tcPr>
            <w:tcW w:w="0" w:type="auto"/>
            <w:tcBorders>
              <w:top w:val="nil"/>
              <w:left w:val="nil"/>
              <w:bottom w:val="nil"/>
              <w:right w:val="nil"/>
            </w:tcBorders>
            <w:shd w:val="clear" w:color="auto" w:fill="auto"/>
            <w:noWrap/>
            <w:vAlign w:val="center"/>
            <w:hideMark/>
          </w:tcPr>
          <w:p w14:paraId="60E0246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285.75</w:t>
            </w:r>
          </w:p>
        </w:tc>
        <w:tc>
          <w:tcPr>
            <w:tcW w:w="0" w:type="auto"/>
            <w:tcBorders>
              <w:top w:val="nil"/>
              <w:left w:val="nil"/>
              <w:bottom w:val="nil"/>
              <w:right w:val="nil"/>
            </w:tcBorders>
            <w:shd w:val="clear" w:color="auto" w:fill="auto"/>
            <w:noWrap/>
            <w:vAlign w:val="center"/>
            <w:hideMark/>
          </w:tcPr>
          <w:p w14:paraId="11E0A16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283.77</w:t>
            </w:r>
          </w:p>
        </w:tc>
      </w:tr>
      <w:tr w:rsidR="00B50F1D" w:rsidRPr="00B50F1D" w14:paraId="0AF65249" w14:textId="77777777" w:rsidTr="005D3E3E">
        <w:trPr>
          <w:trHeight w:val="300"/>
          <w:jc w:val="center"/>
        </w:trPr>
        <w:tc>
          <w:tcPr>
            <w:tcW w:w="0" w:type="auto"/>
            <w:tcBorders>
              <w:top w:val="nil"/>
              <w:left w:val="nil"/>
              <w:bottom w:val="nil"/>
              <w:right w:val="nil"/>
            </w:tcBorders>
            <w:shd w:val="clear" w:color="auto" w:fill="auto"/>
            <w:noWrap/>
            <w:hideMark/>
          </w:tcPr>
          <w:p w14:paraId="344F83CD"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AIC</w:t>
            </w:r>
          </w:p>
        </w:tc>
        <w:tc>
          <w:tcPr>
            <w:tcW w:w="0" w:type="auto"/>
            <w:tcBorders>
              <w:top w:val="nil"/>
              <w:left w:val="nil"/>
              <w:bottom w:val="nil"/>
              <w:right w:val="nil"/>
            </w:tcBorders>
            <w:shd w:val="clear" w:color="auto" w:fill="auto"/>
            <w:noWrap/>
            <w:vAlign w:val="center"/>
            <w:hideMark/>
          </w:tcPr>
          <w:p w14:paraId="698031B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-332.74</w:t>
            </w:r>
          </w:p>
        </w:tc>
        <w:tc>
          <w:tcPr>
            <w:tcW w:w="0" w:type="auto"/>
            <w:tcBorders>
              <w:top w:val="nil"/>
              <w:left w:val="nil"/>
              <w:bottom w:val="nil"/>
              <w:right w:val="nil"/>
            </w:tcBorders>
            <w:shd w:val="clear" w:color="auto" w:fill="auto"/>
            <w:noWrap/>
            <w:vAlign w:val="center"/>
            <w:hideMark/>
          </w:tcPr>
          <w:p w14:paraId="75FFA53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-439.21</w:t>
            </w:r>
          </w:p>
        </w:tc>
        <w:tc>
          <w:tcPr>
            <w:tcW w:w="0" w:type="auto"/>
            <w:tcBorders>
              <w:top w:val="nil"/>
              <w:left w:val="nil"/>
              <w:bottom w:val="nil"/>
              <w:right w:val="nil"/>
            </w:tcBorders>
            <w:shd w:val="clear" w:color="auto" w:fill="auto"/>
            <w:noWrap/>
            <w:vAlign w:val="center"/>
            <w:hideMark/>
          </w:tcPr>
          <w:p w14:paraId="6B73607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-559.50</w:t>
            </w:r>
          </w:p>
        </w:tc>
        <w:tc>
          <w:tcPr>
            <w:tcW w:w="0" w:type="auto"/>
            <w:tcBorders>
              <w:top w:val="nil"/>
              <w:left w:val="nil"/>
              <w:bottom w:val="nil"/>
              <w:right w:val="nil"/>
            </w:tcBorders>
            <w:shd w:val="clear" w:color="auto" w:fill="auto"/>
            <w:noWrap/>
            <w:vAlign w:val="center"/>
            <w:hideMark/>
          </w:tcPr>
          <w:p w14:paraId="4447A0F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-549.54</w:t>
            </w:r>
          </w:p>
        </w:tc>
      </w:tr>
      <w:tr w:rsidR="00B50F1D" w:rsidRPr="00B50F1D" w14:paraId="6D868A69" w14:textId="77777777" w:rsidTr="005D3E3E">
        <w:trPr>
          <w:trHeight w:val="300"/>
          <w:jc w:val="center"/>
        </w:trPr>
        <w:tc>
          <w:tcPr>
            <w:tcW w:w="0" w:type="auto"/>
            <w:tcBorders>
              <w:top w:val="nil"/>
              <w:left w:val="nil"/>
              <w:right w:val="nil"/>
            </w:tcBorders>
            <w:shd w:val="clear" w:color="auto" w:fill="auto"/>
            <w:noWrap/>
            <w:hideMark/>
          </w:tcPr>
          <w:p w14:paraId="26BF835A"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BIC</w:t>
            </w:r>
          </w:p>
        </w:tc>
        <w:tc>
          <w:tcPr>
            <w:tcW w:w="0" w:type="auto"/>
            <w:tcBorders>
              <w:top w:val="nil"/>
              <w:left w:val="nil"/>
              <w:right w:val="nil"/>
            </w:tcBorders>
            <w:shd w:val="clear" w:color="auto" w:fill="auto"/>
            <w:noWrap/>
            <w:vAlign w:val="center"/>
            <w:hideMark/>
          </w:tcPr>
          <w:p w14:paraId="1C1EDC7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-318.52</w:t>
            </w:r>
          </w:p>
        </w:tc>
        <w:tc>
          <w:tcPr>
            <w:tcW w:w="0" w:type="auto"/>
            <w:tcBorders>
              <w:top w:val="nil"/>
              <w:left w:val="nil"/>
              <w:right w:val="nil"/>
            </w:tcBorders>
            <w:shd w:val="clear" w:color="auto" w:fill="auto"/>
            <w:noWrap/>
            <w:vAlign w:val="center"/>
            <w:hideMark/>
          </w:tcPr>
          <w:p w14:paraId="66FC0FE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-417.89</w:t>
            </w:r>
          </w:p>
        </w:tc>
        <w:tc>
          <w:tcPr>
            <w:tcW w:w="0" w:type="auto"/>
            <w:tcBorders>
              <w:top w:val="nil"/>
              <w:left w:val="nil"/>
              <w:right w:val="nil"/>
            </w:tcBorders>
            <w:shd w:val="clear" w:color="auto" w:fill="auto"/>
            <w:noWrap/>
            <w:vAlign w:val="center"/>
            <w:hideMark/>
          </w:tcPr>
          <w:p w14:paraId="6EFBE35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-538.20</w:t>
            </w:r>
          </w:p>
        </w:tc>
        <w:tc>
          <w:tcPr>
            <w:tcW w:w="0" w:type="auto"/>
            <w:tcBorders>
              <w:top w:val="nil"/>
              <w:left w:val="nil"/>
              <w:right w:val="nil"/>
            </w:tcBorders>
            <w:shd w:val="clear" w:color="auto" w:fill="auto"/>
            <w:noWrap/>
            <w:vAlign w:val="center"/>
            <w:hideMark/>
          </w:tcPr>
          <w:p w14:paraId="504E790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-517.59</w:t>
            </w:r>
          </w:p>
        </w:tc>
      </w:tr>
      <w:tr w:rsidR="00B50F1D" w:rsidRPr="00B50F1D" w14:paraId="5E636883" w14:textId="77777777" w:rsidTr="005D3E3E">
        <w:trPr>
          <w:trHeight w:val="300"/>
          <w:jc w:val="center"/>
        </w:trPr>
        <w:tc>
          <w:tcPr>
            <w:tcW w:w="0" w:type="auto"/>
            <w:tcBorders>
              <w:top w:val="nil"/>
              <w:left w:val="nil"/>
              <w:bottom w:val="single" w:sz="4" w:space="0" w:color="auto"/>
              <w:right w:val="nil"/>
            </w:tcBorders>
            <w:shd w:val="clear" w:color="auto" w:fill="auto"/>
            <w:noWrap/>
            <w:hideMark/>
          </w:tcPr>
          <w:p w14:paraId="5D78E22B"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DIC</w:t>
            </w:r>
          </w:p>
        </w:tc>
        <w:tc>
          <w:tcPr>
            <w:tcW w:w="0" w:type="auto"/>
            <w:tcBorders>
              <w:top w:val="nil"/>
              <w:left w:val="nil"/>
              <w:bottom w:val="single" w:sz="4" w:space="0" w:color="auto"/>
              <w:right w:val="nil"/>
            </w:tcBorders>
            <w:shd w:val="clear" w:color="auto" w:fill="auto"/>
            <w:noWrap/>
            <w:vAlign w:val="center"/>
            <w:hideMark/>
          </w:tcPr>
          <w:p w14:paraId="0189679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-330.04</w:t>
            </w:r>
          </w:p>
        </w:tc>
        <w:tc>
          <w:tcPr>
            <w:tcW w:w="0" w:type="auto"/>
            <w:tcBorders>
              <w:top w:val="nil"/>
              <w:left w:val="nil"/>
              <w:bottom w:val="single" w:sz="4" w:space="0" w:color="auto"/>
              <w:right w:val="nil"/>
            </w:tcBorders>
            <w:shd w:val="clear" w:color="auto" w:fill="auto"/>
            <w:noWrap/>
            <w:vAlign w:val="center"/>
            <w:hideMark/>
          </w:tcPr>
          <w:p w14:paraId="0F56ADE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-438.23</w:t>
            </w:r>
          </w:p>
        </w:tc>
        <w:tc>
          <w:tcPr>
            <w:tcW w:w="0" w:type="auto"/>
            <w:tcBorders>
              <w:top w:val="nil"/>
              <w:left w:val="nil"/>
              <w:bottom w:val="single" w:sz="4" w:space="0" w:color="auto"/>
              <w:right w:val="nil"/>
            </w:tcBorders>
            <w:shd w:val="clear" w:color="auto" w:fill="auto"/>
            <w:noWrap/>
            <w:vAlign w:val="center"/>
            <w:hideMark/>
          </w:tcPr>
          <w:p w14:paraId="0B5AE97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-561.56</w:t>
            </w:r>
          </w:p>
        </w:tc>
        <w:tc>
          <w:tcPr>
            <w:tcW w:w="0" w:type="auto"/>
            <w:tcBorders>
              <w:top w:val="nil"/>
              <w:left w:val="nil"/>
              <w:bottom w:val="single" w:sz="4" w:space="0" w:color="auto"/>
              <w:right w:val="nil"/>
            </w:tcBorders>
            <w:shd w:val="clear" w:color="auto" w:fill="auto"/>
            <w:noWrap/>
            <w:vAlign w:val="center"/>
            <w:hideMark/>
          </w:tcPr>
          <w:p w14:paraId="39BB381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-555.11</w:t>
            </w:r>
          </w:p>
        </w:tc>
      </w:tr>
    </w:tbl>
    <w:p w14:paraId="26AD5AE2" w14:textId="77777777" w:rsidR="00B50F1D" w:rsidRPr="00B50F1D" w:rsidRDefault="00B50F1D" w:rsidP="00076AA5">
      <w:pPr>
        <w:spacing w:after="200" w:line="276" w:lineRule="auto"/>
        <w:jc w:val="center"/>
        <w:rPr>
          <w:rFonts w:eastAsia="Calibri"/>
          <w:sz w:val="24"/>
          <w:szCs w:val="24"/>
        </w:rPr>
      </w:pPr>
      <w:r w:rsidRPr="00B50F1D">
        <w:rPr>
          <w:rFonts w:eastAsia="Calibri"/>
          <w:sz w:val="24"/>
          <w:szCs w:val="24"/>
        </w:rPr>
        <w:br w:type="page"/>
      </w:r>
      <w:r w:rsidRPr="00B50F1D">
        <w:rPr>
          <w:rFonts w:eastAsia="Calibri"/>
          <w:sz w:val="24"/>
          <w:szCs w:val="24"/>
        </w:rPr>
        <w:lastRenderedPageBreak/>
        <w:t>Figure 1</w:t>
      </w:r>
    </w:p>
    <w:p w14:paraId="660CEE68" w14:textId="11BCB3BE" w:rsidR="00B50F1D" w:rsidRPr="00B50F1D" w:rsidRDefault="00073A00" w:rsidP="00B50F1D">
      <w:pPr>
        <w:spacing w:after="200" w:line="276" w:lineRule="auto"/>
        <w:rPr>
          <w:rFonts w:eastAsia="Calibri"/>
          <w:sz w:val="24"/>
          <w:szCs w:val="24"/>
        </w:rPr>
      </w:pPr>
      <w:r w:rsidRPr="00073A00">
        <w:rPr>
          <w:noProof/>
        </w:rPr>
        <w:t xml:space="preserve"> </w:t>
      </w:r>
      <w:r>
        <w:rPr>
          <w:noProof/>
        </w:rPr>
        <w:drawing>
          <wp:inline distT="0" distB="0" distL="0" distR="0" wp14:anchorId="3725B8D3" wp14:editId="3D3041E1">
            <wp:extent cx="5050155" cy="371475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0155" cy="3714750"/>
                    </a:xfrm>
                    <a:prstGeom prst="rect">
                      <a:avLst/>
                    </a:prstGeom>
                    <a:noFill/>
                  </pic:spPr>
                </pic:pic>
              </a:graphicData>
            </a:graphic>
          </wp:inline>
        </w:drawing>
      </w:r>
    </w:p>
    <w:p w14:paraId="45F5E977" w14:textId="708ACE92" w:rsidR="00C20D13" w:rsidRDefault="00C20D13">
      <w:pPr>
        <w:rPr>
          <w:rFonts w:eastAsia="Calibri"/>
          <w:sz w:val="24"/>
          <w:szCs w:val="24"/>
        </w:rPr>
      </w:pPr>
      <w:r>
        <w:rPr>
          <w:rFonts w:eastAsia="Calibri"/>
          <w:sz w:val="24"/>
          <w:szCs w:val="24"/>
        </w:rPr>
        <w:br w:type="page"/>
      </w:r>
    </w:p>
    <w:p w14:paraId="63F12419" w14:textId="5C714461" w:rsidR="00B50F1D" w:rsidRPr="00B50F1D" w:rsidRDefault="00B50F1D" w:rsidP="00B50F1D">
      <w:pPr>
        <w:spacing w:after="200" w:line="276" w:lineRule="auto"/>
        <w:jc w:val="center"/>
        <w:rPr>
          <w:rFonts w:eastAsia="Calibri"/>
          <w:sz w:val="24"/>
          <w:szCs w:val="24"/>
        </w:rPr>
      </w:pPr>
      <w:r w:rsidRPr="00B50F1D">
        <w:rPr>
          <w:rFonts w:eastAsia="Calibri"/>
          <w:sz w:val="24"/>
          <w:szCs w:val="24"/>
        </w:rPr>
        <w:lastRenderedPageBreak/>
        <w:t xml:space="preserve">Figure </w:t>
      </w:r>
      <w:r w:rsidR="00C20D13">
        <w:rPr>
          <w:rFonts w:eastAsia="Calibri"/>
          <w:sz w:val="24"/>
          <w:szCs w:val="24"/>
        </w:rPr>
        <w:t>2</w:t>
      </w:r>
    </w:p>
    <w:p w14:paraId="3502B35E"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United States MS2 Model</w:t>
      </w:r>
    </w:p>
    <w:p w14:paraId="43A7E049" w14:textId="77777777" w:rsidR="00B50F1D" w:rsidRPr="00B50F1D" w:rsidRDefault="00B50F1D" w:rsidP="00B50F1D">
      <w:pPr>
        <w:spacing w:after="200" w:line="276" w:lineRule="auto"/>
        <w:ind w:left="360"/>
        <w:jc w:val="center"/>
        <w:rPr>
          <w:rFonts w:eastAsia="Calibri"/>
          <w:i/>
          <w:sz w:val="24"/>
          <w:szCs w:val="24"/>
        </w:rPr>
      </w:pPr>
      <w:r w:rsidRPr="00B50F1D">
        <w:rPr>
          <w:rFonts w:eastAsia="Calibri"/>
          <w:i/>
          <w:sz w:val="24"/>
          <w:szCs w:val="24"/>
        </w:rPr>
        <w:t>(a) Predicted Vacancy Rate</w:t>
      </w:r>
    </w:p>
    <w:p w14:paraId="1A5420C5"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7298C75C" wp14:editId="6A24F620">
            <wp:extent cx="4270248" cy="320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CCS_MS_us_L0_K2_sigS1_switchVarnone_20200910_Predicted.png"/>
                    <pic:cNvPicPr/>
                  </pic:nvPicPr>
                  <pic:blipFill>
                    <a:blip r:embed="rId12">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2879EDA6" w14:textId="77777777" w:rsidR="00B50F1D" w:rsidRPr="00B50F1D" w:rsidRDefault="00B50F1D" w:rsidP="00B50F1D">
      <w:pPr>
        <w:spacing w:after="200" w:line="276" w:lineRule="auto"/>
        <w:ind w:left="360"/>
        <w:jc w:val="center"/>
        <w:rPr>
          <w:rFonts w:eastAsia="Calibri"/>
          <w:i/>
          <w:sz w:val="24"/>
          <w:szCs w:val="24"/>
        </w:rPr>
      </w:pPr>
      <w:r w:rsidRPr="00B50F1D">
        <w:rPr>
          <w:rFonts w:eastAsia="Calibri"/>
          <w:i/>
          <w:sz w:val="24"/>
          <w:szCs w:val="24"/>
        </w:rPr>
        <w:t>(b) Regime Probabilities</w:t>
      </w:r>
    </w:p>
    <w:p w14:paraId="689EC91A"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2703246F" wp14:editId="3E998500">
            <wp:extent cx="4270248" cy="320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CCS_MS_us_L0_K2_sigS1_switchVarnone_20200910_RegimeProbs.png"/>
                    <pic:cNvPicPr/>
                  </pic:nvPicPr>
                  <pic:blipFill>
                    <a:blip r:embed="rId13">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2E95D572" w14:textId="77777777" w:rsidR="00B50F1D" w:rsidRPr="00B50F1D" w:rsidRDefault="00B50F1D" w:rsidP="00B50F1D">
      <w:pPr>
        <w:rPr>
          <w:rFonts w:eastAsia="Calibri"/>
          <w:sz w:val="24"/>
          <w:szCs w:val="24"/>
        </w:rPr>
      </w:pPr>
      <w:r w:rsidRPr="00B50F1D">
        <w:rPr>
          <w:rFonts w:eastAsia="Calibri"/>
          <w:sz w:val="24"/>
          <w:szCs w:val="24"/>
        </w:rPr>
        <w:br w:type="page"/>
      </w:r>
    </w:p>
    <w:p w14:paraId="452A3893" w14:textId="00592DC9" w:rsidR="00B50F1D" w:rsidRPr="00B50F1D" w:rsidRDefault="00B50F1D" w:rsidP="00B50F1D">
      <w:pPr>
        <w:spacing w:after="200" w:line="276" w:lineRule="auto"/>
        <w:jc w:val="center"/>
        <w:rPr>
          <w:rFonts w:eastAsia="Calibri"/>
          <w:sz w:val="24"/>
          <w:szCs w:val="24"/>
        </w:rPr>
      </w:pPr>
      <w:r w:rsidRPr="00B50F1D">
        <w:rPr>
          <w:rFonts w:eastAsia="Calibri"/>
          <w:sz w:val="24"/>
          <w:szCs w:val="24"/>
        </w:rPr>
        <w:lastRenderedPageBreak/>
        <w:t xml:space="preserve">Figure </w:t>
      </w:r>
      <w:r w:rsidR="00C20D13">
        <w:rPr>
          <w:rFonts w:eastAsia="Calibri"/>
          <w:sz w:val="24"/>
          <w:szCs w:val="24"/>
        </w:rPr>
        <w:t>3</w:t>
      </w:r>
    </w:p>
    <w:p w14:paraId="7FC94826"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United States MS3 Model</w:t>
      </w:r>
    </w:p>
    <w:p w14:paraId="67E1D775" w14:textId="77777777" w:rsidR="00B50F1D" w:rsidRPr="00B50F1D" w:rsidRDefault="00B50F1D" w:rsidP="00B50F1D">
      <w:pPr>
        <w:spacing w:after="200" w:line="276" w:lineRule="auto"/>
        <w:ind w:left="360"/>
        <w:jc w:val="center"/>
        <w:rPr>
          <w:rFonts w:eastAsia="Calibri"/>
          <w:i/>
          <w:sz w:val="24"/>
          <w:szCs w:val="24"/>
        </w:rPr>
      </w:pPr>
      <w:r w:rsidRPr="00B50F1D">
        <w:rPr>
          <w:rFonts w:eastAsia="Calibri"/>
          <w:i/>
          <w:sz w:val="24"/>
          <w:szCs w:val="24"/>
        </w:rPr>
        <w:t>(a) Predicted Vacancy Rate</w:t>
      </w:r>
    </w:p>
    <w:p w14:paraId="5E1394DE"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22902034" wp14:editId="0E301E25">
            <wp:extent cx="4270248" cy="3200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CCS_MS_us_L0_K3_sigS1_switchVarnone_20200910_Predicted.png"/>
                    <pic:cNvPicPr/>
                  </pic:nvPicPr>
                  <pic:blipFill>
                    <a:blip r:embed="rId14">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30430209" w14:textId="77777777" w:rsidR="00B50F1D" w:rsidRPr="00B50F1D" w:rsidRDefault="00B50F1D" w:rsidP="00B50F1D">
      <w:pPr>
        <w:spacing w:after="200" w:line="276" w:lineRule="auto"/>
        <w:jc w:val="center"/>
        <w:rPr>
          <w:rFonts w:eastAsia="Calibri"/>
          <w:i/>
          <w:sz w:val="24"/>
          <w:szCs w:val="24"/>
        </w:rPr>
      </w:pPr>
      <w:r w:rsidRPr="00B50F1D">
        <w:rPr>
          <w:rFonts w:eastAsia="Calibri"/>
          <w:i/>
          <w:sz w:val="24"/>
          <w:szCs w:val="24"/>
        </w:rPr>
        <w:t>(b) Regime Probabilities</w:t>
      </w:r>
    </w:p>
    <w:p w14:paraId="15B1D0A4"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67012E35" wp14:editId="33568D02">
            <wp:extent cx="4270248" cy="3200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CCS_MS_us_L0_K3_sigS1_switchVarnone_20200910_RegimeProbs.png"/>
                    <pic:cNvPicPr/>
                  </pic:nvPicPr>
                  <pic:blipFill>
                    <a:blip r:embed="rId15">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619DCDFC" w14:textId="77777777" w:rsidR="00B50F1D" w:rsidRPr="00B50F1D" w:rsidRDefault="00B50F1D" w:rsidP="00B50F1D">
      <w:pPr>
        <w:rPr>
          <w:rFonts w:eastAsia="Calibri"/>
          <w:b/>
          <w:sz w:val="24"/>
          <w:szCs w:val="24"/>
        </w:rPr>
      </w:pPr>
      <w:r w:rsidRPr="00B50F1D">
        <w:rPr>
          <w:rFonts w:eastAsia="Calibri"/>
          <w:b/>
          <w:sz w:val="24"/>
          <w:szCs w:val="24"/>
        </w:rPr>
        <w:br w:type="page"/>
      </w:r>
    </w:p>
    <w:p w14:paraId="7DF43567" w14:textId="783E24C0" w:rsidR="00B50F1D" w:rsidRPr="00B50F1D" w:rsidRDefault="00B50F1D" w:rsidP="00B50F1D">
      <w:pPr>
        <w:spacing w:after="200" w:line="276" w:lineRule="auto"/>
        <w:jc w:val="center"/>
        <w:rPr>
          <w:rFonts w:eastAsia="Calibri"/>
          <w:sz w:val="24"/>
          <w:szCs w:val="24"/>
        </w:rPr>
      </w:pPr>
      <w:r w:rsidRPr="00B50F1D">
        <w:rPr>
          <w:rFonts w:eastAsia="Calibri"/>
          <w:sz w:val="24"/>
          <w:szCs w:val="24"/>
        </w:rPr>
        <w:lastRenderedPageBreak/>
        <w:t xml:space="preserve">Figure </w:t>
      </w:r>
      <w:r w:rsidR="00C20D13">
        <w:rPr>
          <w:rFonts w:eastAsia="Calibri"/>
          <w:sz w:val="24"/>
          <w:szCs w:val="24"/>
        </w:rPr>
        <w:t>4</w:t>
      </w:r>
    </w:p>
    <w:p w14:paraId="1CB1B019"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United States MS2AR Model</w:t>
      </w:r>
    </w:p>
    <w:p w14:paraId="67BD7656" w14:textId="77777777" w:rsidR="00B50F1D" w:rsidRPr="00B50F1D" w:rsidRDefault="00B50F1D" w:rsidP="00B50F1D">
      <w:pPr>
        <w:spacing w:after="200" w:line="276" w:lineRule="auto"/>
        <w:ind w:left="360"/>
        <w:jc w:val="center"/>
        <w:rPr>
          <w:rFonts w:eastAsia="Calibri"/>
          <w:i/>
          <w:sz w:val="24"/>
          <w:szCs w:val="24"/>
        </w:rPr>
      </w:pPr>
      <w:r w:rsidRPr="00B50F1D">
        <w:rPr>
          <w:rFonts w:eastAsia="Calibri"/>
          <w:i/>
          <w:sz w:val="24"/>
          <w:szCs w:val="24"/>
        </w:rPr>
        <w:t>(a) Predicted Vacancy Rate</w:t>
      </w:r>
    </w:p>
    <w:p w14:paraId="6A71B77A"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1A6C52D5" wp14:editId="48B26555">
            <wp:extent cx="4270248" cy="3200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CCS_MS_us_L1_K2_sigS1_switchVarnone_20200914_Predicted.png"/>
                    <pic:cNvPicPr/>
                  </pic:nvPicPr>
                  <pic:blipFill>
                    <a:blip r:embed="rId16">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2798B54A" w14:textId="77777777" w:rsidR="00B50F1D" w:rsidRPr="00B50F1D" w:rsidRDefault="00B50F1D" w:rsidP="00B50F1D">
      <w:pPr>
        <w:spacing w:after="200" w:line="276" w:lineRule="auto"/>
        <w:jc w:val="center"/>
        <w:rPr>
          <w:rFonts w:eastAsia="Calibri"/>
          <w:i/>
          <w:sz w:val="24"/>
          <w:szCs w:val="24"/>
        </w:rPr>
      </w:pPr>
      <w:r w:rsidRPr="00B50F1D">
        <w:rPr>
          <w:rFonts w:eastAsia="Calibri"/>
          <w:i/>
          <w:sz w:val="24"/>
          <w:szCs w:val="24"/>
        </w:rPr>
        <w:t>(b) Regime Probabilities</w:t>
      </w:r>
    </w:p>
    <w:p w14:paraId="286F95ED"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7EE6514E" wp14:editId="64CA1EF6">
            <wp:extent cx="4270248" cy="3200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CCS_MS_us_L1_K2_sigS1_switchVarnone_20200914_RegimeProbs.png"/>
                    <pic:cNvPicPr/>
                  </pic:nvPicPr>
                  <pic:blipFill>
                    <a:blip r:embed="rId17">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5BD767DB" w14:textId="77777777" w:rsidR="00B50F1D" w:rsidRPr="00B50F1D" w:rsidRDefault="00B50F1D" w:rsidP="00B50F1D">
      <w:pPr>
        <w:rPr>
          <w:rFonts w:eastAsia="Calibri"/>
          <w:b/>
          <w:sz w:val="24"/>
          <w:szCs w:val="24"/>
        </w:rPr>
      </w:pPr>
      <w:r w:rsidRPr="00B50F1D">
        <w:rPr>
          <w:rFonts w:eastAsia="Calibri"/>
          <w:b/>
          <w:sz w:val="24"/>
          <w:szCs w:val="24"/>
        </w:rPr>
        <w:br w:type="page"/>
      </w:r>
    </w:p>
    <w:p w14:paraId="71B836B0" w14:textId="0314C474" w:rsidR="00B50F1D" w:rsidRPr="00B50F1D" w:rsidRDefault="00B50F1D" w:rsidP="00B50F1D">
      <w:pPr>
        <w:spacing w:after="200" w:line="276" w:lineRule="auto"/>
        <w:jc w:val="center"/>
        <w:rPr>
          <w:rFonts w:eastAsia="Calibri"/>
          <w:sz w:val="24"/>
          <w:szCs w:val="24"/>
        </w:rPr>
      </w:pPr>
      <w:r w:rsidRPr="00B50F1D">
        <w:rPr>
          <w:rFonts w:eastAsia="Calibri"/>
          <w:sz w:val="24"/>
          <w:szCs w:val="24"/>
        </w:rPr>
        <w:lastRenderedPageBreak/>
        <w:t xml:space="preserve">Figure </w:t>
      </w:r>
      <w:r w:rsidR="00C20D13">
        <w:rPr>
          <w:rFonts w:eastAsia="Calibri"/>
          <w:sz w:val="24"/>
          <w:szCs w:val="24"/>
        </w:rPr>
        <w:t>5</w:t>
      </w:r>
    </w:p>
    <w:p w14:paraId="431700FD"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United States MS3AR Model</w:t>
      </w:r>
    </w:p>
    <w:p w14:paraId="648DB7E9" w14:textId="77777777" w:rsidR="00B50F1D" w:rsidRPr="00B50F1D" w:rsidRDefault="00B50F1D" w:rsidP="00B50F1D">
      <w:pPr>
        <w:spacing w:after="200" w:line="276" w:lineRule="auto"/>
        <w:ind w:left="360"/>
        <w:jc w:val="center"/>
        <w:rPr>
          <w:rFonts w:eastAsia="Calibri"/>
          <w:i/>
          <w:sz w:val="24"/>
          <w:szCs w:val="24"/>
        </w:rPr>
      </w:pPr>
      <w:r w:rsidRPr="00B50F1D">
        <w:rPr>
          <w:rFonts w:eastAsia="Calibri"/>
          <w:i/>
          <w:sz w:val="24"/>
          <w:szCs w:val="24"/>
        </w:rPr>
        <w:t>(a) Predicted Vacancy Rate</w:t>
      </w:r>
    </w:p>
    <w:p w14:paraId="2BD542DB"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3912A680" wp14:editId="1B8A3BE4">
            <wp:extent cx="4270248" cy="3200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CCS_MS_us_L1_K3_sigS1_switchVarnone_20200914_Predicted.png"/>
                    <pic:cNvPicPr/>
                  </pic:nvPicPr>
                  <pic:blipFill>
                    <a:blip r:embed="rId18">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2F72A3E6" w14:textId="77777777" w:rsidR="00B50F1D" w:rsidRPr="00B50F1D" w:rsidRDefault="00B50F1D" w:rsidP="00B50F1D">
      <w:pPr>
        <w:spacing w:after="200" w:line="276" w:lineRule="auto"/>
        <w:jc w:val="center"/>
        <w:rPr>
          <w:rFonts w:eastAsia="Calibri"/>
          <w:i/>
          <w:sz w:val="24"/>
          <w:szCs w:val="24"/>
        </w:rPr>
      </w:pPr>
      <w:r w:rsidRPr="00B50F1D">
        <w:rPr>
          <w:rFonts w:eastAsia="Calibri"/>
          <w:i/>
          <w:sz w:val="24"/>
          <w:szCs w:val="24"/>
        </w:rPr>
        <w:t>(b) Regime Probabilities</w:t>
      </w:r>
    </w:p>
    <w:p w14:paraId="5C068E50"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212866EE" wp14:editId="26018EC8">
            <wp:extent cx="4270248" cy="3200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CCS_MS_us_L1_K3_sigS1_switchVarnone_20200914_RegimeProbs.png"/>
                    <pic:cNvPicPr/>
                  </pic:nvPicPr>
                  <pic:blipFill>
                    <a:blip r:embed="rId19">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028E7227" w14:textId="77777777" w:rsidR="00B50F1D" w:rsidRPr="00B50F1D" w:rsidRDefault="00B50F1D" w:rsidP="00B50F1D">
      <w:pPr>
        <w:rPr>
          <w:rFonts w:eastAsia="Calibri"/>
          <w:b/>
          <w:sz w:val="24"/>
          <w:szCs w:val="24"/>
        </w:rPr>
      </w:pPr>
      <w:r w:rsidRPr="00B50F1D">
        <w:rPr>
          <w:rFonts w:eastAsia="Calibri"/>
          <w:b/>
          <w:sz w:val="24"/>
          <w:szCs w:val="24"/>
        </w:rPr>
        <w:br w:type="page"/>
      </w:r>
    </w:p>
    <w:p w14:paraId="2DBDE28A" w14:textId="4EC14AD1" w:rsidR="00B50F1D" w:rsidRPr="00B50F1D" w:rsidRDefault="00B50F1D" w:rsidP="00B50F1D">
      <w:pPr>
        <w:jc w:val="center"/>
        <w:rPr>
          <w:rFonts w:eastAsia="Calibri"/>
          <w:sz w:val="24"/>
          <w:szCs w:val="24"/>
        </w:rPr>
      </w:pPr>
      <w:r w:rsidRPr="00B50F1D">
        <w:rPr>
          <w:rFonts w:eastAsia="Calibri"/>
          <w:sz w:val="24"/>
          <w:szCs w:val="24"/>
        </w:rPr>
        <w:lastRenderedPageBreak/>
        <w:t xml:space="preserve">Figure </w:t>
      </w:r>
      <w:r w:rsidR="00C20D13">
        <w:rPr>
          <w:rFonts w:eastAsia="Calibri"/>
          <w:sz w:val="24"/>
          <w:szCs w:val="24"/>
        </w:rPr>
        <w:t>6</w:t>
      </w:r>
    </w:p>
    <w:p w14:paraId="68A88D97" w14:textId="77777777" w:rsidR="00B50F1D" w:rsidRPr="00B50F1D" w:rsidRDefault="00B50F1D" w:rsidP="00B50F1D">
      <w:pPr>
        <w:jc w:val="center"/>
        <w:rPr>
          <w:rFonts w:eastAsia="Calibri"/>
          <w:b/>
          <w:sz w:val="24"/>
          <w:szCs w:val="24"/>
        </w:rPr>
      </w:pPr>
      <w:r w:rsidRPr="00B50F1D">
        <w:rPr>
          <w:rFonts w:eastAsia="Calibri"/>
          <w:b/>
          <w:sz w:val="24"/>
          <w:szCs w:val="24"/>
        </w:rPr>
        <w:t>Regional MS3 Models: Regime Probabilities</w:t>
      </w:r>
    </w:p>
    <w:p w14:paraId="254CD94F" w14:textId="77777777" w:rsidR="00B50F1D" w:rsidRPr="00B50F1D" w:rsidRDefault="00B50F1D" w:rsidP="00B50F1D">
      <w:pPr>
        <w:jc w:val="center"/>
        <w:rPr>
          <w:rFonts w:eastAsia="Calibri"/>
          <w:sz w:val="24"/>
          <w:szCs w:val="24"/>
        </w:rPr>
      </w:pPr>
      <w:r w:rsidRPr="00B50F1D">
        <w:rPr>
          <w:rFonts w:eastAsia="Calibri"/>
          <w:noProof/>
          <w:sz w:val="24"/>
          <w:szCs w:val="24"/>
        </w:rPr>
        <w:drawing>
          <wp:inline distT="0" distB="0" distL="0" distR="0" wp14:anchorId="24CF4BBA" wp14:editId="3F98D378">
            <wp:extent cx="5943600" cy="76390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CCS_RegimeProbs_MS3_Regions.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39050"/>
                    </a:xfrm>
                    <a:prstGeom prst="rect">
                      <a:avLst/>
                    </a:prstGeom>
                  </pic:spPr>
                </pic:pic>
              </a:graphicData>
            </a:graphic>
          </wp:inline>
        </w:drawing>
      </w:r>
    </w:p>
    <w:p w14:paraId="1039846B" w14:textId="68600200" w:rsidR="00B50F1D" w:rsidRPr="00B50F1D" w:rsidRDefault="00B50F1D" w:rsidP="00B50F1D">
      <w:pPr>
        <w:spacing w:after="200" w:line="276" w:lineRule="auto"/>
        <w:jc w:val="center"/>
        <w:rPr>
          <w:rFonts w:eastAsia="Calibri"/>
          <w:sz w:val="24"/>
          <w:szCs w:val="24"/>
        </w:rPr>
      </w:pPr>
      <w:r w:rsidRPr="00B50F1D">
        <w:rPr>
          <w:rFonts w:eastAsia="Calibri"/>
          <w:sz w:val="24"/>
          <w:szCs w:val="24"/>
        </w:rPr>
        <w:lastRenderedPageBreak/>
        <w:t xml:space="preserve">Figure </w:t>
      </w:r>
      <w:r w:rsidR="00C20D13">
        <w:rPr>
          <w:rFonts w:eastAsia="Calibri"/>
          <w:sz w:val="24"/>
          <w:szCs w:val="24"/>
        </w:rPr>
        <w:t>7</w:t>
      </w:r>
    </w:p>
    <w:p w14:paraId="0999B2C0"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South MS-VAR Model</w:t>
      </w:r>
    </w:p>
    <w:p w14:paraId="686B13DD" w14:textId="77777777" w:rsidR="00B50F1D" w:rsidRPr="00B50F1D" w:rsidRDefault="00B50F1D" w:rsidP="00B50F1D">
      <w:pPr>
        <w:spacing w:after="200" w:line="276" w:lineRule="auto"/>
        <w:ind w:left="360"/>
        <w:jc w:val="center"/>
        <w:rPr>
          <w:rFonts w:eastAsia="Calibri"/>
          <w:i/>
          <w:sz w:val="24"/>
          <w:szCs w:val="24"/>
        </w:rPr>
      </w:pPr>
      <w:r w:rsidRPr="00B50F1D">
        <w:rPr>
          <w:rFonts w:eastAsia="Calibri"/>
          <w:i/>
          <w:sz w:val="24"/>
          <w:szCs w:val="24"/>
        </w:rPr>
        <w:t>(a) Predicted Vacancy Rate</w:t>
      </w:r>
    </w:p>
    <w:p w14:paraId="6EE5F440"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64F58592" wp14:editId="3A123038">
            <wp:extent cx="4270248" cy="3200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CCS_MSVAR_south_L1_K2_Predicted.png"/>
                    <pic:cNvPicPr/>
                  </pic:nvPicPr>
                  <pic:blipFill>
                    <a:blip r:embed="rId21">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06D83BD5" w14:textId="77777777" w:rsidR="00B50F1D" w:rsidRPr="00B50F1D" w:rsidRDefault="00B50F1D" w:rsidP="00B50F1D">
      <w:pPr>
        <w:spacing w:after="200" w:line="276" w:lineRule="auto"/>
        <w:jc w:val="center"/>
        <w:rPr>
          <w:rFonts w:eastAsia="Calibri"/>
          <w:i/>
          <w:sz w:val="24"/>
          <w:szCs w:val="24"/>
        </w:rPr>
      </w:pPr>
      <w:r w:rsidRPr="00B50F1D">
        <w:rPr>
          <w:rFonts w:eastAsia="Calibri"/>
          <w:i/>
          <w:sz w:val="24"/>
          <w:szCs w:val="24"/>
        </w:rPr>
        <w:t>(b) Regime Probabilities</w:t>
      </w:r>
    </w:p>
    <w:p w14:paraId="307C022B"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66D0A9AF" wp14:editId="6E0A9A81">
            <wp:extent cx="4270248" cy="3200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CCS_MSVAR_south_L1_K2_RegimeProbs.png"/>
                    <pic:cNvPicPr/>
                  </pic:nvPicPr>
                  <pic:blipFill>
                    <a:blip r:embed="rId22">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206BF068" w14:textId="77777777" w:rsidR="00B50F1D" w:rsidRPr="00B50F1D" w:rsidRDefault="00B50F1D" w:rsidP="00B50F1D">
      <w:pPr>
        <w:rPr>
          <w:rFonts w:eastAsia="Calibri"/>
          <w:b/>
          <w:sz w:val="24"/>
          <w:szCs w:val="24"/>
        </w:rPr>
      </w:pPr>
      <w:r w:rsidRPr="00B50F1D">
        <w:rPr>
          <w:rFonts w:eastAsia="Calibri"/>
          <w:b/>
          <w:sz w:val="24"/>
          <w:szCs w:val="24"/>
        </w:rPr>
        <w:br w:type="page"/>
      </w:r>
    </w:p>
    <w:p w14:paraId="67F295E1" w14:textId="4639B52F" w:rsidR="00B50F1D" w:rsidRPr="00B50F1D" w:rsidRDefault="00B50F1D" w:rsidP="00B50F1D">
      <w:pPr>
        <w:spacing w:after="200" w:line="276" w:lineRule="auto"/>
        <w:jc w:val="center"/>
        <w:rPr>
          <w:rFonts w:eastAsia="Calibri"/>
          <w:sz w:val="24"/>
          <w:szCs w:val="24"/>
        </w:rPr>
      </w:pPr>
      <w:r w:rsidRPr="00B50F1D">
        <w:rPr>
          <w:rFonts w:eastAsia="Calibri"/>
          <w:sz w:val="24"/>
          <w:szCs w:val="24"/>
        </w:rPr>
        <w:lastRenderedPageBreak/>
        <w:t xml:space="preserve">Figure </w:t>
      </w:r>
      <w:r w:rsidR="00C20D13">
        <w:rPr>
          <w:rFonts w:eastAsia="Calibri"/>
          <w:sz w:val="24"/>
          <w:szCs w:val="24"/>
        </w:rPr>
        <w:t>8</w:t>
      </w:r>
    </w:p>
    <w:p w14:paraId="606CB93F"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Northeast MS-VAR Model</w:t>
      </w:r>
    </w:p>
    <w:p w14:paraId="460B7DED" w14:textId="77777777" w:rsidR="00B50F1D" w:rsidRPr="00B50F1D" w:rsidRDefault="00B50F1D" w:rsidP="00B50F1D">
      <w:pPr>
        <w:spacing w:after="200" w:line="276" w:lineRule="auto"/>
        <w:ind w:left="360"/>
        <w:jc w:val="center"/>
        <w:rPr>
          <w:rFonts w:eastAsia="Calibri"/>
          <w:i/>
          <w:sz w:val="24"/>
          <w:szCs w:val="24"/>
        </w:rPr>
      </w:pPr>
      <w:r w:rsidRPr="00B50F1D">
        <w:rPr>
          <w:rFonts w:eastAsia="Calibri"/>
          <w:i/>
          <w:sz w:val="24"/>
          <w:szCs w:val="24"/>
        </w:rPr>
        <w:t>(a) Predicted Vacancy Rate</w:t>
      </w:r>
    </w:p>
    <w:p w14:paraId="41EAD759"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27D63157" wp14:editId="5F2F8E6D">
            <wp:extent cx="4270248" cy="3200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CCS_MSVAR_northeast_L1_K2_Predicted.png"/>
                    <pic:cNvPicPr/>
                  </pic:nvPicPr>
                  <pic:blipFill>
                    <a:blip r:embed="rId23">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69543A89" w14:textId="77777777" w:rsidR="00B50F1D" w:rsidRPr="00B50F1D" w:rsidRDefault="00B50F1D" w:rsidP="00B50F1D">
      <w:pPr>
        <w:spacing w:after="200" w:line="276" w:lineRule="auto"/>
        <w:jc w:val="center"/>
        <w:rPr>
          <w:rFonts w:eastAsia="Calibri"/>
          <w:i/>
          <w:sz w:val="24"/>
          <w:szCs w:val="24"/>
        </w:rPr>
      </w:pPr>
      <w:r w:rsidRPr="00B50F1D">
        <w:rPr>
          <w:rFonts w:eastAsia="Calibri"/>
          <w:i/>
          <w:sz w:val="24"/>
          <w:szCs w:val="24"/>
        </w:rPr>
        <w:t>(b) Regime Probabilities</w:t>
      </w:r>
    </w:p>
    <w:p w14:paraId="5F56855D"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3E77D1CD" wp14:editId="15B87606">
            <wp:extent cx="4270248" cy="3200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CCS_MSVAR_northeast_L1_K2_RegimeProbs.png"/>
                    <pic:cNvPicPr/>
                  </pic:nvPicPr>
                  <pic:blipFill>
                    <a:blip r:embed="rId24">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15473AB2" w14:textId="77777777" w:rsidR="00B50F1D" w:rsidRPr="00B50F1D" w:rsidRDefault="00B50F1D" w:rsidP="00B50F1D">
      <w:pPr>
        <w:rPr>
          <w:rFonts w:eastAsia="Calibri"/>
          <w:b/>
          <w:sz w:val="24"/>
          <w:szCs w:val="24"/>
        </w:rPr>
      </w:pPr>
      <w:r w:rsidRPr="00B50F1D">
        <w:rPr>
          <w:rFonts w:eastAsia="Calibri"/>
          <w:b/>
          <w:sz w:val="24"/>
          <w:szCs w:val="24"/>
        </w:rPr>
        <w:br w:type="page"/>
      </w:r>
    </w:p>
    <w:p w14:paraId="68A38671" w14:textId="2EE8973B" w:rsidR="00B50F1D" w:rsidRPr="00B50F1D" w:rsidRDefault="00B50F1D" w:rsidP="00B50F1D">
      <w:pPr>
        <w:spacing w:after="200" w:line="276" w:lineRule="auto"/>
        <w:jc w:val="center"/>
        <w:rPr>
          <w:rFonts w:eastAsia="Calibri"/>
          <w:sz w:val="24"/>
          <w:szCs w:val="24"/>
        </w:rPr>
      </w:pPr>
      <w:r w:rsidRPr="00B50F1D">
        <w:rPr>
          <w:rFonts w:eastAsia="Calibri"/>
          <w:sz w:val="24"/>
          <w:szCs w:val="24"/>
        </w:rPr>
        <w:lastRenderedPageBreak/>
        <w:t xml:space="preserve">Figure </w:t>
      </w:r>
      <w:r w:rsidR="00C20D13">
        <w:rPr>
          <w:rFonts w:eastAsia="Calibri"/>
          <w:sz w:val="24"/>
          <w:szCs w:val="24"/>
        </w:rPr>
        <w:t>9</w:t>
      </w:r>
    </w:p>
    <w:p w14:paraId="64699DB3"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Midwest MS-VAR Model</w:t>
      </w:r>
    </w:p>
    <w:p w14:paraId="42D3D782" w14:textId="77777777" w:rsidR="00B50F1D" w:rsidRPr="00B50F1D" w:rsidRDefault="00B50F1D" w:rsidP="00B50F1D">
      <w:pPr>
        <w:spacing w:after="200" w:line="276" w:lineRule="auto"/>
        <w:ind w:left="360"/>
        <w:jc w:val="center"/>
        <w:rPr>
          <w:rFonts w:eastAsia="Calibri"/>
          <w:i/>
          <w:sz w:val="24"/>
          <w:szCs w:val="24"/>
        </w:rPr>
      </w:pPr>
      <w:r w:rsidRPr="00B50F1D">
        <w:rPr>
          <w:rFonts w:eastAsia="Calibri"/>
          <w:i/>
          <w:sz w:val="24"/>
          <w:szCs w:val="24"/>
        </w:rPr>
        <w:t>(a) Predicted Vacancy Rate</w:t>
      </w:r>
    </w:p>
    <w:p w14:paraId="53FF7D41"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609481C5" wp14:editId="3C43483F">
            <wp:extent cx="4270248" cy="32004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CCS_MSVAR_midwest_L1_K2_Predicted.png"/>
                    <pic:cNvPicPr/>
                  </pic:nvPicPr>
                  <pic:blipFill>
                    <a:blip r:embed="rId25">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0B74F717" w14:textId="77777777" w:rsidR="00B50F1D" w:rsidRPr="00B50F1D" w:rsidRDefault="00B50F1D" w:rsidP="00B50F1D">
      <w:pPr>
        <w:spacing w:after="200" w:line="276" w:lineRule="auto"/>
        <w:jc w:val="center"/>
        <w:rPr>
          <w:rFonts w:eastAsia="Calibri"/>
          <w:i/>
          <w:sz w:val="24"/>
          <w:szCs w:val="24"/>
        </w:rPr>
      </w:pPr>
      <w:r w:rsidRPr="00B50F1D">
        <w:rPr>
          <w:rFonts w:eastAsia="Calibri"/>
          <w:i/>
          <w:sz w:val="24"/>
          <w:szCs w:val="24"/>
        </w:rPr>
        <w:t>(b) Regime Probabilities</w:t>
      </w:r>
    </w:p>
    <w:p w14:paraId="2137E3FB"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7C375F04" wp14:editId="73451D41">
            <wp:extent cx="4270248" cy="3200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CCS_MSVAR_midwest_L1_K2_RegimeProbs.png"/>
                    <pic:cNvPicPr/>
                  </pic:nvPicPr>
                  <pic:blipFill>
                    <a:blip r:embed="rId26">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7831D79E" w14:textId="77777777" w:rsidR="00B50F1D" w:rsidRPr="00B50F1D" w:rsidRDefault="00B50F1D" w:rsidP="00B50F1D">
      <w:pPr>
        <w:rPr>
          <w:rFonts w:eastAsia="Calibri"/>
          <w:b/>
          <w:sz w:val="24"/>
          <w:szCs w:val="24"/>
        </w:rPr>
      </w:pPr>
      <w:r w:rsidRPr="00B50F1D">
        <w:rPr>
          <w:rFonts w:eastAsia="Calibri"/>
          <w:b/>
          <w:sz w:val="24"/>
          <w:szCs w:val="24"/>
        </w:rPr>
        <w:br w:type="page"/>
      </w:r>
    </w:p>
    <w:p w14:paraId="2B29B486" w14:textId="2BFE6D07" w:rsidR="00B50F1D" w:rsidRPr="00B50F1D" w:rsidRDefault="00B50F1D" w:rsidP="00B50F1D">
      <w:pPr>
        <w:spacing w:after="200" w:line="276" w:lineRule="auto"/>
        <w:jc w:val="center"/>
        <w:rPr>
          <w:rFonts w:eastAsia="Calibri"/>
          <w:sz w:val="24"/>
          <w:szCs w:val="24"/>
        </w:rPr>
      </w:pPr>
      <w:r w:rsidRPr="00B50F1D">
        <w:rPr>
          <w:rFonts w:eastAsia="Calibri"/>
          <w:sz w:val="24"/>
          <w:szCs w:val="24"/>
        </w:rPr>
        <w:lastRenderedPageBreak/>
        <w:t xml:space="preserve">Figure </w:t>
      </w:r>
      <w:r w:rsidR="00C20D13">
        <w:rPr>
          <w:rFonts w:eastAsia="Calibri"/>
          <w:sz w:val="24"/>
          <w:szCs w:val="24"/>
        </w:rPr>
        <w:t>10</w:t>
      </w:r>
    </w:p>
    <w:p w14:paraId="79FF3059"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West MS-VAR Model</w:t>
      </w:r>
    </w:p>
    <w:p w14:paraId="4DEEC4F6" w14:textId="77777777" w:rsidR="00B50F1D" w:rsidRPr="00B50F1D" w:rsidRDefault="00B50F1D" w:rsidP="00B50F1D">
      <w:pPr>
        <w:spacing w:after="200" w:line="276" w:lineRule="auto"/>
        <w:ind w:left="360"/>
        <w:jc w:val="center"/>
        <w:rPr>
          <w:rFonts w:eastAsia="Calibri"/>
          <w:i/>
          <w:sz w:val="24"/>
          <w:szCs w:val="24"/>
        </w:rPr>
      </w:pPr>
      <w:r w:rsidRPr="00B50F1D">
        <w:rPr>
          <w:rFonts w:eastAsia="Calibri"/>
          <w:i/>
          <w:sz w:val="24"/>
          <w:szCs w:val="24"/>
        </w:rPr>
        <w:t>(a) Predicted Vacancy Rate</w:t>
      </w:r>
    </w:p>
    <w:p w14:paraId="5C06EA4E"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3D8029BE" wp14:editId="78CE43D9">
            <wp:extent cx="4270248" cy="3200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CCS_MSVAR_west_L1_K2_Predicted.png"/>
                    <pic:cNvPicPr/>
                  </pic:nvPicPr>
                  <pic:blipFill>
                    <a:blip r:embed="rId27">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1057A37B" w14:textId="77777777" w:rsidR="00B50F1D" w:rsidRPr="00B50F1D" w:rsidRDefault="00B50F1D" w:rsidP="00B50F1D">
      <w:pPr>
        <w:spacing w:after="200" w:line="276" w:lineRule="auto"/>
        <w:jc w:val="center"/>
        <w:rPr>
          <w:rFonts w:eastAsia="Calibri"/>
          <w:i/>
          <w:sz w:val="24"/>
          <w:szCs w:val="24"/>
        </w:rPr>
      </w:pPr>
      <w:r w:rsidRPr="00B50F1D">
        <w:rPr>
          <w:rFonts w:eastAsia="Calibri"/>
          <w:i/>
          <w:sz w:val="24"/>
          <w:szCs w:val="24"/>
        </w:rPr>
        <w:t>(b) Regime Probabilities</w:t>
      </w:r>
    </w:p>
    <w:p w14:paraId="0D2763CD"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1C0DD644" wp14:editId="59E1C10C">
            <wp:extent cx="4270248" cy="3200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CCS_MSVAR_west_L1_K2_RegimeProbs.png"/>
                    <pic:cNvPicPr/>
                  </pic:nvPicPr>
                  <pic:blipFill>
                    <a:blip r:embed="rId28">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3B2C7934" w14:textId="5AA98107" w:rsidR="00B50F1D" w:rsidRPr="00B50F1D" w:rsidRDefault="00B50F1D" w:rsidP="00B50F1D">
      <w:pPr>
        <w:spacing w:after="200" w:line="276" w:lineRule="auto"/>
        <w:jc w:val="center"/>
        <w:rPr>
          <w:rFonts w:eastAsia="Calibri"/>
          <w:sz w:val="24"/>
          <w:szCs w:val="24"/>
        </w:rPr>
      </w:pPr>
      <w:r w:rsidRPr="00B50F1D">
        <w:rPr>
          <w:rFonts w:eastAsia="Calibri"/>
          <w:b/>
          <w:sz w:val="24"/>
          <w:szCs w:val="24"/>
        </w:rPr>
        <w:br w:type="page"/>
      </w:r>
      <w:r w:rsidRPr="00B50F1D">
        <w:rPr>
          <w:rFonts w:eastAsia="Calibri"/>
          <w:sz w:val="24"/>
          <w:szCs w:val="24"/>
        </w:rPr>
        <w:lastRenderedPageBreak/>
        <w:t>Figure 1</w:t>
      </w:r>
      <w:r w:rsidR="00C20D13">
        <w:rPr>
          <w:rFonts w:eastAsia="Calibri"/>
          <w:sz w:val="24"/>
          <w:szCs w:val="24"/>
        </w:rPr>
        <w:t>1</w:t>
      </w:r>
    </w:p>
    <w:p w14:paraId="34328F8A" w14:textId="77777777" w:rsidR="00B50F1D" w:rsidRPr="00B50F1D" w:rsidRDefault="00B50F1D" w:rsidP="00B50F1D">
      <w:pPr>
        <w:spacing w:after="200" w:line="276" w:lineRule="auto"/>
        <w:jc w:val="center"/>
        <w:rPr>
          <w:rFonts w:eastAsia="Calibri"/>
          <w:sz w:val="24"/>
          <w:szCs w:val="24"/>
        </w:rPr>
      </w:pPr>
      <w:r w:rsidRPr="00B50F1D">
        <w:rPr>
          <w:rFonts w:eastAsia="Calibri"/>
          <w:b/>
          <w:sz w:val="24"/>
          <w:szCs w:val="24"/>
        </w:rPr>
        <w:t>MS-VAR Generalized Impulse Response Functions</w:t>
      </w:r>
    </w:p>
    <w:p w14:paraId="12B97E32"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44B7DB1A" wp14:editId="5C5D43F1">
            <wp:extent cx="4800600" cy="640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CS_MSVAR__uGIRF_ALL.png"/>
                    <pic:cNvPicPr/>
                  </pic:nvPicPr>
                  <pic:blipFill>
                    <a:blip r:embed="rId29">
                      <a:extLst>
                        <a:ext uri="{28A0092B-C50C-407E-A947-70E740481C1C}">
                          <a14:useLocalDpi xmlns:a14="http://schemas.microsoft.com/office/drawing/2010/main" val="0"/>
                        </a:ext>
                      </a:extLst>
                    </a:blip>
                    <a:stretch>
                      <a:fillRect/>
                    </a:stretch>
                  </pic:blipFill>
                  <pic:spPr>
                    <a:xfrm>
                      <a:off x="0" y="0"/>
                      <a:ext cx="4800600" cy="6400800"/>
                    </a:xfrm>
                    <a:prstGeom prst="rect">
                      <a:avLst/>
                    </a:prstGeom>
                  </pic:spPr>
                </pic:pic>
              </a:graphicData>
            </a:graphic>
          </wp:inline>
        </w:drawing>
      </w:r>
    </w:p>
    <w:p w14:paraId="712B0E91" w14:textId="77777777" w:rsidR="00B50F1D" w:rsidRPr="00B50F1D" w:rsidRDefault="00B50F1D" w:rsidP="00B50F1D">
      <w:pPr>
        <w:rPr>
          <w:rFonts w:eastAsia="Calibri"/>
          <w:sz w:val="40"/>
          <w:szCs w:val="24"/>
        </w:rPr>
      </w:pPr>
      <w:r w:rsidRPr="00B50F1D">
        <w:rPr>
          <w:rFonts w:eastAsia="Calibri"/>
          <w:szCs w:val="24"/>
        </w:rPr>
        <w:t xml:space="preserve">Note: The figure displays the effects of a one standard deviation shock to </w:t>
      </w:r>
      <m:oMath>
        <m:sSub>
          <m:sSubPr>
            <m:ctrlPr>
              <w:rPr>
                <w:rFonts w:ascii="Cambria Math" w:eastAsia="Calibri" w:hAnsi="Cambria Math"/>
                <w:i/>
                <w:szCs w:val="24"/>
              </w:rPr>
            </m:ctrlPr>
          </m:sSubPr>
          <m:e>
            <m:r>
              <w:rPr>
                <w:rFonts w:ascii="Cambria Math" w:eastAsia="Calibri" w:hAnsi="Cambria Math"/>
                <w:szCs w:val="24"/>
              </w:rPr>
              <m:t>HS</m:t>
            </m:r>
          </m:e>
          <m:sub>
            <m:r>
              <w:rPr>
                <w:rFonts w:ascii="Cambria Math" w:eastAsia="Calibri" w:hAnsi="Cambria Math"/>
                <w:szCs w:val="24"/>
              </w:rPr>
              <m:t>j</m:t>
            </m:r>
          </m:sub>
        </m:sSub>
      </m:oMath>
      <w:r w:rsidRPr="00B50F1D">
        <w:rPr>
          <w:rFonts w:eastAsia="Calibri"/>
          <w:szCs w:val="24"/>
        </w:rPr>
        <w:t xml:space="preserve"> and </w:t>
      </w:r>
      <m:oMath>
        <m:sSub>
          <m:sSubPr>
            <m:ctrlPr>
              <w:rPr>
                <w:rFonts w:ascii="Cambria Math" w:eastAsia="Calibri" w:hAnsi="Cambria Math"/>
                <w:i/>
                <w:szCs w:val="24"/>
              </w:rPr>
            </m:ctrlPr>
          </m:sSubPr>
          <m:e>
            <m:r>
              <w:rPr>
                <w:rFonts w:ascii="Cambria Math" w:eastAsia="Calibri" w:hAnsi="Cambria Math"/>
                <w:szCs w:val="24"/>
              </w:rPr>
              <m:t>HM</m:t>
            </m:r>
          </m:e>
          <m:sub>
            <m:r>
              <w:rPr>
                <w:rFonts w:ascii="Cambria Math" w:eastAsia="Calibri" w:hAnsi="Cambria Math"/>
                <w:szCs w:val="24"/>
              </w:rPr>
              <m:t>j</m:t>
            </m:r>
          </m:sub>
        </m:sSub>
      </m:oMath>
      <w:r w:rsidRPr="00B50F1D">
        <w:rPr>
          <w:rFonts w:eastAsia="Calibri"/>
          <w:szCs w:val="24"/>
        </w:rPr>
        <w:t xml:space="preserve"> on each region’s vacancy rate, </w:t>
      </w:r>
      <m:oMath>
        <m:sSub>
          <m:sSubPr>
            <m:ctrlPr>
              <w:rPr>
                <w:rFonts w:ascii="Cambria Math" w:eastAsia="Calibri" w:hAnsi="Cambria Math"/>
                <w:i/>
                <w:szCs w:val="24"/>
              </w:rPr>
            </m:ctrlPr>
          </m:sSubPr>
          <m:e>
            <m:r>
              <w:rPr>
                <w:rFonts w:ascii="Cambria Math" w:eastAsia="Calibri" w:hAnsi="Cambria Math"/>
                <w:szCs w:val="24"/>
              </w:rPr>
              <m:t>V</m:t>
            </m:r>
          </m:e>
          <m:sub>
            <m:r>
              <w:rPr>
                <w:rFonts w:ascii="Cambria Math" w:eastAsia="Calibri" w:hAnsi="Cambria Math"/>
                <w:szCs w:val="24"/>
              </w:rPr>
              <m:t>i</m:t>
            </m:r>
          </m:sub>
        </m:sSub>
      </m:oMath>
      <w:r w:rsidRPr="00B50F1D">
        <w:rPr>
          <w:rFonts w:eastAsia="Calibri"/>
          <w:szCs w:val="24"/>
        </w:rPr>
        <w:t xml:space="preserve">. </w:t>
      </w:r>
      <m:oMath>
        <m:sSub>
          <m:sSubPr>
            <m:ctrlPr>
              <w:rPr>
                <w:rFonts w:ascii="Cambria Math" w:eastAsia="Calibri" w:hAnsi="Cambria Math"/>
                <w:i/>
                <w:szCs w:val="24"/>
              </w:rPr>
            </m:ctrlPr>
          </m:sSubPr>
          <m:e>
            <m:r>
              <w:rPr>
                <w:rFonts w:ascii="Cambria Math" w:eastAsia="Calibri" w:hAnsi="Cambria Math"/>
                <w:szCs w:val="24"/>
              </w:rPr>
              <m:t>HS</m:t>
            </m:r>
          </m:e>
          <m:sub>
            <m:r>
              <w:rPr>
                <w:rFonts w:ascii="Cambria Math" w:eastAsia="Calibri" w:hAnsi="Cambria Math"/>
                <w:szCs w:val="24"/>
              </w:rPr>
              <m:t>j</m:t>
            </m:r>
          </m:sub>
        </m:sSub>
      </m:oMath>
      <w:r w:rsidRPr="00B50F1D">
        <w:rPr>
          <w:rFonts w:eastAsia="Calibri"/>
          <w:szCs w:val="24"/>
        </w:rPr>
        <w:t xml:space="preserve"> in this setting represents those living in the region </w:t>
      </w:r>
      <m:oMath>
        <m:r>
          <w:rPr>
            <w:rFonts w:ascii="Cambria Math" w:eastAsia="Calibri" w:hAnsi="Cambria Math"/>
            <w:szCs w:val="24"/>
          </w:rPr>
          <m:t>i</m:t>
        </m:r>
      </m:oMath>
      <w:r w:rsidRPr="00B50F1D">
        <w:rPr>
          <w:rFonts w:eastAsia="Calibri"/>
          <w:szCs w:val="24"/>
        </w:rPr>
        <w:t xml:space="preserve"> wishing to migrate outside of region </w:t>
      </w:r>
      <m:oMath>
        <m:r>
          <w:rPr>
            <w:rFonts w:ascii="Cambria Math" w:eastAsia="Calibri" w:hAnsi="Cambria Math"/>
            <w:szCs w:val="24"/>
          </w:rPr>
          <m:t>i</m:t>
        </m:r>
      </m:oMath>
      <w:r w:rsidRPr="00B50F1D">
        <w:rPr>
          <w:rFonts w:eastAsia="Calibri"/>
          <w:szCs w:val="24"/>
        </w:rPr>
        <w:t xml:space="preserve">, while </w:t>
      </w:r>
      <m:oMath>
        <m:sSub>
          <m:sSubPr>
            <m:ctrlPr>
              <w:rPr>
                <w:rFonts w:ascii="Cambria Math" w:eastAsia="Calibri" w:hAnsi="Cambria Math"/>
                <w:i/>
                <w:szCs w:val="24"/>
              </w:rPr>
            </m:ctrlPr>
          </m:sSubPr>
          <m:e>
            <m:r>
              <w:rPr>
                <w:rFonts w:ascii="Cambria Math" w:eastAsia="Calibri" w:hAnsi="Cambria Math"/>
                <w:szCs w:val="24"/>
              </w:rPr>
              <m:t>HM</m:t>
            </m:r>
          </m:e>
          <m:sub>
            <m:r>
              <w:rPr>
                <w:rFonts w:ascii="Cambria Math" w:eastAsia="Calibri" w:hAnsi="Cambria Math"/>
                <w:szCs w:val="24"/>
              </w:rPr>
              <m:t>j</m:t>
            </m:r>
          </m:sub>
        </m:sSub>
      </m:oMath>
      <w:r w:rsidRPr="00B50F1D">
        <w:rPr>
          <w:rFonts w:eastAsia="Calibri"/>
          <w:szCs w:val="24"/>
        </w:rPr>
        <w:t xml:space="preserve"> represen</w:t>
      </w:r>
      <w:proofErr w:type="spellStart"/>
      <w:r w:rsidRPr="00B50F1D">
        <w:rPr>
          <w:rFonts w:eastAsia="Calibri"/>
          <w:szCs w:val="24"/>
        </w:rPr>
        <w:t>ts</w:t>
      </w:r>
      <w:proofErr w:type="spellEnd"/>
      <w:r w:rsidRPr="00B50F1D">
        <w:rPr>
          <w:rFonts w:eastAsia="Calibri"/>
          <w:szCs w:val="24"/>
        </w:rPr>
        <w:t xml:space="preserve"> those happily living outside of region </w:t>
      </w:r>
      <m:oMath>
        <m:r>
          <w:rPr>
            <w:rFonts w:ascii="Cambria Math" w:eastAsia="Calibri" w:hAnsi="Cambria Math"/>
            <w:szCs w:val="24"/>
          </w:rPr>
          <m:t>i</m:t>
        </m:r>
      </m:oMath>
      <w:r w:rsidRPr="00B50F1D">
        <w:rPr>
          <w:rFonts w:eastAsia="Calibri"/>
          <w:szCs w:val="24"/>
        </w:rPr>
        <w:t xml:space="preserve">. The median change in the vacancy rate is plotted in each of these figures from </w:t>
      </w:r>
      <m:oMath>
        <m:r>
          <w:rPr>
            <w:rFonts w:ascii="Cambria Math" w:eastAsia="Calibri" w:hAnsi="Cambria Math"/>
            <w:szCs w:val="24"/>
          </w:rPr>
          <m:t>t=0</m:t>
        </m:r>
      </m:oMath>
      <w:r w:rsidRPr="00B50F1D">
        <w:rPr>
          <w:rFonts w:eastAsia="Calibri"/>
          <w:szCs w:val="24"/>
        </w:rPr>
        <w:t xml:space="preserve"> to </w:t>
      </w:r>
      <m:oMath>
        <m:r>
          <w:rPr>
            <w:rFonts w:ascii="Cambria Math" w:eastAsia="Calibri" w:hAnsi="Cambria Math"/>
            <w:szCs w:val="24"/>
          </w:rPr>
          <m:t>t=40</m:t>
        </m:r>
      </m:oMath>
      <w:r w:rsidRPr="00B50F1D">
        <w:rPr>
          <w:rFonts w:eastAsia="Calibri"/>
          <w:szCs w:val="24"/>
        </w:rPr>
        <w:t xml:space="preserve"> along with dashed lines indicating the 68% highest posterior density interval.</w:t>
      </w:r>
    </w:p>
    <w:p w14:paraId="1BDAB8AE" w14:textId="33C7E16E" w:rsidR="00B50F1D" w:rsidRPr="00B50F1D" w:rsidRDefault="00B50F1D" w:rsidP="00B50F1D">
      <w:pPr>
        <w:spacing w:after="200" w:line="276" w:lineRule="auto"/>
        <w:jc w:val="center"/>
        <w:rPr>
          <w:rFonts w:eastAsia="Calibri"/>
          <w:sz w:val="24"/>
          <w:szCs w:val="24"/>
        </w:rPr>
      </w:pPr>
      <w:r w:rsidRPr="00B50F1D">
        <w:rPr>
          <w:rFonts w:eastAsia="Calibri"/>
          <w:sz w:val="24"/>
          <w:szCs w:val="24"/>
        </w:rPr>
        <w:lastRenderedPageBreak/>
        <w:t>Figure 1</w:t>
      </w:r>
      <w:r w:rsidR="00C20D13">
        <w:rPr>
          <w:rFonts w:eastAsia="Calibri"/>
          <w:sz w:val="24"/>
          <w:szCs w:val="24"/>
        </w:rPr>
        <w:t>2</w:t>
      </w:r>
    </w:p>
    <w:p w14:paraId="30EBA32F"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MS-VAR State-Dependent Generalized Impulse Response Functions</w:t>
      </w:r>
    </w:p>
    <w:p w14:paraId="5AE00FD9"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01046A0B" wp14:editId="2164D448">
            <wp:extent cx="4800600" cy="640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CS_MSVAR__sdGIRF_ALL.png"/>
                    <pic:cNvPicPr/>
                  </pic:nvPicPr>
                  <pic:blipFill>
                    <a:blip r:embed="rId30">
                      <a:extLst>
                        <a:ext uri="{28A0092B-C50C-407E-A947-70E740481C1C}">
                          <a14:useLocalDpi xmlns:a14="http://schemas.microsoft.com/office/drawing/2010/main" val="0"/>
                        </a:ext>
                      </a:extLst>
                    </a:blip>
                    <a:stretch>
                      <a:fillRect/>
                    </a:stretch>
                  </pic:blipFill>
                  <pic:spPr>
                    <a:xfrm>
                      <a:off x="0" y="0"/>
                      <a:ext cx="4800600" cy="6400800"/>
                    </a:xfrm>
                    <a:prstGeom prst="rect">
                      <a:avLst/>
                    </a:prstGeom>
                  </pic:spPr>
                </pic:pic>
              </a:graphicData>
            </a:graphic>
          </wp:inline>
        </w:drawing>
      </w:r>
    </w:p>
    <w:p w14:paraId="60CCE680" w14:textId="77777777" w:rsidR="00B50F1D" w:rsidRPr="00B50F1D" w:rsidRDefault="00B50F1D" w:rsidP="00B50F1D">
      <w:pPr>
        <w:rPr>
          <w:rFonts w:eastAsia="Calibri"/>
          <w:sz w:val="24"/>
          <w:szCs w:val="24"/>
        </w:rPr>
      </w:pPr>
      <w:r w:rsidRPr="00B50F1D">
        <w:rPr>
          <w:rFonts w:eastAsia="Calibri"/>
          <w:szCs w:val="24"/>
        </w:rPr>
        <w:t xml:space="preserve">Note: The figure displays the effects of a one standard deviation shock to </w:t>
      </w:r>
      <m:oMath>
        <m:sSub>
          <m:sSubPr>
            <m:ctrlPr>
              <w:rPr>
                <w:rFonts w:ascii="Cambria Math" w:eastAsia="Calibri" w:hAnsi="Cambria Math"/>
                <w:i/>
                <w:szCs w:val="24"/>
              </w:rPr>
            </m:ctrlPr>
          </m:sSubPr>
          <m:e>
            <m:r>
              <w:rPr>
                <w:rFonts w:ascii="Cambria Math" w:eastAsia="Calibri" w:hAnsi="Cambria Math"/>
                <w:szCs w:val="24"/>
              </w:rPr>
              <m:t>HS</m:t>
            </m:r>
          </m:e>
          <m:sub>
            <m:r>
              <w:rPr>
                <w:rFonts w:ascii="Cambria Math" w:eastAsia="Calibri" w:hAnsi="Cambria Math"/>
                <w:szCs w:val="24"/>
              </w:rPr>
              <m:t>j</m:t>
            </m:r>
          </m:sub>
        </m:sSub>
      </m:oMath>
      <w:r w:rsidRPr="00B50F1D">
        <w:rPr>
          <w:rFonts w:eastAsia="Calibri"/>
          <w:szCs w:val="24"/>
        </w:rPr>
        <w:t xml:space="preserve"> and </w:t>
      </w:r>
      <m:oMath>
        <m:sSub>
          <m:sSubPr>
            <m:ctrlPr>
              <w:rPr>
                <w:rFonts w:ascii="Cambria Math" w:eastAsia="Calibri" w:hAnsi="Cambria Math"/>
                <w:i/>
                <w:szCs w:val="24"/>
              </w:rPr>
            </m:ctrlPr>
          </m:sSubPr>
          <m:e>
            <m:r>
              <w:rPr>
                <w:rFonts w:ascii="Cambria Math" w:eastAsia="Calibri" w:hAnsi="Cambria Math"/>
                <w:szCs w:val="24"/>
              </w:rPr>
              <m:t>HM</m:t>
            </m:r>
          </m:e>
          <m:sub>
            <m:r>
              <w:rPr>
                <w:rFonts w:ascii="Cambria Math" w:eastAsia="Calibri" w:hAnsi="Cambria Math"/>
                <w:szCs w:val="24"/>
              </w:rPr>
              <m:t>j</m:t>
            </m:r>
          </m:sub>
        </m:sSub>
      </m:oMath>
      <w:r w:rsidRPr="00B50F1D">
        <w:rPr>
          <w:rFonts w:eastAsia="Calibri"/>
          <w:szCs w:val="24"/>
        </w:rPr>
        <w:t xml:space="preserve"> on each region’s vacancy rate, </w:t>
      </w:r>
      <m:oMath>
        <m:sSub>
          <m:sSubPr>
            <m:ctrlPr>
              <w:rPr>
                <w:rFonts w:ascii="Cambria Math" w:eastAsia="Calibri" w:hAnsi="Cambria Math"/>
                <w:i/>
                <w:szCs w:val="24"/>
              </w:rPr>
            </m:ctrlPr>
          </m:sSubPr>
          <m:e>
            <m:r>
              <w:rPr>
                <w:rFonts w:ascii="Cambria Math" w:eastAsia="Calibri" w:hAnsi="Cambria Math"/>
                <w:szCs w:val="24"/>
              </w:rPr>
              <m:t>V</m:t>
            </m:r>
          </m:e>
          <m:sub>
            <m:r>
              <w:rPr>
                <w:rFonts w:ascii="Cambria Math" w:eastAsia="Calibri" w:hAnsi="Cambria Math"/>
                <w:szCs w:val="24"/>
              </w:rPr>
              <m:t>i</m:t>
            </m:r>
          </m:sub>
        </m:sSub>
      </m:oMath>
      <w:r w:rsidRPr="00B50F1D">
        <w:rPr>
          <w:rFonts w:eastAsia="Times New Roman"/>
          <w:szCs w:val="24"/>
        </w:rPr>
        <w:t xml:space="preserve">, conditional on the initial regime at time </w:t>
      </w:r>
      <m:oMath>
        <m:r>
          <w:rPr>
            <w:rFonts w:ascii="Cambria Math" w:eastAsia="Times New Roman" w:hAnsi="Cambria Math"/>
            <w:szCs w:val="24"/>
          </w:rPr>
          <m:t>t=0</m:t>
        </m:r>
      </m:oMath>
      <w:r w:rsidRPr="00B50F1D">
        <w:rPr>
          <w:rFonts w:eastAsia="Calibri"/>
          <w:szCs w:val="24"/>
        </w:rPr>
        <w:t xml:space="preserve">. </w:t>
      </w:r>
      <m:oMath>
        <m:sSub>
          <m:sSubPr>
            <m:ctrlPr>
              <w:rPr>
                <w:rFonts w:ascii="Cambria Math" w:eastAsia="Calibri" w:hAnsi="Cambria Math"/>
                <w:i/>
                <w:szCs w:val="24"/>
              </w:rPr>
            </m:ctrlPr>
          </m:sSubPr>
          <m:e>
            <m:r>
              <w:rPr>
                <w:rFonts w:ascii="Cambria Math" w:eastAsia="Calibri" w:hAnsi="Cambria Math"/>
                <w:szCs w:val="24"/>
              </w:rPr>
              <m:t>HS</m:t>
            </m:r>
          </m:e>
          <m:sub>
            <m:r>
              <w:rPr>
                <w:rFonts w:ascii="Cambria Math" w:eastAsia="Calibri" w:hAnsi="Cambria Math"/>
                <w:szCs w:val="24"/>
              </w:rPr>
              <m:t>j</m:t>
            </m:r>
          </m:sub>
        </m:sSub>
      </m:oMath>
      <w:r w:rsidRPr="00B50F1D">
        <w:rPr>
          <w:rFonts w:eastAsia="Calibri"/>
          <w:szCs w:val="24"/>
        </w:rPr>
        <w:t xml:space="preserve"> in this setting represents those li</w:t>
      </w:r>
      <w:proofErr w:type="spellStart"/>
      <w:r w:rsidRPr="00B50F1D">
        <w:rPr>
          <w:rFonts w:eastAsia="Calibri"/>
          <w:szCs w:val="24"/>
        </w:rPr>
        <w:t>ving</w:t>
      </w:r>
      <w:proofErr w:type="spellEnd"/>
      <w:r w:rsidRPr="00B50F1D">
        <w:rPr>
          <w:rFonts w:eastAsia="Calibri"/>
          <w:szCs w:val="24"/>
        </w:rPr>
        <w:t xml:space="preserve"> in the region </w:t>
      </w:r>
      <m:oMath>
        <m:r>
          <w:rPr>
            <w:rFonts w:ascii="Cambria Math" w:eastAsia="Calibri" w:hAnsi="Cambria Math"/>
            <w:szCs w:val="24"/>
          </w:rPr>
          <m:t>i</m:t>
        </m:r>
      </m:oMath>
      <w:r w:rsidRPr="00B50F1D">
        <w:rPr>
          <w:rFonts w:eastAsia="Calibri"/>
          <w:szCs w:val="24"/>
        </w:rPr>
        <w:t xml:space="preserve"> wishing to migrate outside of region </w:t>
      </w:r>
      <m:oMath>
        <m:r>
          <w:rPr>
            <w:rFonts w:ascii="Cambria Math" w:eastAsia="Calibri" w:hAnsi="Cambria Math"/>
            <w:szCs w:val="24"/>
          </w:rPr>
          <m:t>i</m:t>
        </m:r>
      </m:oMath>
      <w:r w:rsidRPr="00B50F1D">
        <w:rPr>
          <w:rFonts w:eastAsia="Calibri"/>
          <w:szCs w:val="24"/>
        </w:rPr>
        <w:t xml:space="preserve">, while </w:t>
      </w:r>
      <m:oMath>
        <m:sSub>
          <m:sSubPr>
            <m:ctrlPr>
              <w:rPr>
                <w:rFonts w:ascii="Cambria Math" w:eastAsia="Calibri" w:hAnsi="Cambria Math"/>
                <w:i/>
                <w:szCs w:val="24"/>
              </w:rPr>
            </m:ctrlPr>
          </m:sSubPr>
          <m:e>
            <m:r>
              <w:rPr>
                <w:rFonts w:ascii="Cambria Math" w:eastAsia="Calibri" w:hAnsi="Cambria Math"/>
                <w:szCs w:val="24"/>
              </w:rPr>
              <m:t>HM</m:t>
            </m:r>
          </m:e>
          <m:sub>
            <m:r>
              <w:rPr>
                <w:rFonts w:ascii="Cambria Math" w:eastAsia="Calibri" w:hAnsi="Cambria Math"/>
                <w:szCs w:val="24"/>
              </w:rPr>
              <m:t>j</m:t>
            </m:r>
          </m:sub>
        </m:sSub>
      </m:oMath>
      <w:r w:rsidRPr="00B50F1D">
        <w:rPr>
          <w:rFonts w:eastAsia="Calibri"/>
          <w:szCs w:val="24"/>
        </w:rPr>
        <w:t xml:space="preserve"> represents those happily living outside of region </w:t>
      </w:r>
      <m:oMath>
        <m:r>
          <w:rPr>
            <w:rFonts w:ascii="Cambria Math" w:eastAsia="Calibri" w:hAnsi="Cambria Math"/>
            <w:szCs w:val="24"/>
          </w:rPr>
          <m:t>i</m:t>
        </m:r>
      </m:oMath>
      <w:r w:rsidRPr="00B50F1D">
        <w:rPr>
          <w:rFonts w:eastAsia="Calibri"/>
          <w:szCs w:val="24"/>
        </w:rPr>
        <w:t xml:space="preserve">. The median change in the vacancy rate is plotted in each of these figures from </w:t>
      </w:r>
      <m:oMath>
        <m:r>
          <w:rPr>
            <w:rFonts w:ascii="Cambria Math" w:eastAsia="Calibri" w:hAnsi="Cambria Math"/>
            <w:szCs w:val="24"/>
          </w:rPr>
          <m:t>t=0</m:t>
        </m:r>
      </m:oMath>
      <w:r w:rsidRPr="00B50F1D">
        <w:rPr>
          <w:rFonts w:eastAsia="Calibri"/>
          <w:szCs w:val="24"/>
        </w:rPr>
        <w:t xml:space="preserve"> to </w:t>
      </w:r>
      <m:oMath>
        <m:r>
          <w:rPr>
            <w:rFonts w:ascii="Cambria Math" w:eastAsia="Calibri" w:hAnsi="Cambria Math"/>
            <w:szCs w:val="24"/>
          </w:rPr>
          <m:t>t=40</m:t>
        </m:r>
      </m:oMath>
      <w:r w:rsidRPr="00B50F1D">
        <w:rPr>
          <w:rFonts w:eastAsia="Calibri"/>
          <w:szCs w:val="24"/>
        </w:rPr>
        <w:t xml:space="preserve"> along with dashed lines indicating the 68% highest posterior density interval.</w:t>
      </w:r>
    </w:p>
    <w:p w14:paraId="7B81574A" w14:textId="0A4D551E" w:rsidR="00E11BA4" w:rsidRDefault="00B50F1D">
      <w:pPr>
        <w:rPr>
          <w:rFonts w:eastAsia="Calibri"/>
          <w:b/>
          <w:sz w:val="24"/>
          <w:szCs w:val="24"/>
        </w:rPr>
      </w:pPr>
      <w:r w:rsidRPr="00B50F1D">
        <w:rPr>
          <w:rFonts w:eastAsia="Calibri"/>
          <w:b/>
          <w:sz w:val="24"/>
          <w:szCs w:val="24"/>
        </w:rPr>
        <w:br w:type="page"/>
      </w:r>
      <w:r w:rsidR="00E11BA4">
        <w:rPr>
          <w:rFonts w:eastAsia="Calibri"/>
          <w:b/>
          <w:sz w:val="24"/>
          <w:szCs w:val="24"/>
        </w:rPr>
        <w:lastRenderedPageBreak/>
        <w:t xml:space="preserve">Appendix A: </w:t>
      </w:r>
    </w:p>
    <w:p w14:paraId="53C706C9" w14:textId="019186A7" w:rsidR="00555C49" w:rsidRPr="00076AA5" w:rsidRDefault="00555C49">
      <w:pPr>
        <w:rPr>
          <w:rFonts w:eastAsia="Calibri"/>
          <w:bCs/>
          <w:i/>
          <w:iCs/>
          <w:sz w:val="24"/>
          <w:szCs w:val="24"/>
        </w:rPr>
      </w:pPr>
      <w:r>
        <w:rPr>
          <w:rFonts w:eastAsia="Calibri"/>
          <w:bCs/>
          <w:i/>
          <w:iCs/>
          <w:sz w:val="24"/>
          <w:szCs w:val="24"/>
        </w:rPr>
        <w:t>Vacant Housing in a Simple Supply and Demand Framework</w:t>
      </w:r>
    </w:p>
    <w:p w14:paraId="7FFF55C7" w14:textId="456B0985" w:rsidR="00E11BA4" w:rsidRDefault="00E11BA4" w:rsidP="00555C49">
      <w:pPr>
        <w:ind w:firstLine="720"/>
        <w:rPr>
          <w:sz w:val="24"/>
          <w:szCs w:val="24"/>
        </w:rPr>
      </w:pPr>
      <w:r>
        <w:rPr>
          <w:sz w:val="24"/>
          <w:szCs w:val="24"/>
        </w:rPr>
        <w:t xml:space="preserve">Figure A1 displays the possibility of vacant housing via a simple supply and demand framework. </w:t>
      </w:r>
    </w:p>
    <w:p w14:paraId="69004B85" w14:textId="77777777" w:rsidR="00555C49" w:rsidRDefault="00E11BA4" w:rsidP="00E11BA4">
      <w:pPr>
        <w:ind w:firstLine="720"/>
        <w:rPr>
          <w:sz w:val="24"/>
          <w:szCs w:val="24"/>
        </w:rPr>
      </w:pPr>
      <w:r w:rsidRPr="008C0CB6">
        <w:rPr>
          <w:sz w:val="24"/>
          <w:szCs w:val="24"/>
        </w:rPr>
        <w:t>As shown in the top panel, let the supply of housing units be fixed at S</w:t>
      </w:r>
      <w:r w:rsidRPr="008C0CB6">
        <w:rPr>
          <w:sz w:val="24"/>
          <w:szCs w:val="24"/>
          <w:vertAlign w:val="subscript"/>
        </w:rPr>
        <w:t>o</w:t>
      </w:r>
      <w:r w:rsidRPr="008C0CB6">
        <w:rPr>
          <w:sz w:val="24"/>
          <w:szCs w:val="24"/>
        </w:rPr>
        <w:t>.  With a demand for occupied housing units, D</w:t>
      </w:r>
      <w:r w:rsidRPr="008C0CB6">
        <w:rPr>
          <w:sz w:val="24"/>
          <w:szCs w:val="24"/>
          <w:vertAlign w:val="subscript"/>
        </w:rPr>
        <w:t>o</w:t>
      </w:r>
      <w:r w:rsidRPr="008C0CB6">
        <w:rPr>
          <w:sz w:val="24"/>
          <w:szCs w:val="24"/>
          <w:vertAlign w:val="superscript"/>
        </w:rPr>
        <w:t>o</w:t>
      </w:r>
      <w:r w:rsidRPr="008C0CB6">
        <w:rPr>
          <w:sz w:val="24"/>
          <w:szCs w:val="24"/>
        </w:rPr>
        <w:t>,</w:t>
      </w:r>
      <w:r w:rsidRPr="008C0CB6">
        <w:rPr>
          <w:sz w:val="24"/>
          <w:szCs w:val="24"/>
          <w:vertAlign w:val="superscript"/>
        </w:rPr>
        <w:t xml:space="preserve"> </w:t>
      </w:r>
      <w:r w:rsidRPr="008C0CB6">
        <w:rPr>
          <w:sz w:val="24"/>
          <w:szCs w:val="24"/>
        </w:rPr>
        <w:t>and a total demand for housing units, D</w:t>
      </w:r>
      <w:r w:rsidRPr="008C0CB6">
        <w:rPr>
          <w:sz w:val="24"/>
          <w:szCs w:val="24"/>
          <w:vertAlign w:val="subscript"/>
        </w:rPr>
        <w:t>o</w:t>
      </w:r>
      <w:r w:rsidRPr="008C0CB6">
        <w:rPr>
          <w:sz w:val="24"/>
          <w:szCs w:val="24"/>
          <w:vertAlign w:val="superscript"/>
        </w:rPr>
        <w:t>+</w:t>
      </w:r>
      <w:r w:rsidRPr="008C0CB6">
        <w:rPr>
          <w:sz w:val="24"/>
          <w:szCs w:val="24"/>
        </w:rPr>
        <w:t>, then the equilibrium price would be P</w:t>
      </w:r>
      <w:r w:rsidRPr="008C0CB6">
        <w:rPr>
          <w:sz w:val="24"/>
          <w:szCs w:val="24"/>
          <w:vertAlign w:val="subscript"/>
        </w:rPr>
        <w:t>o</w:t>
      </w:r>
      <w:r w:rsidRPr="008C0CB6">
        <w:rPr>
          <w:sz w:val="24"/>
          <w:szCs w:val="24"/>
        </w:rPr>
        <w:t>, the equilibrium quantity of occupied housing units would be D</w:t>
      </w:r>
      <w:r w:rsidRPr="008C0CB6">
        <w:rPr>
          <w:sz w:val="24"/>
          <w:szCs w:val="24"/>
          <w:vertAlign w:val="subscript"/>
        </w:rPr>
        <w:t>o</w:t>
      </w:r>
      <w:r w:rsidRPr="008C0CB6">
        <w:rPr>
          <w:sz w:val="24"/>
          <w:szCs w:val="24"/>
        </w:rPr>
        <w:t>, and the equilibrium quantity of all housing units would be the same as the quantity supplied of all housing units (i.e., S</w:t>
      </w:r>
      <w:r w:rsidRPr="008C0CB6">
        <w:rPr>
          <w:sz w:val="24"/>
          <w:szCs w:val="24"/>
          <w:vertAlign w:val="subscript"/>
        </w:rPr>
        <w:t>o</w:t>
      </w:r>
      <w:r w:rsidRPr="008C0CB6">
        <w:rPr>
          <w:sz w:val="24"/>
          <w:szCs w:val="24"/>
        </w:rPr>
        <w:t>).  Associated with this equilibrium is a vacancy rate (VR) equal to ((S</w:t>
      </w:r>
      <w:r w:rsidRPr="008C0CB6">
        <w:rPr>
          <w:sz w:val="24"/>
          <w:szCs w:val="24"/>
          <w:vertAlign w:val="subscript"/>
        </w:rPr>
        <w:t>o</w:t>
      </w:r>
      <w:r w:rsidRPr="008C0CB6">
        <w:rPr>
          <w:sz w:val="24"/>
          <w:szCs w:val="24"/>
        </w:rPr>
        <w:t xml:space="preserve"> – D</w:t>
      </w:r>
      <w:r w:rsidRPr="008C0CB6">
        <w:rPr>
          <w:sz w:val="24"/>
          <w:szCs w:val="24"/>
          <w:vertAlign w:val="subscript"/>
        </w:rPr>
        <w:t>o</w:t>
      </w:r>
      <w:r w:rsidRPr="008C0CB6">
        <w:rPr>
          <w:sz w:val="24"/>
          <w:szCs w:val="24"/>
        </w:rPr>
        <w:t>)/S</w:t>
      </w:r>
      <w:r w:rsidRPr="008C0CB6">
        <w:rPr>
          <w:sz w:val="24"/>
          <w:szCs w:val="24"/>
          <w:vertAlign w:val="subscript"/>
        </w:rPr>
        <w:t>o</w:t>
      </w:r>
      <w:r w:rsidRPr="008C0CB6">
        <w:rPr>
          <w:sz w:val="24"/>
          <w:szCs w:val="24"/>
        </w:rPr>
        <w:t xml:space="preserve">) x 100. </w:t>
      </w:r>
    </w:p>
    <w:p w14:paraId="1C0C1F4B" w14:textId="277FB2EF" w:rsidR="00E11BA4" w:rsidRDefault="00E11BA4" w:rsidP="00076AA5">
      <w:pPr>
        <w:ind w:firstLine="720"/>
        <w:rPr>
          <w:sz w:val="24"/>
          <w:szCs w:val="24"/>
        </w:rPr>
      </w:pPr>
      <w:r w:rsidRPr="008C0CB6">
        <w:rPr>
          <w:sz w:val="24"/>
          <w:szCs w:val="24"/>
        </w:rPr>
        <w:t>Next, suppose demand for housing declines to D</w:t>
      </w:r>
      <w:r w:rsidRPr="008C0CB6">
        <w:rPr>
          <w:sz w:val="24"/>
          <w:szCs w:val="24"/>
          <w:vertAlign w:val="subscript"/>
        </w:rPr>
        <w:t>1</w:t>
      </w:r>
      <w:r w:rsidRPr="008C0CB6">
        <w:rPr>
          <w:sz w:val="24"/>
          <w:szCs w:val="24"/>
          <w:vertAlign w:val="superscript"/>
        </w:rPr>
        <w:t>+</w:t>
      </w:r>
      <w:r w:rsidRPr="008C0CB6">
        <w:rPr>
          <w:sz w:val="24"/>
          <w:szCs w:val="24"/>
        </w:rPr>
        <w:t xml:space="preserve"> for all units and D</w:t>
      </w:r>
      <w:r w:rsidRPr="008C0CB6">
        <w:rPr>
          <w:sz w:val="24"/>
          <w:szCs w:val="24"/>
          <w:vertAlign w:val="subscript"/>
        </w:rPr>
        <w:t>1</w:t>
      </w:r>
      <w:r w:rsidRPr="008C0CB6">
        <w:rPr>
          <w:sz w:val="24"/>
          <w:szCs w:val="24"/>
          <w:vertAlign w:val="superscript"/>
        </w:rPr>
        <w:t>o</w:t>
      </w:r>
      <w:r w:rsidRPr="008C0CB6">
        <w:rPr>
          <w:sz w:val="24"/>
          <w:szCs w:val="24"/>
        </w:rPr>
        <w:t xml:space="preserve"> for occupied units. Such a decrease in demand can occur due to out-migration from a region.  Note that the shifts are parallel and equidistant. This is a strong assumption that causes vacancies and the associated vacancy rate to remain unchanged. If the demand for occupied housing shifts relatively more (less) than the demand for total housing, then vacancies and the vacancy rate increase (decrease) relative to the initial equilibrium. Such a decline puts downward pressure on housing prices.  If price adjusts completely and instantaneously, then the new equilibrium price would be P</w:t>
      </w:r>
      <w:r w:rsidRPr="008C0CB6">
        <w:rPr>
          <w:sz w:val="24"/>
          <w:szCs w:val="24"/>
          <w:vertAlign w:val="subscript"/>
        </w:rPr>
        <w:t>1</w:t>
      </w:r>
      <w:r w:rsidRPr="008C0CB6">
        <w:rPr>
          <w:sz w:val="24"/>
          <w:szCs w:val="24"/>
        </w:rPr>
        <w:t xml:space="preserve"> and the equilibrium quantities of occupied and total housing would be unchanged.  Vacancies and the associated vacancy rate would also remain unchanged.</w:t>
      </w:r>
    </w:p>
    <w:p w14:paraId="5EA6D02B" w14:textId="77777777" w:rsidR="00555C49" w:rsidRDefault="00555C49">
      <w:pPr>
        <w:rPr>
          <w:sz w:val="24"/>
          <w:szCs w:val="24"/>
        </w:rPr>
      </w:pPr>
      <w:r>
        <w:rPr>
          <w:sz w:val="24"/>
          <w:szCs w:val="24"/>
        </w:rPr>
        <w:br w:type="page"/>
      </w:r>
    </w:p>
    <w:p w14:paraId="3E0FED00" w14:textId="7FA8A2C8" w:rsidR="00E11BA4" w:rsidRDefault="00555C49" w:rsidP="00555C49">
      <w:pPr>
        <w:jc w:val="center"/>
        <w:rPr>
          <w:sz w:val="24"/>
          <w:szCs w:val="24"/>
        </w:rPr>
      </w:pPr>
      <w:r>
        <w:rPr>
          <w:sz w:val="24"/>
          <w:szCs w:val="24"/>
        </w:rPr>
        <w:lastRenderedPageBreak/>
        <w:t>Figure A1</w:t>
      </w:r>
    </w:p>
    <w:p w14:paraId="0379D20A" w14:textId="170BBE70" w:rsidR="00555C49" w:rsidRPr="00076AA5" w:rsidRDefault="00555C49" w:rsidP="00076AA5">
      <w:pPr>
        <w:spacing w:after="200" w:line="276" w:lineRule="auto"/>
        <w:jc w:val="center"/>
        <w:rPr>
          <w:b/>
          <w:sz w:val="24"/>
          <w:szCs w:val="24"/>
        </w:rPr>
      </w:pPr>
      <w:r w:rsidRPr="009E0FF9">
        <w:rPr>
          <w:b/>
          <w:sz w:val="24"/>
          <w:szCs w:val="24"/>
        </w:rPr>
        <w:t>The Housing Market and Vacancy Rates</w:t>
      </w:r>
    </w:p>
    <w:p w14:paraId="3D32647F" w14:textId="2F1B2FDE" w:rsidR="00555C49" w:rsidRDefault="00555C49" w:rsidP="00076AA5">
      <w:pPr>
        <w:jc w:val="center"/>
        <w:rPr>
          <w:sz w:val="24"/>
          <w:szCs w:val="24"/>
        </w:rPr>
      </w:pPr>
      <w:r w:rsidRPr="00B50F1D">
        <w:rPr>
          <w:rFonts w:eastAsia="Calibri"/>
          <w:noProof/>
          <w:sz w:val="24"/>
          <w:szCs w:val="24"/>
        </w:rPr>
        <w:drawing>
          <wp:inline distT="0" distB="0" distL="0" distR="0" wp14:anchorId="41082DBE" wp14:editId="71CFA08C">
            <wp:extent cx="4619625" cy="6124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9625" cy="6124575"/>
                    </a:xfrm>
                    <a:prstGeom prst="rect">
                      <a:avLst/>
                    </a:prstGeom>
                    <a:noFill/>
                    <a:ln>
                      <a:noFill/>
                    </a:ln>
                  </pic:spPr>
                </pic:pic>
              </a:graphicData>
            </a:graphic>
          </wp:inline>
        </w:drawing>
      </w:r>
    </w:p>
    <w:p w14:paraId="6F3FFEDE" w14:textId="704520DB" w:rsidR="00E11BA4" w:rsidRPr="00555C49" w:rsidRDefault="00E11BA4">
      <w:pPr>
        <w:rPr>
          <w:rFonts w:eastAsia="Calibri"/>
          <w:b/>
          <w:sz w:val="24"/>
          <w:szCs w:val="24"/>
        </w:rPr>
      </w:pPr>
      <w:r w:rsidRPr="00555C49">
        <w:rPr>
          <w:rFonts w:eastAsia="Calibri"/>
          <w:b/>
          <w:sz w:val="24"/>
          <w:szCs w:val="24"/>
        </w:rPr>
        <w:br w:type="page"/>
      </w:r>
    </w:p>
    <w:p w14:paraId="2FB3A134" w14:textId="7FD241D5" w:rsidR="00B50F1D" w:rsidRPr="00B50F1D" w:rsidRDefault="00B50F1D" w:rsidP="00B50F1D">
      <w:pPr>
        <w:spacing w:after="200" w:line="276" w:lineRule="auto"/>
        <w:rPr>
          <w:rFonts w:eastAsia="Calibri"/>
          <w:b/>
          <w:sz w:val="24"/>
          <w:szCs w:val="24"/>
        </w:rPr>
      </w:pPr>
      <w:r w:rsidRPr="00B50F1D">
        <w:rPr>
          <w:rFonts w:eastAsia="Calibri"/>
          <w:b/>
          <w:sz w:val="24"/>
          <w:szCs w:val="24"/>
        </w:rPr>
        <w:lastRenderedPageBreak/>
        <w:t>Appendix</w:t>
      </w:r>
      <w:r w:rsidR="00555C49">
        <w:rPr>
          <w:rFonts w:eastAsia="Calibri"/>
          <w:b/>
          <w:sz w:val="24"/>
          <w:szCs w:val="24"/>
        </w:rPr>
        <w:t xml:space="preserve"> B</w:t>
      </w:r>
      <w:r w:rsidRPr="00B50F1D">
        <w:rPr>
          <w:rFonts w:eastAsia="Calibri"/>
          <w:b/>
          <w:sz w:val="24"/>
          <w:szCs w:val="24"/>
        </w:rPr>
        <w:t>:</w:t>
      </w:r>
    </w:p>
    <w:p w14:paraId="193C2687" w14:textId="77777777" w:rsidR="00B50F1D" w:rsidRPr="00B50F1D" w:rsidRDefault="00B50F1D" w:rsidP="00B50F1D">
      <w:pPr>
        <w:spacing w:after="200" w:line="240" w:lineRule="auto"/>
        <w:rPr>
          <w:rFonts w:eastAsia="Calibri"/>
          <w:i/>
          <w:sz w:val="24"/>
          <w:szCs w:val="24"/>
        </w:rPr>
      </w:pPr>
      <w:r w:rsidRPr="00B50F1D">
        <w:rPr>
          <w:rFonts w:eastAsia="Calibri"/>
          <w:i/>
          <w:sz w:val="24"/>
          <w:szCs w:val="24"/>
        </w:rPr>
        <w:t>Discussion of Basic Markov-Switching Models</w:t>
      </w:r>
    </w:p>
    <w:p w14:paraId="339ECC54" w14:textId="77777777" w:rsidR="00B50F1D" w:rsidRPr="00B50F1D" w:rsidRDefault="00B50F1D" w:rsidP="00B50F1D">
      <w:pPr>
        <w:spacing w:after="200" w:line="240" w:lineRule="auto"/>
        <w:ind w:firstLine="720"/>
        <w:rPr>
          <w:rFonts w:eastAsia="Calibri"/>
          <w:sz w:val="24"/>
          <w:szCs w:val="24"/>
        </w:rPr>
      </w:pPr>
      <w:r w:rsidRPr="00B50F1D">
        <w:rPr>
          <w:rFonts w:eastAsia="Calibri"/>
          <w:sz w:val="24"/>
          <w:szCs w:val="24"/>
        </w:rPr>
        <w:t>Some time series variables exhibit changes in behavior from one stretch of time to the next. For an example of such a variable, consider a city that has persistent periods of two types of easily distinguished weather - comfortable temperatures and heat waves. Daily construction activity, C, in a non-heat wave period at time t is described as C</w:t>
      </w:r>
      <w:r w:rsidRPr="00B50F1D">
        <w:rPr>
          <w:rFonts w:eastAsia="Calibri"/>
          <w:sz w:val="24"/>
          <w:szCs w:val="24"/>
          <w:vertAlign w:val="subscript"/>
        </w:rPr>
        <w:t>t</w:t>
      </w:r>
      <w:r w:rsidRPr="00B50F1D">
        <w:rPr>
          <w:rFonts w:eastAsia="Calibri"/>
          <w:sz w:val="24"/>
          <w:szCs w:val="24"/>
        </w:rPr>
        <w:t>=</w:t>
      </w:r>
      <w:r w:rsidRPr="00B50F1D">
        <w:rPr>
          <w:rFonts w:ascii="Times New Roman Uni" w:eastAsia="Times New Roman Uni" w:hAnsi="Times New Roman Uni" w:cs="Times New Roman Uni"/>
          <w:sz w:val="24"/>
          <w:szCs w:val="24"/>
        </w:rPr>
        <w:t xml:space="preserve"> </w:t>
      </w:r>
      <w:r w:rsidRPr="00B50F1D">
        <w:rPr>
          <w:rFonts w:ascii="Times New Roman Uni" w:eastAsia="Times New Roman Uni" w:hAnsi="Times New Roman Uni" w:cs="Times New Roman Uni" w:hint="eastAsia"/>
          <w:sz w:val="24"/>
          <w:szCs w:val="24"/>
        </w:rPr>
        <w:t>β</w:t>
      </w:r>
      <w:r w:rsidRPr="00B50F1D">
        <w:rPr>
          <w:rFonts w:ascii="Times New Roman Uni" w:eastAsia="Times New Roman Uni" w:hAnsi="Times New Roman Uni" w:cs="Times New Roman Uni"/>
          <w:sz w:val="24"/>
          <w:szCs w:val="24"/>
          <w:vertAlign w:val="subscript"/>
        </w:rPr>
        <w:t>0</w:t>
      </w:r>
      <w:r w:rsidRPr="00B50F1D">
        <w:rPr>
          <w:rFonts w:ascii="Times New Roman Uni" w:eastAsia="Times New Roman Uni" w:hAnsi="Times New Roman Uni" w:cs="Times New Roman Uni"/>
          <w:sz w:val="24"/>
          <w:szCs w:val="24"/>
        </w:rPr>
        <w:t>+</w:t>
      </w:r>
      <w:r w:rsidRPr="00B50F1D">
        <w:rPr>
          <w:rFonts w:ascii="Times New Roman Uni" w:eastAsia="Times New Roman Uni" w:hAnsi="Times New Roman Uni" w:cs="Times New Roman Uni" w:hint="eastAsia"/>
          <w:sz w:val="24"/>
          <w:szCs w:val="24"/>
        </w:rPr>
        <w:t>α</w:t>
      </w:r>
      <w:r w:rsidRPr="00B50F1D">
        <w:rPr>
          <w:rFonts w:eastAsia="Calibri"/>
          <w:sz w:val="24"/>
          <w:szCs w:val="24"/>
          <w:vertAlign w:val="subscript"/>
        </w:rPr>
        <w:t>0</w:t>
      </w:r>
      <w:r w:rsidRPr="00B50F1D">
        <w:rPr>
          <w:rFonts w:ascii="Times New Roman Uni" w:eastAsia="Times New Roman Uni" w:hAnsi="Times New Roman Uni" w:cs="Times New Roman Uni"/>
          <w:sz w:val="24"/>
          <w:szCs w:val="24"/>
        </w:rPr>
        <w:t>'</w:t>
      </w:r>
      <w:r w:rsidRPr="00B50F1D">
        <w:rPr>
          <w:rFonts w:eastAsia="Calibri"/>
          <w:sz w:val="24"/>
          <w:szCs w:val="24"/>
        </w:rPr>
        <w:t>(</w:t>
      </w:r>
      <w:proofErr w:type="spellStart"/>
      <w:r w:rsidRPr="00B50F1D">
        <w:rPr>
          <w:rFonts w:eastAsia="Calibri"/>
          <w:sz w:val="24"/>
          <w:szCs w:val="24"/>
        </w:rPr>
        <w:t>Z</w:t>
      </w:r>
      <w:r w:rsidRPr="00B50F1D">
        <w:rPr>
          <w:rFonts w:eastAsia="Calibri"/>
          <w:sz w:val="24"/>
          <w:szCs w:val="24"/>
          <w:vertAlign w:val="subscript"/>
        </w:rPr>
        <w:t>t</w:t>
      </w:r>
      <w:proofErr w:type="spellEnd"/>
      <w:r w:rsidRPr="00B50F1D">
        <w:rPr>
          <w:rFonts w:eastAsia="Calibri"/>
          <w:sz w:val="24"/>
          <w:szCs w:val="24"/>
        </w:rPr>
        <w:t xml:space="preserve">), where </w:t>
      </w:r>
      <w:r w:rsidRPr="00B50F1D">
        <w:rPr>
          <w:rFonts w:ascii="Times New Roman Uni" w:eastAsia="Times New Roman Uni" w:hAnsi="Times New Roman Uni" w:cs="Times New Roman Uni" w:hint="eastAsia"/>
          <w:sz w:val="24"/>
          <w:szCs w:val="24"/>
        </w:rPr>
        <w:t>β</w:t>
      </w:r>
      <w:r w:rsidRPr="00B50F1D">
        <w:rPr>
          <w:rFonts w:ascii="Times New Roman Uni" w:eastAsia="Times New Roman Uni" w:hAnsi="Times New Roman Uni" w:cs="Times New Roman Uni"/>
          <w:sz w:val="24"/>
          <w:szCs w:val="24"/>
          <w:vertAlign w:val="subscript"/>
        </w:rPr>
        <w:t>0</w:t>
      </w:r>
      <w:r w:rsidRPr="00B50F1D">
        <w:rPr>
          <w:rFonts w:ascii="Times New Roman Uni" w:eastAsia="Times New Roman Uni" w:hAnsi="Times New Roman Uni" w:cs="Times New Roman Uni"/>
          <w:sz w:val="24"/>
          <w:szCs w:val="24"/>
        </w:rPr>
        <w:t xml:space="preserve"> </w:t>
      </w:r>
      <w:r w:rsidRPr="00B50F1D">
        <w:rPr>
          <w:rFonts w:eastAsia="Times New Roman Uni"/>
          <w:sz w:val="24"/>
          <w:szCs w:val="24"/>
        </w:rPr>
        <w:t>and</w:t>
      </w:r>
      <w:r w:rsidRPr="00B50F1D">
        <w:rPr>
          <w:rFonts w:ascii="Times New Roman Uni" w:eastAsia="Times New Roman Uni" w:hAnsi="Times New Roman Uni" w:cs="Times New Roman Uni"/>
          <w:sz w:val="24"/>
          <w:szCs w:val="24"/>
        </w:rPr>
        <w:t xml:space="preserve"> </w:t>
      </w:r>
      <w:r w:rsidRPr="00B50F1D">
        <w:rPr>
          <w:rFonts w:ascii="Times New Roman Uni" w:eastAsia="Times New Roman Uni" w:hAnsi="Times New Roman Uni" w:cs="Times New Roman Uni" w:hint="eastAsia"/>
          <w:sz w:val="24"/>
          <w:szCs w:val="24"/>
        </w:rPr>
        <w:t>α</w:t>
      </w:r>
      <w:r w:rsidRPr="00B50F1D">
        <w:rPr>
          <w:rFonts w:eastAsia="Calibri"/>
          <w:sz w:val="24"/>
          <w:szCs w:val="24"/>
          <w:vertAlign w:val="subscript"/>
        </w:rPr>
        <w:t>0</w:t>
      </w:r>
      <w:r w:rsidRPr="00B50F1D">
        <w:rPr>
          <w:rFonts w:eastAsia="Calibri"/>
          <w:sz w:val="24"/>
          <w:szCs w:val="24"/>
        </w:rPr>
        <w:t xml:space="preserve"> are respectively a constant and a coefficient column vector, both being specific to comfortable days. </w:t>
      </w:r>
      <w:proofErr w:type="spellStart"/>
      <w:r w:rsidRPr="00B50F1D">
        <w:rPr>
          <w:rFonts w:eastAsia="Calibri"/>
          <w:sz w:val="24"/>
          <w:szCs w:val="24"/>
        </w:rPr>
        <w:t>Z</w:t>
      </w:r>
      <w:r w:rsidRPr="00B50F1D">
        <w:rPr>
          <w:rFonts w:eastAsia="Calibri"/>
          <w:sz w:val="24"/>
          <w:szCs w:val="24"/>
          <w:vertAlign w:val="subscript"/>
        </w:rPr>
        <w:t>t</w:t>
      </w:r>
      <w:proofErr w:type="spellEnd"/>
      <w:r w:rsidRPr="00B50F1D">
        <w:rPr>
          <w:rFonts w:eastAsia="Calibri"/>
          <w:sz w:val="24"/>
          <w:szCs w:val="24"/>
        </w:rPr>
        <w:t xml:space="preserve"> is a column vector of explanatory variables at time t. Meanwhile, construction activity during heat waves could be described as C</w:t>
      </w:r>
      <w:r w:rsidRPr="00B50F1D">
        <w:rPr>
          <w:rFonts w:eastAsia="Calibri"/>
          <w:sz w:val="24"/>
          <w:szCs w:val="24"/>
          <w:vertAlign w:val="subscript"/>
        </w:rPr>
        <w:t>t</w:t>
      </w:r>
      <w:r w:rsidRPr="00B50F1D">
        <w:rPr>
          <w:rFonts w:eastAsia="Calibri"/>
          <w:sz w:val="24"/>
          <w:szCs w:val="24"/>
        </w:rPr>
        <w:t>=</w:t>
      </w:r>
      <w:r w:rsidRPr="00B50F1D">
        <w:rPr>
          <w:rFonts w:ascii="Times New Roman Uni" w:eastAsia="Times New Roman Uni" w:hAnsi="Times New Roman Uni" w:cs="Times New Roman Uni"/>
          <w:sz w:val="24"/>
          <w:szCs w:val="24"/>
        </w:rPr>
        <w:t xml:space="preserve"> </w:t>
      </w:r>
      <w:r w:rsidRPr="00B50F1D">
        <w:rPr>
          <w:rFonts w:ascii="Times New Roman Uni" w:eastAsia="Times New Roman Uni" w:hAnsi="Times New Roman Uni" w:cs="Times New Roman Uni" w:hint="eastAsia"/>
          <w:sz w:val="24"/>
          <w:szCs w:val="24"/>
        </w:rPr>
        <w:t>β</w:t>
      </w:r>
      <w:r w:rsidRPr="00B50F1D">
        <w:rPr>
          <w:rFonts w:ascii="Times New Roman Uni" w:eastAsia="Times New Roman Uni" w:hAnsi="Times New Roman Uni" w:cs="Times New Roman Uni"/>
          <w:sz w:val="24"/>
          <w:szCs w:val="24"/>
          <w:vertAlign w:val="subscript"/>
        </w:rPr>
        <w:t>1</w:t>
      </w:r>
      <w:r w:rsidRPr="00B50F1D">
        <w:rPr>
          <w:rFonts w:ascii="Times New Roman Uni" w:eastAsia="Times New Roman Uni" w:hAnsi="Times New Roman Uni" w:cs="Times New Roman Uni"/>
          <w:sz w:val="24"/>
          <w:szCs w:val="24"/>
        </w:rPr>
        <w:t>+</w:t>
      </w:r>
      <w:r w:rsidRPr="00B50F1D">
        <w:rPr>
          <w:rFonts w:ascii="Times New Roman Uni" w:eastAsia="Times New Roman Uni" w:hAnsi="Times New Roman Uni" w:cs="Times New Roman Uni" w:hint="eastAsia"/>
          <w:sz w:val="24"/>
          <w:szCs w:val="24"/>
        </w:rPr>
        <w:t>α</w:t>
      </w:r>
      <w:r w:rsidRPr="00B50F1D">
        <w:rPr>
          <w:rFonts w:eastAsia="Calibri"/>
          <w:sz w:val="24"/>
          <w:szCs w:val="24"/>
          <w:vertAlign w:val="subscript"/>
        </w:rPr>
        <w:t>1</w:t>
      </w:r>
      <w:r w:rsidRPr="00B50F1D">
        <w:rPr>
          <w:rFonts w:ascii="Times New Roman Uni" w:eastAsia="Times New Roman Uni" w:hAnsi="Times New Roman Uni" w:cs="Times New Roman Uni"/>
          <w:sz w:val="24"/>
          <w:szCs w:val="24"/>
        </w:rPr>
        <w:t>'</w:t>
      </w:r>
      <w:r w:rsidRPr="00B50F1D">
        <w:rPr>
          <w:rFonts w:eastAsia="Calibri"/>
          <w:sz w:val="24"/>
          <w:szCs w:val="24"/>
        </w:rPr>
        <w:t>(</w:t>
      </w:r>
      <w:proofErr w:type="spellStart"/>
      <w:r w:rsidRPr="00B50F1D">
        <w:rPr>
          <w:rFonts w:eastAsia="Calibri"/>
          <w:sz w:val="24"/>
          <w:szCs w:val="24"/>
        </w:rPr>
        <w:t>Z</w:t>
      </w:r>
      <w:r w:rsidRPr="00B50F1D">
        <w:rPr>
          <w:rFonts w:eastAsia="Calibri"/>
          <w:sz w:val="24"/>
          <w:szCs w:val="24"/>
          <w:vertAlign w:val="subscript"/>
        </w:rPr>
        <w:t>t</w:t>
      </w:r>
      <w:proofErr w:type="spellEnd"/>
      <w:r w:rsidRPr="00B50F1D">
        <w:rPr>
          <w:rFonts w:eastAsia="Calibri"/>
          <w:sz w:val="24"/>
          <w:szCs w:val="24"/>
        </w:rPr>
        <w:t xml:space="preserve">). It is reasonable to believe </w:t>
      </w:r>
      <w:proofErr w:type="gramStart"/>
      <w:r w:rsidRPr="00B50F1D">
        <w:rPr>
          <w:rFonts w:eastAsia="Calibri"/>
          <w:sz w:val="24"/>
          <w:szCs w:val="24"/>
        </w:rPr>
        <w:t>that,</w:t>
      </w:r>
      <w:proofErr w:type="gramEnd"/>
      <w:r w:rsidRPr="00B50F1D">
        <w:rPr>
          <w:rFonts w:eastAsia="Calibri"/>
          <w:sz w:val="24"/>
          <w:szCs w:val="24"/>
        </w:rPr>
        <w:t xml:space="preserve"> ceteris paribus, the former equation will predict much higher construction activity than the latter. Further, assuming we have all the data for independent variables and daily construction activity, estimation of these equations is relatively straightforward because we can distinguish whether past days were in a heat wave, and then estimate each equation using appropriate data. </w:t>
      </w:r>
    </w:p>
    <w:p w14:paraId="6E1190B3" w14:textId="77777777" w:rsidR="00B50F1D" w:rsidRPr="00B50F1D" w:rsidRDefault="00B50F1D" w:rsidP="00B50F1D">
      <w:pPr>
        <w:spacing w:after="200" w:line="240" w:lineRule="auto"/>
        <w:rPr>
          <w:rFonts w:eastAsia="Calibri"/>
          <w:sz w:val="24"/>
          <w:szCs w:val="24"/>
        </w:rPr>
      </w:pPr>
      <w:r w:rsidRPr="00B50F1D">
        <w:rPr>
          <w:rFonts w:eastAsia="Calibri"/>
          <w:sz w:val="24"/>
          <w:szCs w:val="24"/>
        </w:rPr>
        <w:tab/>
        <w:t xml:space="preserve">Unfortunately, it is frequently difficult to distinguish between variables’ different behaviors, which can be thought of as belonging to different states or regimes. Consider U.S. labor productivity growth, which likely goes through periods of low growth and high growth. We do not have any binary indicators that tell us when some shock has, for example, shifted labor productivity to a low-growth regime. Such shocks are random and difficult to spot even after they have occurred. Markov-switching models, first discussed in Hamilton (1989) and further detailed in Hamilton (1994), attempt to deal with this problem of having a variable characterized by different regimes that have no simple way of being identified. That is, Markov-switching models attempt to identify unobservable states of the </w:t>
      </w:r>
      <w:proofErr w:type="gramStart"/>
      <w:r w:rsidRPr="00B50F1D">
        <w:rPr>
          <w:rFonts w:eastAsia="Calibri"/>
          <w:sz w:val="24"/>
          <w:szCs w:val="24"/>
        </w:rPr>
        <w:t>world, and</w:t>
      </w:r>
      <w:proofErr w:type="gramEnd"/>
      <w:r w:rsidRPr="00B50F1D">
        <w:rPr>
          <w:rFonts w:eastAsia="Calibri"/>
          <w:sz w:val="24"/>
          <w:szCs w:val="24"/>
        </w:rPr>
        <w:t xml:space="preserve"> describe how variables behave in each state. “Markov” refers to the fact that the models use Markov chains to characterize the unobserved regimes.</w:t>
      </w:r>
      <w:r w:rsidRPr="00B50F1D">
        <w:rPr>
          <w:rFonts w:eastAsia="Calibri"/>
          <w:sz w:val="24"/>
          <w:szCs w:val="24"/>
        </w:rPr>
        <w:tab/>
        <w:t xml:space="preserve"> </w:t>
      </w:r>
    </w:p>
    <w:p w14:paraId="32E9093B" w14:textId="77777777" w:rsidR="00B50F1D" w:rsidRPr="00B50F1D" w:rsidRDefault="00B50F1D" w:rsidP="00B50F1D">
      <w:pPr>
        <w:spacing w:after="200" w:line="240" w:lineRule="auto"/>
        <w:rPr>
          <w:rFonts w:eastAsia="Calibri"/>
          <w:sz w:val="24"/>
          <w:szCs w:val="24"/>
        </w:rPr>
      </w:pPr>
      <w:r w:rsidRPr="00B50F1D">
        <w:rPr>
          <w:rFonts w:eastAsia="Calibri"/>
          <w:sz w:val="24"/>
          <w:szCs w:val="24"/>
        </w:rPr>
        <w:tab/>
        <w:t xml:space="preserve">A general Markov-switching model, with dependent variable at time t, </w:t>
      </w:r>
      <w:proofErr w:type="spellStart"/>
      <w:r w:rsidRPr="00B50F1D">
        <w:rPr>
          <w:rFonts w:eastAsia="Calibri"/>
          <w:sz w:val="24"/>
          <w:szCs w:val="24"/>
        </w:rPr>
        <w:t>y</w:t>
      </w:r>
      <w:r w:rsidRPr="00B50F1D">
        <w:rPr>
          <w:rFonts w:eastAsia="Calibri"/>
          <w:sz w:val="24"/>
          <w:szCs w:val="24"/>
          <w:vertAlign w:val="subscript"/>
        </w:rPr>
        <w:t>t</w:t>
      </w:r>
      <w:proofErr w:type="spellEnd"/>
      <w:r w:rsidRPr="00B50F1D">
        <w:rPr>
          <w:rFonts w:eastAsia="Calibri"/>
          <w:sz w:val="24"/>
          <w:szCs w:val="24"/>
        </w:rPr>
        <w:t xml:space="preserve">, and column vector of explanatory variables, possibly including lags of y, at time t, </w:t>
      </w:r>
      <w:proofErr w:type="spellStart"/>
      <w:r w:rsidRPr="00B50F1D">
        <w:rPr>
          <w:rFonts w:eastAsia="Calibri"/>
          <w:sz w:val="24"/>
          <w:szCs w:val="24"/>
        </w:rPr>
        <w:t>X</w:t>
      </w:r>
      <w:r w:rsidRPr="00B50F1D">
        <w:rPr>
          <w:rFonts w:eastAsia="Calibri"/>
          <w:sz w:val="24"/>
          <w:szCs w:val="24"/>
          <w:vertAlign w:val="subscript"/>
        </w:rPr>
        <w:t>t</w:t>
      </w:r>
      <w:proofErr w:type="spellEnd"/>
      <w:r w:rsidRPr="00B50F1D">
        <w:rPr>
          <w:rFonts w:eastAsia="Calibri"/>
          <w:sz w:val="24"/>
          <w:szCs w:val="24"/>
        </w:rPr>
        <w:t>, is:</w:t>
      </w:r>
    </w:p>
    <w:p w14:paraId="3113ECFC" w14:textId="77777777" w:rsidR="00B50F1D" w:rsidRPr="00B50F1D" w:rsidRDefault="00B50F1D" w:rsidP="00B50F1D">
      <w:pPr>
        <w:spacing w:after="200" w:line="240" w:lineRule="auto"/>
        <w:rPr>
          <w:rFonts w:eastAsia="Calibri"/>
          <w:sz w:val="24"/>
          <w:szCs w:val="24"/>
        </w:rPr>
      </w:pPr>
      <w:r w:rsidRPr="00B50F1D">
        <w:rPr>
          <w:rFonts w:eastAsia="Calibri"/>
          <w:sz w:val="24"/>
          <w:szCs w:val="24"/>
        </w:rPr>
        <w:tab/>
      </w:r>
      <w:r w:rsidRPr="00B50F1D">
        <w:rPr>
          <w:rFonts w:ascii="Times New Roman Uni" w:eastAsia="Times New Roman Uni" w:hAnsi="Times New Roman Uni" w:cs="Times New Roman Uni"/>
          <w:sz w:val="24"/>
          <w:szCs w:val="24"/>
        </w:rPr>
        <w:t xml:space="preserve"> </w:t>
      </w:r>
      <m:oMath>
        <m:sSub>
          <m:sSubPr>
            <m:ctrlPr>
              <w:rPr>
                <w:rFonts w:ascii="Cambria Math" w:eastAsia="Times New Roman Uni" w:hAnsi="Cambria Math"/>
                <w:i/>
              </w:rPr>
            </m:ctrlPr>
          </m:sSubPr>
          <m:e>
            <m:sSub>
              <m:sSubPr>
                <m:ctrlPr>
                  <w:rPr>
                    <w:rFonts w:ascii="Cambria Math" w:eastAsia="Times New Roman Uni" w:hAnsi="Cambria Math"/>
                    <w:i/>
                  </w:rPr>
                </m:ctrlPr>
              </m:sSubPr>
              <m:e>
                <m:r>
                  <w:rPr>
                    <w:rFonts w:ascii="Cambria Math" w:eastAsia="Times New Roman Uni" w:hAnsi="Cambria Math" w:cs="Times New Roman Uni"/>
                    <w:sz w:val="24"/>
                    <w:szCs w:val="24"/>
                  </w:rPr>
                  <m:t>y</m:t>
                </m:r>
              </m:e>
              <m:sub>
                <m:r>
                  <w:rPr>
                    <w:rFonts w:ascii="Cambria Math" w:eastAsia="Times New Roman Uni" w:hAnsi="Cambria Math" w:cs="Times New Roman Uni"/>
                    <w:sz w:val="24"/>
                    <w:szCs w:val="24"/>
                  </w:rPr>
                  <m:t>t</m:t>
                </m:r>
              </m:sub>
            </m:sSub>
            <m:r>
              <w:rPr>
                <w:rFonts w:ascii="Cambria Math" w:eastAsia="Times New Roman Uni" w:hAnsi="Cambria Math" w:cs="Times New Roman Uni"/>
                <w:sz w:val="24"/>
                <w:szCs w:val="24"/>
              </w:rPr>
              <m:t>=β</m:t>
            </m:r>
          </m:e>
          <m:sub>
            <m:sSub>
              <m:sSubPr>
                <m:ctrlPr>
                  <w:rPr>
                    <w:rFonts w:ascii="Cambria Math" w:eastAsia="Times New Roman Uni" w:hAnsi="Cambria Math"/>
                    <w:i/>
                  </w:rPr>
                </m:ctrlPr>
              </m:sSubPr>
              <m:e>
                <m:r>
                  <w:rPr>
                    <w:rFonts w:ascii="Cambria Math" w:eastAsia="Times New Roman Uni" w:hAnsi="Cambria Math" w:cs="Times New Roman Uni"/>
                    <w:sz w:val="24"/>
                    <w:szCs w:val="24"/>
                  </w:rPr>
                  <m:t>s</m:t>
                </m:r>
              </m:e>
              <m:sub>
                <m:r>
                  <w:rPr>
                    <w:rFonts w:ascii="Cambria Math" w:eastAsia="Times New Roman Uni" w:hAnsi="Cambria Math" w:cs="Times New Roman Uni"/>
                    <w:sz w:val="24"/>
                    <w:szCs w:val="24"/>
                  </w:rPr>
                  <m:t>t</m:t>
                </m:r>
              </m:sub>
            </m:sSub>
          </m:sub>
        </m:sSub>
        <m:r>
          <w:rPr>
            <w:rFonts w:ascii="Cambria Math" w:eastAsia="Times New Roman Uni" w:hAnsi="Cambria Math" w:cs="Times New Roman Uni"/>
            <w:sz w:val="24"/>
            <w:szCs w:val="24"/>
          </w:rPr>
          <m:t>+</m:t>
        </m:r>
        <m:sSubSup>
          <m:sSubSupPr>
            <m:ctrlPr>
              <w:rPr>
                <w:rFonts w:ascii="Cambria Math" w:eastAsia="Times New Roman Uni" w:hAnsi="Cambria Math"/>
                <w:i/>
              </w:rPr>
            </m:ctrlPr>
          </m:sSubSupPr>
          <m:e>
            <m:r>
              <w:rPr>
                <w:rFonts w:ascii="Cambria Math" w:eastAsia="Times New Roman Uni" w:hAnsi="Cambria Math" w:cs="Times New Roman Uni"/>
                <w:sz w:val="24"/>
                <w:szCs w:val="24"/>
              </w:rPr>
              <m:t>α</m:t>
            </m:r>
          </m:e>
          <m:sub>
            <m:sSub>
              <m:sSubPr>
                <m:ctrlPr>
                  <w:rPr>
                    <w:rFonts w:ascii="Cambria Math" w:eastAsia="Times New Roman Uni" w:hAnsi="Cambria Math"/>
                    <w:i/>
                  </w:rPr>
                </m:ctrlPr>
              </m:sSubPr>
              <m:e>
                <m:r>
                  <w:rPr>
                    <w:rFonts w:ascii="Cambria Math" w:eastAsia="Times New Roman Uni" w:hAnsi="Cambria Math" w:cs="Times New Roman Uni"/>
                    <w:sz w:val="24"/>
                    <w:szCs w:val="24"/>
                  </w:rPr>
                  <m:t>s</m:t>
                </m:r>
              </m:e>
              <m:sub>
                <m:r>
                  <w:rPr>
                    <w:rFonts w:ascii="Cambria Math" w:eastAsia="Times New Roman Uni" w:hAnsi="Cambria Math" w:cs="Times New Roman Uni"/>
                    <w:sz w:val="24"/>
                    <w:szCs w:val="24"/>
                  </w:rPr>
                  <m:t>t</m:t>
                </m:r>
              </m:sub>
            </m:sSub>
          </m:sub>
          <m:sup>
            <m:r>
              <w:rPr>
                <w:rFonts w:ascii="Cambria Math" w:eastAsia="Times New Roman Uni" w:hAnsi="Cambria Math" w:cs="Times New Roman Uni" w:hint="eastAsia"/>
                <w:sz w:val="24"/>
                <w:szCs w:val="24"/>
              </w:rPr>
              <m:t>'</m:t>
            </m:r>
          </m:sup>
        </m:sSubSup>
        <m:d>
          <m:dPr>
            <m:ctrlPr>
              <w:rPr>
                <w:rFonts w:ascii="Cambria Math" w:eastAsia="Times New Roman Uni" w:hAnsi="Cambria Math"/>
                <w:i/>
              </w:rPr>
            </m:ctrlPr>
          </m:dPr>
          <m:e>
            <m:sSub>
              <m:sSubPr>
                <m:ctrlPr>
                  <w:rPr>
                    <w:rFonts w:ascii="Cambria Math" w:eastAsia="Times New Roman Uni" w:hAnsi="Cambria Math"/>
                    <w:i/>
                  </w:rPr>
                </m:ctrlPr>
              </m:sSubPr>
              <m:e>
                <m:r>
                  <w:rPr>
                    <w:rFonts w:ascii="Cambria Math" w:eastAsia="Times New Roman Uni" w:hAnsi="Cambria Math" w:cs="Times New Roman Uni"/>
                    <w:sz w:val="24"/>
                    <w:szCs w:val="24"/>
                  </w:rPr>
                  <m:t>X</m:t>
                </m:r>
              </m:e>
              <m:sub>
                <m:r>
                  <w:rPr>
                    <w:rFonts w:ascii="Cambria Math" w:eastAsia="Times New Roman Uni" w:hAnsi="Cambria Math" w:cs="Times New Roman Uni"/>
                    <w:sz w:val="24"/>
                    <w:szCs w:val="24"/>
                  </w:rPr>
                  <m:t>t</m:t>
                </m:r>
              </m:sub>
            </m:sSub>
          </m:e>
        </m:d>
        <m:r>
          <w:rPr>
            <w:rFonts w:ascii="Cambria Math" w:eastAsia="Times New Roman Uni" w:hAnsi="Cambria Math" w:cs="Times New Roman Uni"/>
            <w:sz w:val="24"/>
            <w:szCs w:val="24"/>
          </w:rPr>
          <m:t>+</m:t>
        </m:r>
        <m:sSub>
          <m:sSubPr>
            <m:ctrlPr>
              <w:rPr>
                <w:rFonts w:ascii="Cambria Math" w:eastAsia="Times New Roman Uni" w:hAnsi="Cambria Math"/>
                <w:i/>
              </w:rPr>
            </m:ctrlPr>
          </m:sSubPr>
          <m:e>
            <m:r>
              <w:rPr>
                <w:rFonts w:ascii="Cambria Math" w:eastAsia="Times New Roman Uni" w:hAnsi="Cambria Math" w:cs="Times New Roman Uni"/>
                <w:sz w:val="24"/>
                <w:szCs w:val="24"/>
              </w:rPr>
              <m:t>ε</m:t>
            </m:r>
          </m:e>
          <m:sub>
            <m:r>
              <w:rPr>
                <w:rFonts w:ascii="Cambria Math" w:eastAsia="Times New Roman Uni" w:hAnsi="Cambria Math" w:cs="Times New Roman Uni"/>
                <w:sz w:val="24"/>
                <w:szCs w:val="24"/>
              </w:rPr>
              <m:t>t</m:t>
            </m:r>
          </m:sub>
        </m:sSub>
      </m:oMath>
      <w:r w:rsidRPr="00B50F1D">
        <w:rPr>
          <w:rFonts w:ascii="Times New Roman Uni" w:eastAsia="Times New Roman Uni" w:hAnsi="Times New Roman Uni" w:cs="Times New Roman Uni"/>
          <w:sz w:val="24"/>
          <w:szCs w:val="24"/>
        </w:rPr>
        <w:t>,</w:t>
      </w:r>
    </w:p>
    <w:p w14:paraId="64773D23" w14:textId="77777777" w:rsidR="00B50F1D" w:rsidRPr="00B50F1D" w:rsidRDefault="00B50F1D" w:rsidP="00B50F1D">
      <w:pPr>
        <w:spacing w:after="200" w:line="240" w:lineRule="auto"/>
        <w:rPr>
          <w:rFonts w:eastAsia="Calibri"/>
          <w:sz w:val="24"/>
          <w:szCs w:val="24"/>
        </w:rPr>
      </w:pPr>
      <w:r w:rsidRPr="00B50F1D">
        <w:rPr>
          <w:rFonts w:eastAsia="Calibri"/>
          <w:sz w:val="24"/>
          <w:szCs w:val="24"/>
        </w:rPr>
        <w:t xml:space="preserve">where </w:t>
      </w:r>
      <w:proofErr w:type="spellStart"/>
      <w:r w:rsidRPr="00B50F1D">
        <w:rPr>
          <w:rFonts w:eastAsia="Calibri"/>
          <w:sz w:val="24"/>
          <w:szCs w:val="24"/>
        </w:rPr>
        <w:t>s</w:t>
      </w:r>
      <w:r w:rsidRPr="00B50F1D">
        <w:rPr>
          <w:rFonts w:eastAsia="Calibri"/>
          <w:sz w:val="24"/>
          <w:szCs w:val="24"/>
          <w:vertAlign w:val="subscript"/>
        </w:rPr>
        <w:t>t</w:t>
      </w:r>
      <w:proofErr w:type="spellEnd"/>
      <w:r w:rsidRPr="00B50F1D">
        <w:rPr>
          <w:rFonts w:eastAsia="Calibri"/>
          <w:sz w:val="24"/>
          <w:szCs w:val="24"/>
        </w:rPr>
        <w:t xml:space="preserve">, derived through estimation of a Markov chain, indicates the regime of y at time t, and </w:t>
      </w:r>
      <w:proofErr w:type="spellStart"/>
      <w:r w:rsidRPr="00B50F1D">
        <w:rPr>
          <w:rFonts w:eastAsia="Calibri"/>
          <w:sz w:val="24"/>
          <w:szCs w:val="24"/>
        </w:rPr>
        <w:t>ε</w:t>
      </w:r>
      <w:r w:rsidRPr="00B50F1D">
        <w:rPr>
          <w:rFonts w:eastAsia="Calibri"/>
          <w:sz w:val="24"/>
          <w:szCs w:val="24"/>
          <w:vertAlign w:val="subscript"/>
        </w:rPr>
        <w:t>t</w:t>
      </w:r>
      <w:proofErr w:type="spellEnd"/>
      <w:r w:rsidRPr="00B50F1D">
        <w:rPr>
          <w:rFonts w:eastAsia="Calibri"/>
          <w:sz w:val="24"/>
          <w:szCs w:val="24"/>
        </w:rPr>
        <w:t xml:space="preserve">~ </w:t>
      </w:r>
      <w:proofErr w:type="spellStart"/>
      <w:r w:rsidRPr="00B50F1D">
        <w:rPr>
          <w:rFonts w:eastAsia="Calibri"/>
          <w:sz w:val="24"/>
          <w:szCs w:val="24"/>
        </w:rPr>
        <w:t>i.i.d</w:t>
      </w:r>
      <w:proofErr w:type="spellEnd"/>
      <w:r w:rsidRPr="00B50F1D">
        <w:rPr>
          <w:rFonts w:eastAsia="Calibri"/>
          <w:sz w:val="24"/>
          <w:szCs w:val="24"/>
        </w:rPr>
        <w:t>. N(0,</w:t>
      </w:r>
      <w:r w:rsidRPr="00B50F1D">
        <w:rPr>
          <w:rFonts w:eastAsia="Calibri"/>
          <w:b/>
          <w:position w:val="-14"/>
          <w:sz w:val="24"/>
          <w:szCs w:val="24"/>
        </w:rPr>
        <w:object w:dxaOrig="340" w:dyaOrig="400" w14:anchorId="532BB9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19.8pt" o:ole="">
            <v:imagedata r:id="rId32" o:title=""/>
          </v:shape>
          <o:OLEObject Type="Embed" ProgID="Equation.DSMT4" ShapeID="_x0000_i1025" DrawAspect="Content" ObjectID="_1664280245" r:id="rId33"/>
        </w:object>
      </w:r>
      <w:r w:rsidRPr="00B50F1D">
        <w:rPr>
          <w:rFonts w:eastAsia="Calibri"/>
          <w:sz w:val="24"/>
          <w:szCs w:val="24"/>
        </w:rPr>
        <w:t>).</w:t>
      </w:r>
      <w:r w:rsidRPr="00B50F1D">
        <w:rPr>
          <w:rFonts w:eastAsia="Calibri"/>
          <w:sz w:val="24"/>
          <w:szCs w:val="24"/>
          <w:vertAlign w:val="superscript"/>
        </w:rPr>
        <w:footnoteReference w:id="16"/>
      </w:r>
      <w:r w:rsidRPr="00B50F1D">
        <w:rPr>
          <w:rFonts w:eastAsia="Calibri"/>
          <w:sz w:val="24"/>
          <w:szCs w:val="24"/>
        </w:rPr>
        <w:t xml:space="preserve">  Thus, the variance of the error term, the value of the constant, </w:t>
      </w:r>
      <w:r w:rsidRPr="00B50F1D">
        <w:rPr>
          <w:rFonts w:ascii="Times New Roman Uni" w:eastAsia="Times New Roman Uni" w:hAnsi="Times New Roman Uni" w:cs="Times New Roman Uni" w:hint="eastAsia"/>
          <w:sz w:val="24"/>
          <w:szCs w:val="24"/>
        </w:rPr>
        <w:t>β</w:t>
      </w:r>
      <w:r w:rsidRPr="00B50F1D">
        <w:rPr>
          <w:rFonts w:eastAsia="Calibri"/>
          <w:sz w:val="24"/>
          <w:szCs w:val="24"/>
        </w:rPr>
        <w:t xml:space="preserve">, and the coefficient column vector, </w:t>
      </w:r>
      <w:r w:rsidRPr="00B50F1D">
        <w:rPr>
          <w:rFonts w:ascii="Times New Roman Uni" w:eastAsia="Times New Roman Uni" w:hAnsi="Times New Roman Uni" w:cs="Times New Roman Uni" w:hint="eastAsia"/>
          <w:sz w:val="24"/>
          <w:szCs w:val="24"/>
        </w:rPr>
        <w:t>α</w:t>
      </w:r>
      <w:r w:rsidRPr="00B50F1D">
        <w:rPr>
          <w:rFonts w:eastAsia="Calibri"/>
          <w:sz w:val="24"/>
          <w:szCs w:val="24"/>
        </w:rPr>
        <w:t xml:space="preserve">, can depend on </w:t>
      </w:r>
      <w:proofErr w:type="spellStart"/>
      <w:r w:rsidRPr="00B50F1D">
        <w:rPr>
          <w:rFonts w:eastAsia="Calibri"/>
          <w:sz w:val="24"/>
          <w:szCs w:val="24"/>
        </w:rPr>
        <w:t>s</w:t>
      </w:r>
      <w:r w:rsidRPr="00B50F1D">
        <w:rPr>
          <w:rFonts w:eastAsia="Calibri"/>
          <w:sz w:val="24"/>
          <w:szCs w:val="24"/>
          <w:vertAlign w:val="subscript"/>
        </w:rPr>
        <w:t>t</w:t>
      </w:r>
      <w:r w:rsidRPr="00B50F1D">
        <w:rPr>
          <w:rFonts w:eastAsia="Calibri"/>
          <w:sz w:val="24"/>
          <w:szCs w:val="24"/>
        </w:rPr>
        <w:t>.</w:t>
      </w:r>
      <w:proofErr w:type="spellEnd"/>
      <w:r w:rsidRPr="00B50F1D">
        <w:rPr>
          <w:rFonts w:eastAsia="Calibri"/>
          <w:sz w:val="24"/>
          <w:szCs w:val="24"/>
        </w:rPr>
        <w:t xml:space="preserve"> It is not required that all parameters depend on the regime, but at least one must or (13) would become a simple regression. Note that if X contains no variables, (13) is reduced to a constant-only model where the constant for each regime will simply be the regime’s average value for y. </w:t>
      </w:r>
    </w:p>
    <w:p w14:paraId="4D714D64" w14:textId="6DA42835" w:rsidR="00B50F1D" w:rsidRPr="00B50F1D" w:rsidRDefault="00B50F1D" w:rsidP="00B50F1D">
      <w:pPr>
        <w:spacing w:after="200" w:line="240" w:lineRule="auto"/>
        <w:ind w:firstLine="720"/>
        <w:rPr>
          <w:rFonts w:eastAsia="Calibri"/>
          <w:sz w:val="24"/>
          <w:szCs w:val="24"/>
        </w:rPr>
      </w:pPr>
      <w:r w:rsidRPr="00B50F1D">
        <w:rPr>
          <w:rFonts w:eastAsia="Calibri"/>
          <w:sz w:val="24"/>
          <w:szCs w:val="24"/>
        </w:rPr>
        <w:t xml:space="preserve">Markov-switching models have been used in a variety of applications. </w:t>
      </w:r>
      <w:proofErr w:type="spellStart"/>
      <w:r w:rsidRPr="00B50F1D">
        <w:rPr>
          <w:rFonts w:eastAsia="Calibri"/>
          <w:sz w:val="24"/>
          <w:szCs w:val="24"/>
        </w:rPr>
        <w:t>Billio</w:t>
      </w:r>
      <w:proofErr w:type="spellEnd"/>
      <w:r w:rsidRPr="00B50F1D">
        <w:rPr>
          <w:rFonts w:eastAsia="Calibri"/>
          <w:sz w:val="24"/>
          <w:szCs w:val="24"/>
        </w:rPr>
        <w:t xml:space="preserve"> et al. (2016) and Hamilton and </w:t>
      </w:r>
      <w:proofErr w:type="spellStart"/>
      <w:r w:rsidRPr="00B50F1D">
        <w:rPr>
          <w:rFonts w:eastAsia="Calibri"/>
          <w:sz w:val="24"/>
          <w:szCs w:val="24"/>
        </w:rPr>
        <w:t>Owyang</w:t>
      </w:r>
      <w:proofErr w:type="spellEnd"/>
      <w:r w:rsidRPr="00B50F1D">
        <w:rPr>
          <w:rFonts w:eastAsia="Calibri"/>
          <w:sz w:val="24"/>
          <w:szCs w:val="24"/>
        </w:rPr>
        <w:t xml:space="preserve"> (2012) use the models to compare business cycles across countries </w:t>
      </w:r>
      <w:r w:rsidRPr="00B50F1D">
        <w:rPr>
          <w:rFonts w:eastAsia="Calibri"/>
          <w:sz w:val="24"/>
          <w:szCs w:val="24"/>
        </w:rPr>
        <w:lastRenderedPageBreak/>
        <w:t xml:space="preserve">and U.S. states, respectively. </w:t>
      </w:r>
      <w:proofErr w:type="spellStart"/>
      <w:r w:rsidRPr="00B50F1D">
        <w:rPr>
          <w:rFonts w:eastAsia="Calibri"/>
          <w:sz w:val="24"/>
          <w:szCs w:val="24"/>
        </w:rPr>
        <w:t>Cermeño</w:t>
      </w:r>
      <w:proofErr w:type="spellEnd"/>
      <w:r w:rsidRPr="00B50F1D">
        <w:rPr>
          <w:rFonts w:eastAsia="Calibri"/>
          <w:sz w:val="24"/>
          <w:szCs w:val="24"/>
        </w:rPr>
        <w:t xml:space="preserve"> (2002) uses a simple Markov-switching model to characterize low-growth and high-growth regimes for per capita output of U.S. states and several countries. </w:t>
      </w:r>
      <w:proofErr w:type="spellStart"/>
      <w:r w:rsidRPr="00B50F1D">
        <w:rPr>
          <w:rFonts w:eastAsia="Calibri"/>
          <w:sz w:val="24"/>
          <w:szCs w:val="24"/>
        </w:rPr>
        <w:t>Ihle</w:t>
      </w:r>
      <w:proofErr w:type="spellEnd"/>
      <w:r w:rsidRPr="00B50F1D">
        <w:rPr>
          <w:rFonts w:eastAsia="Calibri"/>
          <w:sz w:val="24"/>
          <w:szCs w:val="24"/>
        </w:rPr>
        <w:t>,</w:t>
      </w:r>
      <w:r w:rsidR="00B96CEC">
        <w:rPr>
          <w:rFonts w:eastAsia="Calibri"/>
          <w:sz w:val="24"/>
          <w:szCs w:val="24"/>
        </w:rPr>
        <w:t xml:space="preserve"> von</w:t>
      </w:r>
      <w:r w:rsidRPr="00B50F1D">
        <w:rPr>
          <w:rFonts w:eastAsia="Calibri"/>
          <w:sz w:val="24"/>
          <w:szCs w:val="24"/>
        </w:rPr>
        <w:t xml:space="preserve"> </w:t>
      </w:r>
      <w:proofErr w:type="spellStart"/>
      <w:r w:rsidRPr="00B50F1D">
        <w:rPr>
          <w:rFonts w:eastAsia="Calibri"/>
          <w:sz w:val="24"/>
          <w:szCs w:val="24"/>
        </w:rPr>
        <w:t>Cramon-Taubadel</w:t>
      </w:r>
      <w:proofErr w:type="spellEnd"/>
      <w:r w:rsidRPr="00B50F1D">
        <w:rPr>
          <w:rFonts w:eastAsia="Calibri"/>
          <w:sz w:val="24"/>
          <w:szCs w:val="24"/>
        </w:rPr>
        <w:t xml:space="preserve">, and </w:t>
      </w:r>
      <w:proofErr w:type="spellStart"/>
      <w:r w:rsidRPr="00B50F1D">
        <w:rPr>
          <w:rFonts w:eastAsia="Calibri"/>
          <w:sz w:val="24"/>
          <w:szCs w:val="24"/>
        </w:rPr>
        <w:t>Zorya</w:t>
      </w:r>
      <w:proofErr w:type="spellEnd"/>
      <w:r w:rsidRPr="00B50F1D">
        <w:rPr>
          <w:rFonts w:eastAsia="Calibri"/>
          <w:sz w:val="24"/>
          <w:szCs w:val="24"/>
        </w:rPr>
        <w:t xml:space="preserve"> (2009) use a Markov-switching model to characterize the transmission of maize prices between two African countries. For surveys of Markov-</w:t>
      </w:r>
      <w:proofErr w:type="spellStart"/>
      <w:r w:rsidRPr="00B50F1D">
        <w:rPr>
          <w:rFonts w:eastAsia="Calibri"/>
          <w:sz w:val="24"/>
          <w:szCs w:val="24"/>
        </w:rPr>
        <w:t>swtiching</w:t>
      </w:r>
      <w:proofErr w:type="spellEnd"/>
      <w:r w:rsidRPr="00B50F1D">
        <w:rPr>
          <w:rFonts w:eastAsia="Calibri"/>
          <w:sz w:val="24"/>
          <w:szCs w:val="24"/>
        </w:rPr>
        <w:t xml:space="preserve"> models, see Hamilton (2010) and </w:t>
      </w:r>
      <w:proofErr w:type="spellStart"/>
      <w:r w:rsidRPr="00B50F1D">
        <w:rPr>
          <w:rFonts w:eastAsia="Calibri"/>
          <w:sz w:val="24"/>
          <w:szCs w:val="24"/>
        </w:rPr>
        <w:t>Piger</w:t>
      </w:r>
      <w:proofErr w:type="spellEnd"/>
      <w:r w:rsidRPr="00B50F1D">
        <w:rPr>
          <w:rFonts w:eastAsia="Calibri"/>
          <w:sz w:val="24"/>
          <w:szCs w:val="24"/>
        </w:rPr>
        <w:t xml:space="preserve"> (2009).</w:t>
      </w:r>
    </w:p>
    <w:p w14:paraId="0EB2E1D4" w14:textId="77777777" w:rsidR="00B50F1D" w:rsidRPr="00B50F1D" w:rsidRDefault="00B50F1D" w:rsidP="00B50F1D">
      <w:pPr>
        <w:spacing w:after="200" w:line="240" w:lineRule="auto"/>
        <w:rPr>
          <w:rFonts w:eastAsia="Calibri"/>
          <w:i/>
          <w:sz w:val="24"/>
          <w:szCs w:val="20"/>
        </w:rPr>
      </w:pPr>
      <w:r w:rsidRPr="00B50F1D">
        <w:rPr>
          <w:rFonts w:eastAsia="Calibri"/>
          <w:i/>
          <w:sz w:val="24"/>
          <w:szCs w:val="20"/>
        </w:rPr>
        <w:t>Estimation Details</w:t>
      </w:r>
    </w:p>
    <w:p w14:paraId="7F8E3616" w14:textId="77777777" w:rsidR="00B50F1D" w:rsidRPr="00B50F1D" w:rsidRDefault="00B50F1D" w:rsidP="00B50F1D">
      <w:pPr>
        <w:spacing w:after="200" w:line="240" w:lineRule="auto"/>
        <w:rPr>
          <w:rFonts w:eastAsia="Calibri"/>
          <w:sz w:val="24"/>
          <w:szCs w:val="20"/>
        </w:rPr>
      </w:pPr>
      <w:r w:rsidRPr="00B50F1D">
        <w:rPr>
          <w:rFonts w:eastAsia="Calibri"/>
          <w:sz w:val="24"/>
          <w:szCs w:val="20"/>
        </w:rPr>
        <w:tab/>
        <w:t xml:space="preserve">The univariate and multivariate Markov-switching models were estimated using the Bayesian method of Gibbs sampling. The Gibbs sampler is a Markov-chain Monte Carlo (MCMC) technique which constructs the full joint posterior distribution of the model by drawing the parameters and latent regime in blocks from their conditional posterior distributions. In the following paragraphs, we outline the sampler for the most general models from which the approaches for the simpler specifications can be deduced. </w:t>
      </w:r>
    </w:p>
    <w:p w14:paraId="0DBDF36A" w14:textId="77777777" w:rsidR="00B50F1D" w:rsidRPr="00B50F1D" w:rsidRDefault="00B50F1D" w:rsidP="00B50F1D">
      <w:pPr>
        <w:spacing w:after="200" w:line="240" w:lineRule="auto"/>
        <w:rPr>
          <w:rFonts w:eastAsia="Times New Roman"/>
          <w:sz w:val="24"/>
          <w:szCs w:val="20"/>
        </w:rPr>
      </w:pPr>
      <w:r w:rsidRPr="00B50F1D">
        <w:rPr>
          <w:rFonts w:eastAsia="Calibri"/>
          <w:sz w:val="24"/>
          <w:szCs w:val="20"/>
        </w:rPr>
        <w:tab/>
        <w:t xml:space="preserve">For the univariate model, there are four distinct blocks: (i) the mean growth parameters </w:t>
      </w:r>
      <m:oMath>
        <m:sSub>
          <m:sSubPr>
            <m:ctrlPr>
              <w:rPr>
                <w:rFonts w:ascii="Cambria Math" w:eastAsia="Calibri" w:hAnsi="Cambria Math"/>
                <w:i/>
                <w:sz w:val="24"/>
                <w:szCs w:val="20"/>
              </w:rPr>
            </m:ctrlPr>
          </m:sSubPr>
          <m:e>
            <m:r>
              <w:rPr>
                <w:rFonts w:ascii="Cambria Math" w:eastAsia="Calibri" w:hAnsi="Cambria Math"/>
                <w:sz w:val="24"/>
                <w:szCs w:val="20"/>
              </w:rPr>
              <m:t>C</m:t>
            </m:r>
          </m:e>
          <m:sub>
            <m:sSub>
              <m:sSubPr>
                <m:ctrlPr>
                  <w:rPr>
                    <w:rFonts w:ascii="Cambria Math" w:eastAsia="Calibri" w:hAnsi="Cambria Math"/>
                    <w:i/>
                    <w:sz w:val="24"/>
                    <w:szCs w:val="20"/>
                  </w:rPr>
                </m:ctrlPr>
              </m:sSubPr>
              <m:e>
                <m:r>
                  <w:rPr>
                    <w:rFonts w:ascii="Cambria Math" w:eastAsia="Calibri" w:hAnsi="Cambria Math"/>
                    <w:sz w:val="24"/>
                    <w:szCs w:val="20"/>
                  </w:rPr>
                  <m:t>S</m:t>
                </m:r>
              </m:e>
              <m:sub>
                <m:r>
                  <w:rPr>
                    <w:rFonts w:ascii="Cambria Math" w:eastAsia="Calibri" w:hAnsi="Cambria Math"/>
                    <w:sz w:val="24"/>
                    <w:szCs w:val="20"/>
                  </w:rPr>
                  <m:t>t</m:t>
                </m:r>
              </m:sub>
            </m:sSub>
          </m:sub>
        </m:sSub>
      </m:oMath>
      <w:r w:rsidRPr="00B50F1D">
        <w:rPr>
          <w:rFonts w:eastAsia="Times New Roman"/>
          <w:sz w:val="24"/>
          <w:szCs w:val="20"/>
        </w:rPr>
        <w:t xml:space="preserve"> </w:t>
      </w:r>
      <w:r w:rsidRPr="00B50F1D">
        <w:rPr>
          <w:rFonts w:eastAsia="Calibri"/>
          <w:sz w:val="24"/>
          <w:szCs w:val="20"/>
        </w:rPr>
        <w:t xml:space="preserve">and coefficient on the lagged vacancy rate </w:t>
      </w:r>
      <m:oMath>
        <m:sSub>
          <m:sSubPr>
            <m:ctrlPr>
              <w:rPr>
                <w:rFonts w:ascii="Cambria Math" w:eastAsia="Calibri" w:hAnsi="Cambria Math"/>
                <w:i/>
                <w:sz w:val="24"/>
                <w:szCs w:val="20"/>
              </w:rPr>
            </m:ctrlPr>
          </m:sSubPr>
          <m:e>
            <m:r>
              <w:rPr>
                <w:rFonts w:ascii="Cambria Math" w:eastAsia="Calibri" w:hAnsi="Cambria Math"/>
                <w:sz w:val="24"/>
                <w:szCs w:val="20"/>
              </w:rPr>
              <m:t>a</m:t>
            </m:r>
          </m:e>
          <m:sub>
            <m:sSub>
              <m:sSubPr>
                <m:ctrlPr>
                  <w:rPr>
                    <w:rFonts w:ascii="Cambria Math" w:eastAsia="Calibri" w:hAnsi="Cambria Math"/>
                    <w:i/>
                    <w:sz w:val="24"/>
                    <w:szCs w:val="20"/>
                  </w:rPr>
                </m:ctrlPr>
              </m:sSubPr>
              <m:e>
                <m:r>
                  <w:rPr>
                    <w:rFonts w:ascii="Cambria Math" w:eastAsia="Calibri" w:hAnsi="Cambria Math"/>
                    <w:sz w:val="24"/>
                    <w:szCs w:val="20"/>
                  </w:rPr>
                  <m:t>S</m:t>
                </m:r>
              </m:e>
              <m:sub>
                <m:r>
                  <w:rPr>
                    <w:rFonts w:ascii="Cambria Math" w:eastAsia="Calibri" w:hAnsi="Cambria Math"/>
                    <w:sz w:val="24"/>
                    <w:szCs w:val="20"/>
                  </w:rPr>
                  <m:t>t</m:t>
                </m:r>
              </m:sub>
            </m:sSub>
          </m:sub>
        </m:sSub>
      </m:oMath>
      <w:r w:rsidRPr="00B50F1D">
        <w:rPr>
          <w:rFonts w:eastAsia="Times New Roman"/>
          <w:sz w:val="24"/>
          <w:szCs w:val="20"/>
        </w:rPr>
        <w:t xml:space="preserve">, (ii) the error variance </w:t>
      </w:r>
      <m:oMath>
        <m:sSubSup>
          <m:sSubSupPr>
            <m:ctrlPr>
              <w:rPr>
                <w:rFonts w:ascii="Cambria Math" w:eastAsia="Times New Roman" w:hAnsi="Cambria Math"/>
                <w:i/>
                <w:sz w:val="24"/>
                <w:szCs w:val="20"/>
              </w:rPr>
            </m:ctrlPr>
          </m:sSubSupPr>
          <m:e>
            <m:r>
              <w:rPr>
                <w:rFonts w:ascii="Cambria Math" w:eastAsia="Times New Roman" w:hAnsi="Cambria Math"/>
                <w:sz w:val="24"/>
                <w:szCs w:val="20"/>
              </w:rPr>
              <m:t>σ</m:t>
            </m:r>
          </m:e>
          <m:sub>
            <m:sSub>
              <m:sSubPr>
                <m:ctrlPr>
                  <w:rPr>
                    <w:rFonts w:ascii="Cambria Math" w:eastAsia="Times New Roman" w:hAnsi="Cambria Math"/>
                    <w:i/>
                    <w:sz w:val="24"/>
                    <w:szCs w:val="20"/>
                  </w:rPr>
                </m:ctrlPr>
              </m:sSubPr>
              <m:e>
                <m:r>
                  <w:rPr>
                    <w:rFonts w:ascii="Cambria Math" w:eastAsia="Times New Roman" w:hAnsi="Cambria Math"/>
                    <w:sz w:val="24"/>
                    <w:szCs w:val="20"/>
                  </w:rPr>
                  <m:t>S</m:t>
                </m:r>
              </m:e>
              <m:sub>
                <m:r>
                  <w:rPr>
                    <w:rFonts w:ascii="Cambria Math" w:eastAsia="Times New Roman" w:hAnsi="Cambria Math"/>
                    <w:sz w:val="24"/>
                    <w:szCs w:val="20"/>
                  </w:rPr>
                  <m:t>t</m:t>
                </m:r>
              </m:sub>
            </m:sSub>
          </m:sub>
          <m:sup>
            <m:r>
              <w:rPr>
                <w:rFonts w:ascii="Cambria Math" w:eastAsia="Times New Roman" w:hAnsi="Cambria Math"/>
                <w:sz w:val="24"/>
                <w:szCs w:val="20"/>
              </w:rPr>
              <m:t>2</m:t>
            </m:r>
          </m:sup>
        </m:sSubSup>
      </m:oMath>
      <w:r w:rsidRPr="00B50F1D">
        <w:rPr>
          <w:rFonts w:eastAsia="Times New Roman"/>
          <w:sz w:val="24"/>
          <w:szCs w:val="20"/>
        </w:rPr>
        <w:t xml:space="preserve"> where </w:t>
      </w:r>
      <m:oMath>
        <m:sSub>
          <m:sSubPr>
            <m:ctrlPr>
              <w:rPr>
                <w:rFonts w:ascii="Cambria Math" w:eastAsia="Times New Roman" w:hAnsi="Cambria Math"/>
                <w:i/>
                <w:sz w:val="24"/>
                <w:szCs w:val="20"/>
              </w:rPr>
            </m:ctrlPr>
          </m:sSubPr>
          <m:e>
            <m:r>
              <w:rPr>
                <w:rFonts w:ascii="Cambria Math" w:eastAsia="Times New Roman" w:hAnsi="Cambria Math"/>
                <w:sz w:val="24"/>
                <w:szCs w:val="20"/>
              </w:rPr>
              <m:t>ε</m:t>
            </m:r>
          </m:e>
          <m:sub>
            <m:r>
              <w:rPr>
                <w:rFonts w:ascii="Cambria Math" w:eastAsia="Times New Roman" w:hAnsi="Cambria Math"/>
                <w:sz w:val="24"/>
                <w:szCs w:val="20"/>
              </w:rPr>
              <m:t>t</m:t>
            </m:r>
          </m:sub>
        </m:sSub>
        <m:r>
          <w:rPr>
            <w:rFonts w:ascii="Cambria Math" w:eastAsia="Times New Roman" w:hAnsi="Cambria Math"/>
            <w:sz w:val="24"/>
            <w:szCs w:val="20"/>
          </w:rPr>
          <m:t>~N</m:t>
        </m:r>
        <m:d>
          <m:dPr>
            <m:ctrlPr>
              <w:rPr>
                <w:rFonts w:ascii="Cambria Math" w:eastAsia="Times New Roman" w:hAnsi="Cambria Math"/>
                <w:i/>
                <w:sz w:val="24"/>
                <w:szCs w:val="20"/>
              </w:rPr>
            </m:ctrlPr>
          </m:dPr>
          <m:e>
            <m:r>
              <w:rPr>
                <w:rFonts w:ascii="Cambria Math" w:eastAsia="Times New Roman" w:hAnsi="Cambria Math"/>
                <w:sz w:val="24"/>
                <w:szCs w:val="20"/>
              </w:rPr>
              <m:t>0,</m:t>
            </m:r>
            <m:sSubSup>
              <m:sSubSupPr>
                <m:ctrlPr>
                  <w:rPr>
                    <w:rFonts w:ascii="Cambria Math" w:eastAsia="Times New Roman" w:hAnsi="Cambria Math"/>
                    <w:i/>
                    <w:sz w:val="24"/>
                    <w:szCs w:val="20"/>
                  </w:rPr>
                </m:ctrlPr>
              </m:sSubSupPr>
              <m:e>
                <m:r>
                  <w:rPr>
                    <w:rFonts w:ascii="Cambria Math" w:eastAsia="Times New Roman" w:hAnsi="Cambria Math"/>
                    <w:sz w:val="24"/>
                    <w:szCs w:val="20"/>
                  </w:rPr>
                  <m:t>σ</m:t>
                </m:r>
              </m:e>
              <m:sub>
                <m:sSub>
                  <m:sSubPr>
                    <m:ctrlPr>
                      <w:rPr>
                        <w:rFonts w:ascii="Cambria Math" w:eastAsia="Times New Roman" w:hAnsi="Cambria Math"/>
                        <w:i/>
                        <w:sz w:val="24"/>
                        <w:szCs w:val="20"/>
                      </w:rPr>
                    </m:ctrlPr>
                  </m:sSubPr>
                  <m:e>
                    <m:r>
                      <w:rPr>
                        <w:rFonts w:ascii="Cambria Math" w:eastAsia="Times New Roman" w:hAnsi="Cambria Math"/>
                        <w:sz w:val="24"/>
                        <w:szCs w:val="20"/>
                      </w:rPr>
                      <m:t>S</m:t>
                    </m:r>
                  </m:e>
                  <m:sub>
                    <m:r>
                      <w:rPr>
                        <w:rFonts w:ascii="Cambria Math" w:eastAsia="Times New Roman" w:hAnsi="Cambria Math"/>
                        <w:sz w:val="24"/>
                        <w:szCs w:val="20"/>
                      </w:rPr>
                      <m:t>t</m:t>
                    </m:r>
                  </m:sub>
                </m:sSub>
              </m:sub>
              <m:sup>
                <m:r>
                  <w:rPr>
                    <w:rFonts w:ascii="Cambria Math" w:eastAsia="Times New Roman" w:hAnsi="Cambria Math"/>
                    <w:sz w:val="24"/>
                    <w:szCs w:val="20"/>
                  </w:rPr>
                  <m:t>2</m:t>
                </m:r>
              </m:sup>
            </m:sSubSup>
          </m:e>
        </m:d>
      </m:oMath>
      <w:r w:rsidRPr="00B50F1D">
        <w:rPr>
          <w:rFonts w:eastAsia="Times New Roman"/>
          <w:sz w:val="24"/>
          <w:szCs w:val="20"/>
        </w:rPr>
        <w:t xml:space="preserve">, (iii) the transition probabilities </w:t>
      </w:r>
      <m:oMath>
        <m:sSub>
          <m:sSubPr>
            <m:ctrlPr>
              <w:rPr>
                <w:rFonts w:ascii="Cambria Math" w:eastAsia="Times New Roman" w:hAnsi="Cambria Math"/>
                <w:i/>
                <w:sz w:val="24"/>
                <w:szCs w:val="20"/>
              </w:rPr>
            </m:ctrlPr>
          </m:sSubPr>
          <m:e>
            <m:r>
              <w:rPr>
                <w:rFonts w:ascii="Cambria Math" w:eastAsia="Times New Roman" w:hAnsi="Cambria Math"/>
                <w:sz w:val="24"/>
                <w:szCs w:val="20"/>
              </w:rPr>
              <m:t>p</m:t>
            </m:r>
          </m:e>
          <m:sub>
            <m:r>
              <w:rPr>
                <w:rFonts w:ascii="Cambria Math" w:eastAsia="Times New Roman" w:hAnsi="Cambria Math"/>
                <w:sz w:val="24"/>
                <w:szCs w:val="20"/>
              </w:rPr>
              <m:t>ji</m:t>
            </m:r>
          </m:sub>
        </m:sSub>
      </m:oMath>
      <w:r w:rsidRPr="00B50F1D">
        <w:rPr>
          <w:rFonts w:eastAsia="Times New Roman"/>
          <w:sz w:val="24"/>
          <w:szCs w:val="20"/>
        </w:rPr>
        <w:t xml:space="preserve"> in the transition matrix </w:t>
      </w:r>
      <m:oMath>
        <m:r>
          <w:rPr>
            <w:rFonts w:ascii="Cambria Math" w:eastAsia="Times New Roman" w:hAnsi="Cambria Math"/>
            <w:sz w:val="24"/>
            <w:szCs w:val="20"/>
          </w:rPr>
          <m:t>P</m:t>
        </m:r>
      </m:oMath>
      <w:r w:rsidRPr="00B50F1D">
        <w:rPr>
          <w:rFonts w:eastAsia="Times New Roman"/>
          <w:sz w:val="24"/>
          <w:szCs w:val="20"/>
        </w:rPr>
        <w:t xml:space="preserve">, and (iv) the latent regime time series </w:t>
      </w:r>
      <m:oMath>
        <m:r>
          <w:rPr>
            <w:rFonts w:ascii="Cambria Math" w:eastAsia="Times New Roman" w:hAnsi="Cambria Math"/>
            <w:sz w:val="24"/>
            <w:szCs w:val="20"/>
          </w:rPr>
          <m:t>S={</m:t>
        </m:r>
        <m:sSub>
          <m:sSubPr>
            <m:ctrlPr>
              <w:rPr>
                <w:rFonts w:ascii="Cambria Math" w:eastAsia="Times New Roman" w:hAnsi="Cambria Math"/>
                <w:i/>
                <w:sz w:val="24"/>
                <w:szCs w:val="20"/>
              </w:rPr>
            </m:ctrlPr>
          </m:sSubPr>
          <m:e>
            <m:r>
              <w:rPr>
                <w:rFonts w:ascii="Cambria Math" w:eastAsia="Times New Roman" w:hAnsi="Cambria Math"/>
                <w:sz w:val="24"/>
                <w:szCs w:val="20"/>
              </w:rPr>
              <m:t>S</m:t>
            </m:r>
          </m:e>
          <m:sub>
            <m:r>
              <w:rPr>
                <w:rFonts w:ascii="Cambria Math" w:eastAsia="Times New Roman" w:hAnsi="Cambria Math"/>
                <w:sz w:val="24"/>
                <w:szCs w:val="20"/>
              </w:rPr>
              <m:t>1</m:t>
            </m:r>
          </m:sub>
        </m:sSub>
        <m:r>
          <w:rPr>
            <w:rFonts w:ascii="Cambria Math" w:eastAsia="Times New Roman" w:hAnsi="Cambria Math"/>
            <w:sz w:val="24"/>
            <w:szCs w:val="20"/>
          </w:rPr>
          <m:t>,….,</m:t>
        </m:r>
        <m:sSub>
          <m:sSubPr>
            <m:ctrlPr>
              <w:rPr>
                <w:rFonts w:ascii="Cambria Math" w:eastAsia="Times New Roman" w:hAnsi="Cambria Math"/>
                <w:i/>
                <w:sz w:val="24"/>
                <w:szCs w:val="20"/>
              </w:rPr>
            </m:ctrlPr>
          </m:sSubPr>
          <m:e>
            <m:r>
              <w:rPr>
                <w:rFonts w:ascii="Cambria Math" w:eastAsia="Times New Roman" w:hAnsi="Cambria Math"/>
                <w:sz w:val="24"/>
                <w:szCs w:val="20"/>
              </w:rPr>
              <m:t>S</m:t>
            </m:r>
          </m:e>
          <m:sub>
            <m:r>
              <w:rPr>
                <w:rFonts w:ascii="Cambria Math" w:eastAsia="Times New Roman" w:hAnsi="Cambria Math"/>
                <w:sz w:val="24"/>
                <w:szCs w:val="20"/>
              </w:rPr>
              <m:t>T</m:t>
            </m:r>
          </m:sub>
        </m:sSub>
        <m:r>
          <w:rPr>
            <w:rFonts w:ascii="Cambria Math" w:eastAsia="Times New Roman" w:hAnsi="Cambria Math"/>
            <w:sz w:val="24"/>
            <w:szCs w:val="20"/>
          </w:rPr>
          <m:t>}</m:t>
        </m:r>
      </m:oMath>
      <w:r w:rsidRPr="00B50F1D">
        <w:rPr>
          <w:rFonts w:eastAsia="Times New Roman"/>
          <w:sz w:val="24"/>
          <w:szCs w:val="20"/>
        </w:rPr>
        <w:t xml:space="preserve">. In order to identify the regimes and to avoid label-switching across Gibbs sampling iterations, we impose that the mean vacancy rate parameter is larger in regime 3 than regime 2 and larger in regime 2 than regime 1 (i.e., </w:t>
      </w:r>
      <m:oMath>
        <m:sSub>
          <m:sSubPr>
            <m:ctrlPr>
              <w:rPr>
                <w:rFonts w:ascii="Cambria Math" w:eastAsia="Times New Roman" w:hAnsi="Cambria Math"/>
                <w:i/>
                <w:sz w:val="24"/>
                <w:szCs w:val="20"/>
              </w:rPr>
            </m:ctrlPr>
          </m:sSubPr>
          <m:e>
            <m:r>
              <w:rPr>
                <w:rFonts w:ascii="Cambria Math" w:eastAsia="Times New Roman" w:hAnsi="Cambria Math"/>
                <w:sz w:val="24"/>
                <w:szCs w:val="20"/>
              </w:rPr>
              <m:t>C</m:t>
            </m:r>
          </m:e>
          <m:sub>
            <m:r>
              <w:rPr>
                <w:rFonts w:ascii="Cambria Math" w:eastAsia="Times New Roman" w:hAnsi="Cambria Math"/>
                <w:sz w:val="24"/>
                <w:szCs w:val="20"/>
              </w:rPr>
              <m:t>1</m:t>
            </m:r>
          </m:sub>
        </m:sSub>
        <m:r>
          <w:rPr>
            <w:rFonts w:ascii="Cambria Math" w:eastAsia="Times New Roman" w:hAnsi="Cambria Math"/>
            <w:sz w:val="24"/>
            <w:szCs w:val="20"/>
          </w:rPr>
          <m:t>&lt;</m:t>
        </m:r>
        <m:sSub>
          <m:sSubPr>
            <m:ctrlPr>
              <w:rPr>
                <w:rFonts w:ascii="Cambria Math" w:eastAsia="Times New Roman" w:hAnsi="Cambria Math"/>
                <w:i/>
                <w:sz w:val="24"/>
                <w:szCs w:val="20"/>
              </w:rPr>
            </m:ctrlPr>
          </m:sSubPr>
          <m:e>
            <m:r>
              <w:rPr>
                <w:rFonts w:ascii="Cambria Math" w:eastAsia="Times New Roman" w:hAnsi="Cambria Math"/>
                <w:sz w:val="24"/>
                <w:szCs w:val="20"/>
              </w:rPr>
              <m:t>C</m:t>
            </m:r>
          </m:e>
          <m:sub>
            <m:r>
              <w:rPr>
                <w:rFonts w:ascii="Cambria Math" w:eastAsia="Times New Roman" w:hAnsi="Cambria Math"/>
                <w:sz w:val="24"/>
                <w:szCs w:val="20"/>
              </w:rPr>
              <m:t>2</m:t>
            </m:r>
          </m:sub>
        </m:sSub>
        <m:r>
          <w:rPr>
            <w:rFonts w:ascii="Cambria Math" w:eastAsia="Times New Roman" w:hAnsi="Cambria Math"/>
            <w:sz w:val="24"/>
            <w:szCs w:val="20"/>
          </w:rPr>
          <m:t>&lt;</m:t>
        </m:r>
        <m:sSub>
          <m:sSubPr>
            <m:ctrlPr>
              <w:rPr>
                <w:rFonts w:ascii="Cambria Math" w:eastAsia="Times New Roman" w:hAnsi="Cambria Math"/>
                <w:i/>
                <w:sz w:val="24"/>
                <w:szCs w:val="20"/>
              </w:rPr>
            </m:ctrlPr>
          </m:sSubPr>
          <m:e>
            <m:r>
              <w:rPr>
                <w:rFonts w:ascii="Cambria Math" w:eastAsia="Times New Roman" w:hAnsi="Cambria Math"/>
                <w:sz w:val="24"/>
                <w:szCs w:val="20"/>
              </w:rPr>
              <m:t>C</m:t>
            </m:r>
          </m:e>
          <m:sub>
            <m:r>
              <w:rPr>
                <w:rFonts w:ascii="Cambria Math" w:eastAsia="Times New Roman" w:hAnsi="Cambria Math"/>
                <w:sz w:val="24"/>
                <w:szCs w:val="20"/>
              </w:rPr>
              <m:t>3</m:t>
            </m:r>
          </m:sub>
        </m:sSub>
      </m:oMath>
      <w:r w:rsidRPr="00B50F1D">
        <w:rPr>
          <w:rFonts w:eastAsia="Times New Roman"/>
          <w:sz w:val="24"/>
          <w:szCs w:val="20"/>
        </w:rPr>
        <w:t xml:space="preserve">). Additionally to ensure stationarity, we reject draws of </w:t>
      </w:r>
      <m:oMath>
        <m:sSub>
          <m:sSubPr>
            <m:ctrlPr>
              <w:rPr>
                <w:rFonts w:ascii="Cambria Math" w:eastAsia="Times New Roman" w:hAnsi="Cambria Math"/>
                <w:i/>
                <w:sz w:val="24"/>
                <w:szCs w:val="20"/>
              </w:rPr>
            </m:ctrlPr>
          </m:sSubPr>
          <m:e>
            <m:r>
              <w:rPr>
                <w:rFonts w:ascii="Cambria Math" w:eastAsia="Times New Roman" w:hAnsi="Cambria Math"/>
                <w:sz w:val="24"/>
                <w:szCs w:val="20"/>
              </w:rPr>
              <m:t>a</m:t>
            </m:r>
          </m:e>
          <m:sub>
            <m:r>
              <w:rPr>
                <w:rFonts w:ascii="Cambria Math" w:eastAsia="Times New Roman" w:hAnsi="Cambria Math"/>
                <w:sz w:val="24"/>
                <w:szCs w:val="20"/>
              </w:rPr>
              <m:t>S_t</m:t>
            </m:r>
          </m:sub>
        </m:sSub>
      </m:oMath>
      <w:r w:rsidRPr="00B50F1D">
        <w:rPr>
          <w:rFonts w:eastAsia="Times New Roman"/>
          <w:sz w:val="24"/>
          <w:szCs w:val="20"/>
        </w:rPr>
        <w:t xml:space="preserve"> which imply a nonstationary process for </w:t>
      </w:r>
      <m:oMath>
        <m:r>
          <w:rPr>
            <w:rFonts w:ascii="Cambria Math" w:eastAsia="Times New Roman" w:hAnsi="Cambria Math"/>
            <w:sz w:val="24"/>
            <w:szCs w:val="20"/>
          </w:rPr>
          <m:t>V</m:t>
        </m:r>
      </m:oMath>
      <w:r w:rsidRPr="00B50F1D">
        <w:rPr>
          <w:rFonts w:eastAsia="Times New Roman"/>
          <w:sz w:val="24"/>
          <w:szCs w:val="20"/>
        </w:rPr>
        <w:t xml:space="preserve"> (i.e., each draw must satisfy </w:t>
      </w:r>
      <m:oMath>
        <m:d>
          <m:dPr>
            <m:begChr m:val="|"/>
            <m:endChr m:val="|"/>
            <m:ctrlPr>
              <w:rPr>
                <w:rFonts w:ascii="Cambria Math" w:eastAsia="Times New Roman" w:hAnsi="Cambria Math"/>
                <w:i/>
                <w:sz w:val="24"/>
                <w:szCs w:val="20"/>
              </w:rPr>
            </m:ctrlPr>
          </m:dPr>
          <m:e>
            <m:sSub>
              <m:sSubPr>
                <m:ctrlPr>
                  <w:rPr>
                    <w:rFonts w:ascii="Cambria Math" w:eastAsia="Times New Roman" w:hAnsi="Cambria Math"/>
                    <w:i/>
                    <w:sz w:val="24"/>
                    <w:szCs w:val="20"/>
                  </w:rPr>
                </m:ctrlPr>
              </m:sSubPr>
              <m:e>
                <m:r>
                  <w:rPr>
                    <w:rFonts w:ascii="Cambria Math" w:eastAsia="Times New Roman" w:hAnsi="Cambria Math"/>
                    <w:sz w:val="24"/>
                    <w:szCs w:val="20"/>
                  </w:rPr>
                  <m:t>a</m:t>
                </m:r>
              </m:e>
              <m:sub>
                <m:sSub>
                  <m:sSubPr>
                    <m:ctrlPr>
                      <w:rPr>
                        <w:rFonts w:ascii="Cambria Math" w:eastAsia="Times New Roman" w:hAnsi="Cambria Math"/>
                        <w:i/>
                        <w:sz w:val="24"/>
                        <w:szCs w:val="20"/>
                      </w:rPr>
                    </m:ctrlPr>
                  </m:sSubPr>
                  <m:e>
                    <m:r>
                      <w:rPr>
                        <w:rFonts w:ascii="Cambria Math" w:eastAsia="Times New Roman" w:hAnsi="Cambria Math"/>
                        <w:sz w:val="24"/>
                        <w:szCs w:val="20"/>
                      </w:rPr>
                      <m:t>S</m:t>
                    </m:r>
                  </m:e>
                  <m:sub>
                    <m:r>
                      <w:rPr>
                        <w:rFonts w:ascii="Cambria Math" w:eastAsia="Times New Roman" w:hAnsi="Cambria Math"/>
                        <w:sz w:val="24"/>
                        <w:szCs w:val="20"/>
                      </w:rPr>
                      <m:t>t</m:t>
                    </m:r>
                  </m:sub>
                </m:sSub>
              </m:sub>
            </m:sSub>
          </m:e>
        </m:d>
        <m:r>
          <w:rPr>
            <w:rFonts w:ascii="Cambria Math" w:eastAsia="Times New Roman" w:hAnsi="Cambria Math"/>
            <w:sz w:val="24"/>
            <w:szCs w:val="20"/>
          </w:rPr>
          <m:t>&lt;1</m:t>
        </m:r>
      </m:oMath>
      <w:r w:rsidRPr="00B50F1D">
        <w:rPr>
          <w:rFonts w:eastAsia="Times New Roman"/>
          <w:sz w:val="24"/>
          <w:szCs w:val="20"/>
        </w:rPr>
        <w:t xml:space="preserve">. We use standard priors and Gibbs sampling steps from the literature as outlined by Kim and Nelson (1999). </w:t>
      </w:r>
    </w:p>
    <w:p w14:paraId="4B2FE214" w14:textId="77777777" w:rsidR="00B50F1D" w:rsidRPr="00B50F1D" w:rsidRDefault="00B50F1D" w:rsidP="00B50F1D">
      <w:pPr>
        <w:spacing w:after="200" w:line="240" w:lineRule="auto"/>
        <w:rPr>
          <w:rFonts w:eastAsia="Calibri"/>
          <w:sz w:val="24"/>
          <w:szCs w:val="20"/>
        </w:rPr>
      </w:pPr>
      <w:r w:rsidRPr="00B50F1D">
        <w:rPr>
          <w:rFonts w:eastAsia="Times New Roman"/>
          <w:sz w:val="24"/>
          <w:szCs w:val="20"/>
        </w:rPr>
        <w:tab/>
        <w:t xml:space="preserve">For the multivariate model, there are again four distinct blocks: (i) the entire set of coefficients which we label the matrix </w:t>
      </w:r>
      <m:oMath>
        <m:sSub>
          <m:sSubPr>
            <m:ctrlPr>
              <w:rPr>
                <w:rFonts w:ascii="Cambria Math" w:eastAsia="Times New Roman" w:hAnsi="Cambria Math"/>
                <w:i/>
                <w:sz w:val="24"/>
                <w:szCs w:val="20"/>
              </w:rPr>
            </m:ctrlPr>
          </m:sSubPr>
          <m:e>
            <m:r>
              <w:rPr>
                <w:rFonts w:ascii="Cambria Math" w:eastAsia="Times New Roman" w:hAnsi="Cambria Math"/>
                <w:sz w:val="24"/>
                <w:szCs w:val="20"/>
              </w:rPr>
              <m:t>B</m:t>
            </m:r>
          </m:e>
          <m:sub>
            <m:sSub>
              <m:sSubPr>
                <m:ctrlPr>
                  <w:rPr>
                    <w:rFonts w:ascii="Cambria Math" w:eastAsia="Times New Roman" w:hAnsi="Cambria Math"/>
                    <w:i/>
                    <w:sz w:val="24"/>
                    <w:szCs w:val="20"/>
                  </w:rPr>
                </m:ctrlPr>
              </m:sSubPr>
              <m:e>
                <m:r>
                  <w:rPr>
                    <w:rFonts w:ascii="Cambria Math" w:eastAsia="Times New Roman" w:hAnsi="Cambria Math"/>
                    <w:sz w:val="24"/>
                    <w:szCs w:val="20"/>
                  </w:rPr>
                  <m:t>S</m:t>
                </m:r>
              </m:e>
              <m:sub>
                <m:r>
                  <w:rPr>
                    <w:rFonts w:ascii="Cambria Math" w:eastAsia="Times New Roman" w:hAnsi="Cambria Math"/>
                    <w:sz w:val="24"/>
                    <w:szCs w:val="20"/>
                  </w:rPr>
                  <m:t>t</m:t>
                </m:r>
              </m:sub>
            </m:sSub>
          </m:sub>
        </m:sSub>
      </m:oMath>
      <w:r w:rsidRPr="00B50F1D">
        <w:rPr>
          <w:rFonts w:eastAsia="Times New Roman"/>
          <w:sz w:val="24"/>
          <w:szCs w:val="20"/>
        </w:rPr>
        <w:t xml:space="preserve">, (ii) the variance-covariance matrix </w:t>
      </w:r>
      <m:oMath>
        <m:sSub>
          <m:sSubPr>
            <m:ctrlPr>
              <w:rPr>
                <w:rFonts w:ascii="Cambria Math" w:eastAsia="Times New Roman" w:hAnsi="Cambria Math"/>
                <w:i/>
                <w:sz w:val="24"/>
                <w:szCs w:val="20"/>
              </w:rPr>
            </m:ctrlPr>
          </m:sSubPr>
          <m:e>
            <m:r>
              <m:rPr>
                <m:sty m:val="p"/>
              </m:rPr>
              <w:rPr>
                <w:rFonts w:ascii="Cambria Math" w:eastAsia="Times New Roman" w:hAnsi="Cambria Math"/>
                <w:sz w:val="24"/>
                <w:szCs w:val="20"/>
              </w:rPr>
              <m:t>Σ</m:t>
            </m:r>
            <m:ctrlPr>
              <w:rPr>
                <w:rFonts w:ascii="Cambria Math" w:eastAsia="Times New Roman" w:hAnsi="Cambria Math"/>
                <w:sz w:val="24"/>
                <w:szCs w:val="20"/>
              </w:rPr>
            </m:ctrlPr>
          </m:e>
          <m:sub>
            <m:sSub>
              <m:sSubPr>
                <m:ctrlPr>
                  <w:rPr>
                    <w:rFonts w:ascii="Cambria Math" w:eastAsia="Times New Roman" w:hAnsi="Cambria Math"/>
                    <w:i/>
                    <w:sz w:val="24"/>
                    <w:szCs w:val="20"/>
                  </w:rPr>
                </m:ctrlPr>
              </m:sSubPr>
              <m:e>
                <m:r>
                  <w:rPr>
                    <w:rFonts w:ascii="Cambria Math" w:eastAsia="Times New Roman" w:hAnsi="Cambria Math"/>
                    <w:sz w:val="24"/>
                    <w:szCs w:val="20"/>
                  </w:rPr>
                  <m:t>S</m:t>
                </m:r>
              </m:e>
              <m:sub>
                <m:r>
                  <w:rPr>
                    <w:rFonts w:ascii="Cambria Math" w:eastAsia="Times New Roman" w:hAnsi="Cambria Math"/>
                    <w:sz w:val="24"/>
                    <w:szCs w:val="20"/>
                  </w:rPr>
                  <m:t>t</m:t>
                </m:r>
              </m:sub>
            </m:sSub>
          </m:sub>
        </m:sSub>
      </m:oMath>
      <w:r w:rsidRPr="00B50F1D">
        <w:rPr>
          <w:rFonts w:eastAsia="Times New Roman"/>
          <w:sz w:val="24"/>
          <w:szCs w:val="20"/>
        </w:rPr>
        <w:t xml:space="preserve"> of the error terms, (iii) the transition matrix </w:t>
      </w:r>
      <m:oMath>
        <m:r>
          <w:rPr>
            <w:rFonts w:ascii="Cambria Math" w:eastAsia="Times New Roman" w:hAnsi="Cambria Math"/>
            <w:sz w:val="24"/>
            <w:szCs w:val="20"/>
          </w:rPr>
          <m:t>P</m:t>
        </m:r>
      </m:oMath>
      <w:r w:rsidRPr="00B50F1D">
        <w:rPr>
          <w:rFonts w:eastAsia="Times New Roman"/>
          <w:sz w:val="24"/>
          <w:szCs w:val="20"/>
        </w:rPr>
        <w:t xml:space="preserve">, and (iv) the regime series </w:t>
      </w:r>
      <m:oMath>
        <m:r>
          <w:rPr>
            <w:rFonts w:ascii="Cambria Math" w:eastAsia="Times New Roman" w:hAnsi="Cambria Math"/>
            <w:sz w:val="24"/>
            <w:szCs w:val="20"/>
          </w:rPr>
          <m:t>S</m:t>
        </m:r>
      </m:oMath>
      <w:r w:rsidRPr="00B50F1D">
        <w:rPr>
          <w:rFonts w:eastAsia="Times New Roman"/>
          <w:sz w:val="24"/>
          <w:szCs w:val="20"/>
        </w:rPr>
        <w:t xml:space="preserve">. Similar to the univariate model, we redraw any draw of </w:t>
      </w:r>
      <m:oMath>
        <m:sSub>
          <m:sSubPr>
            <m:ctrlPr>
              <w:rPr>
                <w:rFonts w:ascii="Cambria Math" w:eastAsia="Times New Roman" w:hAnsi="Cambria Math"/>
                <w:i/>
                <w:sz w:val="24"/>
                <w:szCs w:val="20"/>
              </w:rPr>
            </m:ctrlPr>
          </m:sSubPr>
          <m:e>
            <m:r>
              <w:rPr>
                <w:rFonts w:ascii="Cambria Math" w:eastAsia="Times New Roman" w:hAnsi="Cambria Math"/>
                <w:sz w:val="24"/>
                <w:szCs w:val="20"/>
              </w:rPr>
              <m:t>B</m:t>
            </m:r>
          </m:e>
          <m:sub>
            <m:sSub>
              <m:sSubPr>
                <m:ctrlPr>
                  <w:rPr>
                    <w:rFonts w:ascii="Cambria Math" w:eastAsia="Times New Roman" w:hAnsi="Cambria Math"/>
                    <w:i/>
                    <w:sz w:val="24"/>
                    <w:szCs w:val="20"/>
                  </w:rPr>
                </m:ctrlPr>
              </m:sSubPr>
              <m:e>
                <m:r>
                  <w:rPr>
                    <w:rFonts w:ascii="Cambria Math" w:eastAsia="Times New Roman" w:hAnsi="Cambria Math"/>
                    <w:sz w:val="24"/>
                    <w:szCs w:val="20"/>
                  </w:rPr>
                  <m:t>S</m:t>
                </m:r>
              </m:e>
              <m:sub>
                <m:r>
                  <w:rPr>
                    <w:rFonts w:ascii="Cambria Math" w:eastAsia="Times New Roman" w:hAnsi="Cambria Math"/>
                    <w:sz w:val="24"/>
                    <w:szCs w:val="20"/>
                  </w:rPr>
                  <m:t>t</m:t>
                </m:r>
              </m:sub>
            </m:sSub>
          </m:sub>
        </m:sSub>
      </m:oMath>
      <w:r w:rsidRPr="00B50F1D">
        <w:rPr>
          <w:rFonts w:eastAsia="Times New Roman"/>
          <w:sz w:val="24"/>
          <w:szCs w:val="20"/>
        </w:rPr>
        <w:t xml:space="preserve"> for which the steady-state vacancy rate of the region of interest is not higher in regime 2 (again to avoid label-switching across iterations). We also reject any draw of </w:t>
      </w:r>
      <m:oMath>
        <m:sSub>
          <m:sSubPr>
            <m:ctrlPr>
              <w:rPr>
                <w:rFonts w:ascii="Cambria Math" w:eastAsia="Times New Roman" w:hAnsi="Cambria Math"/>
                <w:i/>
                <w:sz w:val="24"/>
                <w:szCs w:val="20"/>
              </w:rPr>
            </m:ctrlPr>
          </m:sSubPr>
          <m:e>
            <m:r>
              <w:rPr>
                <w:rFonts w:ascii="Cambria Math" w:eastAsia="Times New Roman" w:hAnsi="Cambria Math"/>
                <w:sz w:val="24"/>
                <w:szCs w:val="20"/>
              </w:rPr>
              <m:t>B</m:t>
            </m:r>
          </m:e>
          <m:sub>
            <m:sSub>
              <m:sSubPr>
                <m:ctrlPr>
                  <w:rPr>
                    <w:rFonts w:ascii="Cambria Math" w:eastAsia="Times New Roman" w:hAnsi="Cambria Math"/>
                    <w:i/>
                    <w:sz w:val="24"/>
                    <w:szCs w:val="20"/>
                  </w:rPr>
                </m:ctrlPr>
              </m:sSubPr>
              <m:e>
                <m:r>
                  <w:rPr>
                    <w:rFonts w:ascii="Cambria Math" w:eastAsia="Times New Roman" w:hAnsi="Cambria Math"/>
                    <w:sz w:val="24"/>
                    <w:szCs w:val="20"/>
                  </w:rPr>
                  <m:t>S</m:t>
                </m:r>
              </m:e>
              <m:sub>
                <m:r>
                  <w:rPr>
                    <w:rFonts w:ascii="Cambria Math" w:eastAsia="Times New Roman" w:hAnsi="Cambria Math"/>
                    <w:sz w:val="24"/>
                    <w:szCs w:val="20"/>
                  </w:rPr>
                  <m:t>t</m:t>
                </m:r>
              </m:sub>
            </m:sSub>
          </m:sub>
        </m:sSub>
      </m:oMath>
      <w:r w:rsidRPr="00B50F1D">
        <w:rPr>
          <w:rFonts w:eastAsia="Times New Roman"/>
          <w:sz w:val="24"/>
          <w:szCs w:val="20"/>
        </w:rPr>
        <w:t xml:space="preserve"> which violates stationarity. The priors and sampling steps are standard as outlined by Blake and Mumtaz (2017). The full set of priors and initial conditions are available from the authors upon request.</w:t>
      </w:r>
    </w:p>
    <w:p w14:paraId="0700F86E" w14:textId="77777777" w:rsidR="00B50F1D" w:rsidRPr="00B50F1D" w:rsidRDefault="00B50F1D" w:rsidP="00B50F1D">
      <w:pPr>
        <w:spacing w:after="200" w:line="240" w:lineRule="auto"/>
        <w:rPr>
          <w:rFonts w:eastAsia="Calibri"/>
          <w:i/>
          <w:sz w:val="24"/>
          <w:szCs w:val="20"/>
        </w:rPr>
      </w:pPr>
      <w:r w:rsidRPr="00B50F1D">
        <w:rPr>
          <w:rFonts w:eastAsia="Calibri"/>
          <w:i/>
          <w:sz w:val="24"/>
          <w:szCs w:val="20"/>
        </w:rPr>
        <w:t>Additional Results: Unconditional Generalized Impulse Responses</w:t>
      </w:r>
    </w:p>
    <w:p w14:paraId="4B473B4C" w14:textId="77777777" w:rsidR="00B50F1D" w:rsidRPr="00B50F1D" w:rsidRDefault="00B50F1D" w:rsidP="00B50F1D">
      <w:pPr>
        <w:spacing w:after="200" w:line="276" w:lineRule="auto"/>
        <w:ind w:firstLine="720"/>
        <w:rPr>
          <w:rFonts w:eastAsia="Times New Roman"/>
          <w:sz w:val="24"/>
          <w:szCs w:val="24"/>
        </w:rPr>
      </w:pPr>
      <w:r w:rsidRPr="00B50F1D">
        <w:rPr>
          <w:rFonts w:eastAsia="Calibri"/>
          <w:sz w:val="24"/>
          <w:szCs w:val="24"/>
        </w:rPr>
        <w:t xml:space="preserve">The main text only displays the impulse response functions for the two migration variables,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m:t>
            </m:r>
          </m:sub>
        </m:sSub>
      </m:oMath>
      <w:r w:rsidRPr="00B50F1D">
        <w:rPr>
          <w:rFonts w:eastAsia="Times New Roman"/>
          <w:sz w:val="24"/>
          <w:szCs w:val="24"/>
        </w:rPr>
        <w:t xml:space="preserve"> and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M</m:t>
            </m:r>
          </m:e>
          <m:sub>
            <m:r>
              <w:rPr>
                <w:rFonts w:ascii="Cambria Math" w:eastAsia="Times New Roman" w:hAnsi="Cambria Math"/>
                <w:sz w:val="24"/>
                <w:szCs w:val="24"/>
              </w:rPr>
              <m:t>j</m:t>
            </m:r>
          </m:sub>
        </m:sSub>
      </m:oMath>
      <w:r w:rsidRPr="00B50F1D">
        <w:rPr>
          <w:rFonts w:eastAsia="Times New Roman"/>
          <w:sz w:val="24"/>
          <w:szCs w:val="24"/>
        </w:rPr>
        <w:t>.  However, the spillovers of housing dynamics across regions could be captured by the response of one region’s vacancy rate to a shock in another region’s vacancy rate.  In what follows, we present the full set of generalized impulse responses for each region’s MS-VAR model and discuss only the vacancy rate dynamics between regions since the migration effects are condensed and discussed in the main text.</w:t>
      </w:r>
    </w:p>
    <w:p w14:paraId="06BABA50" w14:textId="17929C37" w:rsidR="00B50F1D" w:rsidRPr="00B50F1D" w:rsidRDefault="00B50F1D" w:rsidP="00B50F1D">
      <w:pPr>
        <w:spacing w:after="200" w:line="276" w:lineRule="auto"/>
        <w:ind w:firstLine="720"/>
        <w:rPr>
          <w:rFonts w:eastAsia="Times New Roman"/>
          <w:sz w:val="24"/>
          <w:szCs w:val="24"/>
        </w:rPr>
      </w:pPr>
      <w:r w:rsidRPr="00B50F1D">
        <w:rPr>
          <w:rFonts w:eastAsia="Calibri"/>
          <w:sz w:val="24"/>
          <w:szCs w:val="24"/>
        </w:rPr>
        <w:t xml:space="preserve">Figure </w:t>
      </w:r>
      <w:r w:rsidR="00ED0A7D">
        <w:rPr>
          <w:rFonts w:eastAsia="Calibri"/>
          <w:sz w:val="24"/>
          <w:szCs w:val="24"/>
        </w:rPr>
        <w:t>B</w:t>
      </w:r>
      <w:r w:rsidRPr="00B50F1D">
        <w:rPr>
          <w:rFonts w:eastAsia="Calibri"/>
          <w:sz w:val="24"/>
          <w:szCs w:val="24"/>
        </w:rPr>
        <w:t xml:space="preserve">1 displays the GIRF for the MS-VAR model applied to the South region.  The first panel of </w:t>
      </w:r>
      <w:r w:rsidR="00ED0A7D">
        <w:rPr>
          <w:rFonts w:eastAsia="Calibri"/>
          <w:sz w:val="24"/>
          <w:szCs w:val="24"/>
        </w:rPr>
        <w:t>F</w:t>
      </w:r>
      <w:r w:rsidRPr="00B50F1D">
        <w:rPr>
          <w:rFonts w:eastAsia="Calibri"/>
          <w:sz w:val="24"/>
          <w:szCs w:val="24"/>
        </w:rPr>
        <w:t xml:space="preserve">igure </w:t>
      </w:r>
      <w:r w:rsidR="00ED0A7D">
        <w:rPr>
          <w:rFonts w:eastAsia="Calibri"/>
          <w:sz w:val="24"/>
          <w:szCs w:val="24"/>
        </w:rPr>
        <w:t>B</w:t>
      </w:r>
      <w:r w:rsidRPr="00B50F1D">
        <w:rPr>
          <w:rFonts w:eastAsia="Calibri"/>
          <w:sz w:val="24"/>
          <w:szCs w:val="24"/>
        </w:rPr>
        <w:t xml:space="preserve">1 shows the response of the South vacancy rate across future horizons </w:t>
      </w:r>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S,t+h</m:t>
            </m:r>
          </m:sub>
        </m:sSub>
      </m:oMath>
      <w:r w:rsidRPr="00B50F1D">
        <w:rPr>
          <w:rFonts w:eastAsia="Times New Roman"/>
          <w:sz w:val="24"/>
          <w:szCs w:val="24"/>
        </w:rPr>
        <w:t xml:space="preserve"> </w:t>
      </w:r>
      <w:r w:rsidRPr="00B50F1D">
        <w:rPr>
          <w:rFonts w:eastAsia="Calibri"/>
          <w:sz w:val="24"/>
          <w:szCs w:val="24"/>
        </w:rPr>
        <w:t xml:space="preserve">to a one standard deviation shock to the South vacancy rate at time </w:t>
      </w:r>
      <m:oMath>
        <m:r>
          <w:rPr>
            <w:rFonts w:ascii="Cambria Math" w:eastAsia="Calibri" w:hAnsi="Cambria Math"/>
            <w:sz w:val="24"/>
            <w:szCs w:val="24"/>
          </w:rPr>
          <m:t>t=0</m:t>
        </m:r>
      </m:oMath>
      <w:r w:rsidRPr="00B50F1D">
        <w:rPr>
          <w:rFonts w:eastAsia="Times New Roman"/>
          <w:sz w:val="24"/>
          <w:szCs w:val="24"/>
        </w:rPr>
        <w:t xml:space="preserve">. The second </w:t>
      </w:r>
      <w:r w:rsidRPr="00B50F1D">
        <w:rPr>
          <w:rFonts w:eastAsia="Times New Roman"/>
          <w:sz w:val="24"/>
          <w:szCs w:val="24"/>
        </w:rPr>
        <w:lastRenderedPageBreak/>
        <w:t xml:space="preserve">panel of </w:t>
      </w:r>
      <w:r w:rsidR="00ED0A7D">
        <w:rPr>
          <w:rFonts w:eastAsia="Times New Roman"/>
          <w:sz w:val="24"/>
          <w:szCs w:val="24"/>
        </w:rPr>
        <w:t>F</w:t>
      </w:r>
      <w:r w:rsidRPr="00B50F1D">
        <w:rPr>
          <w:rFonts w:eastAsia="Times New Roman"/>
          <w:sz w:val="24"/>
          <w:szCs w:val="24"/>
        </w:rPr>
        <w:t xml:space="preserve">igure </w:t>
      </w:r>
      <w:r w:rsidR="00ED0A7D">
        <w:rPr>
          <w:rFonts w:eastAsia="Times New Roman"/>
          <w:sz w:val="24"/>
          <w:szCs w:val="24"/>
        </w:rPr>
        <w:t>B</w:t>
      </w:r>
      <w:r w:rsidRPr="00B50F1D">
        <w:rPr>
          <w:rFonts w:eastAsia="Times New Roman"/>
          <w:sz w:val="24"/>
          <w:szCs w:val="24"/>
        </w:rPr>
        <w:t xml:space="preserve">1 shows the response of the South vacancy rate </w:t>
      </w:r>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S,t+h</m:t>
            </m:r>
          </m:sub>
        </m:sSub>
      </m:oMath>
      <w:r w:rsidRPr="00B50F1D">
        <w:rPr>
          <w:rFonts w:eastAsia="Times New Roman"/>
          <w:sz w:val="24"/>
          <w:szCs w:val="24"/>
        </w:rPr>
        <w:t xml:space="preserve"> to a </w:t>
      </w:r>
      <w:r w:rsidRPr="00B50F1D">
        <w:rPr>
          <w:rFonts w:eastAsia="Calibri"/>
          <w:sz w:val="24"/>
          <w:szCs w:val="24"/>
        </w:rPr>
        <w:t xml:space="preserve">one standard deviation shock to the Northeast vacancy rate at time </w:t>
      </w:r>
      <m:oMath>
        <m:r>
          <w:rPr>
            <w:rFonts w:ascii="Cambria Math" w:eastAsia="Calibri" w:hAnsi="Cambria Math"/>
            <w:sz w:val="24"/>
            <w:szCs w:val="24"/>
          </w:rPr>
          <m:t>t=0</m:t>
        </m:r>
      </m:oMath>
      <w:r w:rsidRPr="00B50F1D">
        <w:rPr>
          <w:rFonts w:eastAsia="Times New Roman"/>
          <w:sz w:val="24"/>
          <w:szCs w:val="24"/>
        </w:rPr>
        <w:t xml:space="preserve">.  In a similar fashion, the remaining four panels display the dynamic response of the South vacancy rate to a one standard deviation shock to the remaining endogenous variables.  As expected, the South vacancy rate is positively affected by its own shock in a considerable way.  A shock to the Northeast vacancy rate puts downward pressure on the South vacancy rate after 8 quarters, whereas shocks to the Midwest or West vacancy rate both increase the South vacancy rate immediately.  </w:t>
      </w:r>
    </w:p>
    <w:p w14:paraId="448A5186" w14:textId="352F307B"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The corresponding GIRFs for the Northeast vacancy rate are presented in </w:t>
      </w:r>
      <w:r w:rsidR="00ED0A7D">
        <w:rPr>
          <w:rFonts w:eastAsia="Times New Roman"/>
          <w:sz w:val="24"/>
          <w:szCs w:val="24"/>
        </w:rPr>
        <w:t>F</w:t>
      </w:r>
      <w:r w:rsidRPr="00B50F1D">
        <w:rPr>
          <w:rFonts w:eastAsia="Times New Roman"/>
          <w:sz w:val="24"/>
          <w:szCs w:val="24"/>
        </w:rPr>
        <w:t xml:space="preserve">igure </w:t>
      </w:r>
      <w:r w:rsidR="00ED0A7D">
        <w:rPr>
          <w:rFonts w:eastAsia="Times New Roman"/>
          <w:sz w:val="24"/>
          <w:szCs w:val="24"/>
        </w:rPr>
        <w:t>B</w:t>
      </w:r>
      <w:r w:rsidRPr="00B50F1D">
        <w:rPr>
          <w:rFonts w:eastAsia="Times New Roman"/>
          <w:sz w:val="24"/>
          <w:szCs w:val="24"/>
        </w:rPr>
        <w:t xml:space="preserve">2.  The Northeast vacancy rate increase in response to a one standard deviation shock to the South, Northeast, Midwest, or (to a lesser extent) West vacancy rates.  </w:t>
      </w:r>
    </w:p>
    <w:p w14:paraId="09665FF1" w14:textId="01FE461D"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The responses of the Midwest vacancy rate presented in </w:t>
      </w:r>
      <w:r w:rsidR="00C44DA7">
        <w:rPr>
          <w:rFonts w:eastAsia="Times New Roman"/>
          <w:sz w:val="24"/>
          <w:szCs w:val="24"/>
        </w:rPr>
        <w:t>F</w:t>
      </w:r>
      <w:r w:rsidRPr="00B50F1D">
        <w:rPr>
          <w:rFonts w:eastAsia="Times New Roman"/>
          <w:sz w:val="24"/>
          <w:szCs w:val="24"/>
        </w:rPr>
        <w:t xml:space="preserve">igure </w:t>
      </w:r>
      <w:r w:rsidR="00ED0A7D">
        <w:rPr>
          <w:rFonts w:eastAsia="Times New Roman"/>
          <w:sz w:val="24"/>
          <w:szCs w:val="24"/>
        </w:rPr>
        <w:t>B</w:t>
      </w:r>
      <w:r w:rsidRPr="00B50F1D">
        <w:rPr>
          <w:rFonts w:eastAsia="Times New Roman"/>
          <w:sz w:val="24"/>
          <w:szCs w:val="24"/>
        </w:rPr>
        <w:t xml:space="preserve">3 are qualitatively </w:t>
      </w:r>
      <w:proofErr w:type="gramStart"/>
      <w:r w:rsidRPr="00B50F1D">
        <w:rPr>
          <w:rFonts w:eastAsia="Times New Roman"/>
          <w:sz w:val="24"/>
          <w:szCs w:val="24"/>
        </w:rPr>
        <w:t>similar to</w:t>
      </w:r>
      <w:proofErr w:type="gramEnd"/>
      <w:r w:rsidRPr="00B50F1D">
        <w:rPr>
          <w:rFonts w:eastAsia="Times New Roman"/>
          <w:sz w:val="24"/>
          <w:szCs w:val="24"/>
        </w:rPr>
        <w:t xml:space="preserve"> those for the South.  A positive shock to the South, Midwest, or West vacancy rate also increases the Midwest vacancy rate. Yet again, a shock to the Northeast vacancy rate decreases the Midwest vacancy rate.  </w:t>
      </w:r>
    </w:p>
    <w:p w14:paraId="377B675C" w14:textId="7EDD79CB"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Finally, </w:t>
      </w:r>
      <w:r w:rsidR="00C44DA7">
        <w:rPr>
          <w:rFonts w:eastAsia="Times New Roman"/>
          <w:sz w:val="24"/>
          <w:szCs w:val="24"/>
        </w:rPr>
        <w:t>F</w:t>
      </w:r>
      <w:r w:rsidRPr="00B50F1D">
        <w:rPr>
          <w:rFonts w:eastAsia="Times New Roman"/>
          <w:sz w:val="24"/>
          <w:szCs w:val="24"/>
        </w:rPr>
        <w:t xml:space="preserve">igure </w:t>
      </w:r>
      <w:r w:rsidR="00ED0A7D">
        <w:rPr>
          <w:rFonts w:eastAsia="Times New Roman"/>
          <w:sz w:val="24"/>
          <w:szCs w:val="24"/>
        </w:rPr>
        <w:t>B</w:t>
      </w:r>
      <w:r w:rsidRPr="00B50F1D">
        <w:rPr>
          <w:rFonts w:eastAsia="Times New Roman"/>
          <w:sz w:val="24"/>
          <w:szCs w:val="24"/>
        </w:rPr>
        <w:t>4 displays the responses of the West vacancy rate to the various shocks in the model.  The results for the West mostly match the findings for the South and Midwest.  The West vacancy rate responds positively to a shock to the South, Midwest, and West vacancy rates; but a shock to the Northeast vacancy rates drives the West vacancy rate down.</w:t>
      </w:r>
    </w:p>
    <w:p w14:paraId="143900DA" w14:textId="11964EBE" w:rsidR="00B50F1D" w:rsidRPr="00B50F1D" w:rsidRDefault="00B50F1D" w:rsidP="00B50F1D">
      <w:pPr>
        <w:spacing w:after="200" w:line="276" w:lineRule="auto"/>
        <w:ind w:firstLine="720"/>
        <w:rPr>
          <w:rFonts w:eastAsia="Calibri"/>
          <w:sz w:val="24"/>
          <w:szCs w:val="24"/>
        </w:rPr>
      </w:pPr>
      <w:r w:rsidRPr="00B50F1D">
        <w:rPr>
          <w:rFonts w:eastAsia="Times New Roman"/>
          <w:sz w:val="24"/>
          <w:szCs w:val="24"/>
        </w:rPr>
        <w:t>We summarize the results from the GIRFs in table A1.  A positive sign “+” indicates a significant positive response of the respective vacancy rate (columns) to each shock (row).  Conversely, a negative sign “–</w:t>
      </w:r>
      <w:proofErr w:type="gramStart"/>
      <w:r w:rsidR="0060702A">
        <w:rPr>
          <w:rFonts w:eastAsia="Times New Roman"/>
          <w:sz w:val="24"/>
          <w:szCs w:val="24"/>
        </w:rPr>
        <w:t>”</w:t>
      </w:r>
      <w:r w:rsidRPr="00B50F1D">
        <w:rPr>
          <w:rFonts w:eastAsia="Times New Roman"/>
          <w:sz w:val="24"/>
          <w:szCs w:val="24"/>
        </w:rPr>
        <w:t xml:space="preserve">  indicates</w:t>
      </w:r>
      <w:proofErr w:type="gramEnd"/>
      <w:r w:rsidRPr="00B50F1D">
        <w:rPr>
          <w:rFonts w:eastAsia="Times New Roman"/>
          <w:sz w:val="24"/>
          <w:szCs w:val="24"/>
        </w:rPr>
        <w:t xml:space="preserve"> a significant negative response and a “x” reflects no substantive relationship.  The table illustrates </w:t>
      </w:r>
      <w:proofErr w:type="gramStart"/>
      <w:r w:rsidRPr="00B50F1D">
        <w:rPr>
          <w:rFonts w:eastAsia="Times New Roman"/>
          <w:sz w:val="24"/>
          <w:szCs w:val="24"/>
        </w:rPr>
        <w:t>a number of</w:t>
      </w:r>
      <w:proofErr w:type="gramEnd"/>
      <w:r w:rsidRPr="00B50F1D">
        <w:rPr>
          <w:rFonts w:eastAsia="Times New Roman"/>
          <w:sz w:val="24"/>
          <w:szCs w:val="24"/>
        </w:rPr>
        <w:t xml:space="preserve"> two key takeaways.  First, the South, Midwest, and West all have a positive feedback to each other.  Second, a shock to the Northeast </w:t>
      </w:r>
      <w:proofErr w:type="gramStart"/>
      <w:r w:rsidRPr="00B50F1D">
        <w:rPr>
          <w:rFonts w:eastAsia="Times New Roman"/>
          <w:sz w:val="24"/>
          <w:szCs w:val="24"/>
        </w:rPr>
        <w:t>actually decreases</w:t>
      </w:r>
      <w:proofErr w:type="gramEnd"/>
      <w:r w:rsidRPr="00B50F1D">
        <w:rPr>
          <w:rFonts w:eastAsia="Times New Roman"/>
          <w:sz w:val="24"/>
          <w:szCs w:val="24"/>
        </w:rPr>
        <w:t xml:space="preserve"> all other regions vacancy rates besides its own.</w:t>
      </w:r>
    </w:p>
    <w:p w14:paraId="69E26929" w14:textId="77777777" w:rsidR="00B50F1D" w:rsidRPr="00B50F1D" w:rsidRDefault="00B50F1D" w:rsidP="00B50F1D">
      <w:pPr>
        <w:spacing w:after="200" w:line="240" w:lineRule="auto"/>
        <w:rPr>
          <w:rFonts w:eastAsia="Calibri"/>
          <w:i/>
          <w:sz w:val="24"/>
          <w:szCs w:val="20"/>
        </w:rPr>
      </w:pPr>
      <w:r w:rsidRPr="00B50F1D">
        <w:rPr>
          <w:rFonts w:eastAsia="Calibri"/>
          <w:i/>
          <w:sz w:val="24"/>
          <w:szCs w:val="20"/>
        </w:rPr>
        <w:t>Additional Results: State-Dependent Generalized Impulse Responses</w:t>
      </w:r>
    </w:p>
    <w:p w14:paraId="2DE92C0D" w14:textId="73DEA7B4"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Figure </w:t>
      </w:r>
      <w:r w:rsidR="00C44DA7">
        <w:rPr>
          <w:rFonts w:eastAsia="Calibri"/>
          <w:sz w:val="24"/>
          <w:szCs w:val="24"/>
        </w:rPr>
        <w:t>B</w:t>
      </w:r>
      <w:r w:rsidRPr="00B50F1D">
        <w:rPr>
          <w:rFonts w:eastAsia="Calibri"/>
          <w:sz w:val="24"/>
          <w:szCs w:val="24"/>
        </w:rPr>
        <w:t xml:space="preserve">5 shows the GIRF of the South vacancy rate to various shocks in the model conditional on the initial regime. For example, the blue line in the first panel of </w:t>
      </w:r>
      <w:r w:rsidR="00C44DA7">
        <w:rPr>
          <w:rFonts w:eastAsia="Calibri"/>
          <w:sz w:val="24"/>
          <w:szCs w:val="24"/>
        </w:rPr>
        <w:t>F</w:t>
      </w:r>
      <w:r w:rsidRPr="00B50F1D">
        <w:rPr>
          <w:rFonts w:eastAsia="Calibri"/>
          <w:sz w:val="24"/>
          <w:szCs w:val="24"/>
        </w:rPr>
        <w:t xml:space="preserve">igure </w:t>
      </w:r>
      <w:r w:rsidR="00C44DA7">
        <w:rPr>
          <w:rFonts w:eastAsia="Calibri"/>
          <w:sz w:val="24"/>
          <w:szCs w:val="24"/>
        </w:rPr>
        <w:t>B</w:t>
      </w:r>
      <w:r w:rsidRPr="00B50F1D">
        <w:rPr>
          <w:rFonts w:eastAsia="Calibri"/>
          <w:sz w:val="24"/>
          <w:szCs w:val="24"/>
        </w:rPr>
        <w:t xml:space="preserve">5 shows the response of the South vacancy rate to its own shock if the regime at time </w:t>
      </w:r>
      <m:oMath>
        <m:r>
          <w:rPr>
            <w:rFonts w:ascii="Cambria Math" w:eastAsia="Calibri" w:hAnsi="Cambria Math"/>
            <w:sz w:val="24"/>
            <w:szCs w:val="24"/>
          </w:rPr>
          <m:t>t=0</m:t>
        </m:r>
      </m:oMath>
      <w:r w:rsidRPr="00B50F1D">
        <w:rPr>
          <w:rFonts w:eastAsia="Times New Roman"/>
          <w:sz w:val="24"/>
          <w:szCs w:val="24"/>
        </w:rPr>
        <w:t xml:space="preserve"> in the relatively low vacancy regime.  In the same panel, the red line shows the response of the South vacancy rate to the same shock but if the regime at time </w:t>
      </w:r>
      <m:oMath>
        <m:r>
          <w:rPr>
            <w:rFonts w:ascii="Cambria Math" w:eastAsia="Times New Roman" w:hAnsi="Cambria Math"/>
            <w:sz w:val="24"/>
            <w:szCs w:val="24"/>
          </w:rPr>
          <m:t>t=0</m:t>
        </m:r>
      </m:oMath>
      <w:r w:rsidRPr="00B50F1D">
        <w:rPr>
          <w:rFonts w:eastAsia="Times New Roman"/>
          <w:sz w:val="24"/>
          <w:szCs w:val="24"/>
        </w:rPr>
        <w:t xml:space="preserve"> is the high vacancy regime.  In both regimes, the South vacancy rate responds positively but the effect is considerably more significant in the high vacancy regime.  The response of the South vacancy rate in a high vacancy regime to the other shocks qualitatively matches the unconditional GIRF presented in </w:t>
      </w:r>
      <w:r w:rsidR="00C44DA7">
        <w:rPr>
          <w:rFonts w:eastAsia="Times New Roman"/>
          <w:sz w:val="24"/>
          <w:szCs w:val="24"/>
        </w:rPr>
        <w:t>F</w:t>
      </w:r>
      <w:r w:rsidRPr="00B50F1D">
        <w:rPr>
          <w:rFonts w:eastAsia="Times New Roman"/>
          <w:sz w:val="24"/>
          <w:szCs w:val="24"/>
        </w:rPr>
        <w:t xml:space="preserve">igure </w:t>
      </w:r>
      <w:r w:rsidR="00C44DA7">
        <w:rPr>
          <w:rFonts w:eastAsia="Times New Roman"/>
          <w:sz w:val="24"/>
          <w:szCs w:val="24"/>
        </w:rPr>
        <w:t>B</w:t>
      </w:r>
      <w:r w:rsidRPr="00B50F1D">
        <w:rPr>
          <w:rFonts w:eastAsia="Times New Roman"/>
          <w:sz w:val="24"/>
          <w:szCs w:val="24"/>
        </w:rPr>
        <w:t xml:space="preserve">1.  However, in the low vacancy regime, the only significant effect on the South vacancy rate comes from its own shock.  This finding could imply that this time period was relatively isolating for the South and so the interregional effects are small, or it is possible that </w:t>
      </w:r>
      <w:r w:rsidRPr="00B50F1D">
        <w:rPr>
          <w:rFonts w:eastAsia="Times New Roman"/>
          <w:sz w:val="24"/>
          <w:szCs w:val="24"/>
        </w:rPr>
        <w:lastRenderedPageBreak/>
        <w:t>the response in the low regime is not well identified since there is only one period (the late 1970s) where the South is in in the low regime.</w:t>
      </w:r>
    </w:p>
    <w:p w14:paraId="654BC69D" w14:textId="57CFFA2D"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The state-dependent responses of the Northeast vacancy rate are presented in </w:t>
      </w:r>
      <w:r w:rsidR="00C44DA7">
        <w:rPr>
          <w:rFonts w:eastAsia="Calibri"/>
          <w:sz w:val="24"/>
          <w:szCs w:val="24"/>
        </w:rPr>
        <w:t>F</w:t>
      </w:r>
      <w:r w:rsidRPr="00B50F1D">
        <w:rPr>
          <w:rFonts w:eastAsia="Calibri"/>
          <w:sz w:val="24"/>
          <w:szCs w:val="24"/>
        </w:rPr>
        <w:t xml:space="preserve">igure </w:t>
      </w:r>
      <w:r w:rsidR="00C44DA7">
        <w:rPr>
          <w:rFonts w:eastAsia="Calibri"/>
          <w:sz w:val="24"/>
          <w:szCs w:val="24"/>
        </w:rPr>
        <w:t>B</w:t>
      </w:r>
      <w:r w:rsidRPr="00B50F1D">
        <w:rPr>
          <w:rFonts w:eastAsia="Calibri"/>
          <w:sz w:val="24"/>
          <w:szCs w:val="24"/>
        </w:rPr>
        <w:t xml:space="preserve">6.  The Northeast vacancy rate responds qualitatively the same across the two regimes and six different shocks.  The notable exception is that the effect of an increase in the West vacancy rate is only significant in the high vacancy regime and not the low vacancy regime.  Responses to the other shocks mainly differ in timing of significance but the shape is consistent across regimes. </w:t>
      </w:r>
    </w:p>
    <w:p w14:paraId="270F5159" w14:textId="6F406E1C"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The Midwest vacancy rate responses across the two regimes are shown in </w:t>
      </w:r>
      <w:r w:rsidR="00C44DA7">
        <w:rPr>
          <w:rFonts w:eastAsia="Calibri"/>
          <w:sz w:val="24"/>
          <w:szCs w:val="24"/>
        </w:rPr>
        <w:t>F</w:t>
      </w:r>
      <w:r w:rsidRPr="00B50F1D">
        <w:rPr>
          <w:rFonts w:eastAsia="Calibri"/>
          <w:sz w:val="24"/>
          <w:szCs w:val="24"/>
        </w:rPr>
        <w:t xml:space="preserve">igure </w:t>
      </w:r>
      <w:r w:rsidR="00C44DA7">
        <w:rPr>
          <w:rFonts w:eastAsia="Calibri"/>
          <w:sz w:val="24"/>
          <w:szCs w:val="24"/>
        </w:rPr>
        <w:t>B</w:t>
      </w:r>
      <w:r w:rsidRPr="00B50F1D">
        <w:rPr>
          <w:rFonts w:eastAsia="Calibri"/>
          <w:sz w:val="24"/>
          <w:szCs w:val="24"/>
        </w:rPr>
        <w:t xml:space="preserve">7.  </w:t>
      </w:r>
      <w:proofErr w:type="gramStart"/>
      <w:r w:rsidRPr="00B50F1D">
        <w:rPr>
          <w:rFonts w:eastAsia="Calibri"/>
          <w:sz w:val="24"/>
          <w:szCs w:val="24"/>
        </w:rPr>
        <w:t>Similar to</w:t>
      </w:r>
      <w:proofErr w:type="gramEnd"/>
      <w:r w:rsidRPr="00B50F1D">
        <w:rPr>
          <w:rFonts w:eastAsia="Calibri"/>
          <w:sz w:val="24"/>
          <w:szCs w:val="24"/>
        </w:rPr>
        <w:t xml:space="preserve"> the Northeast, the results for each regime for the Midwest match the unconditional GIRF results presented in </w:t>
      </w:r>
      <w:r w:rsidR="00C44DA7">
        <w:rPr>
          <w:rFonts w:eastAsia="Calibri"/>
          <w:sz w:val="24"/>
          <w:szCs w:val="24"/>
        </w:rPr>
        <w:t>F</w:t>
      </w:r>
      <w:r w:rsidRPr="00B50F1D">
        <w:rPr>
          <w:rFonts w:eastAsia="Calibri"/>
          <w:sz w:val="24"/>
          <w:szCs w:val="24"/>
        </w:rPr>
        <w:t xml:space="preserve">igure </w:t>
      </w:r>
      <w:r w:rsidR="00C44DA7">
        <w:rPr>
          <w:rFonts w:eastAsia="Calibri"/>
          <w:sz w:val="24"/>
          <w:szCs w:val="24"/>
        </w:rPr>
        <w:t>B</w:t>
      </w:r>
      <w:r w:rsidRPr="00B50F1D">
        <w:rPr>
          <w:rFonts w:eastAsia="Calibri"/>
          <w:sz w:val="24"/>
          <w:szCs w:val="24"/>
        </w:rPr>
        <w:t>3.  The primary difference is that the response of the Midwest vacancy rate is significantly positive to the number of households outside the Midwest that would like to move there in the high vacancy regime, but the effect is insignificant in the low regime.</w:t>
      </w:r>
    </w:p>
    <w:p w14:paraId="11B094C8" w14:textId="7AF7582B"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Lastly, </w:t>
      </w:r>
      <w:r w:rsidR="00C44DA7">
        <w:rPr>
          <w:rFonts w:eastAsia="Calibri"/>
          <w:sz w:val="24"/>
          <w:szCs w:val="24"/>
        </w:rPr>
        <w:t>F</w:t>
      </w:r>
      <w:r w:rsidRPr="00B50F1D">
        <w:rPr>
          <w:rFonts w:eastAsia="Calibri"/>
          <w:sz w:val="24"/>
          <w:szCs w:val="24"/>
        </w:rPr>
        <w:t xml:space="preserve">igure </w:t>
      </w:r>
      <w:r w:rsidR="00C44DA7">
        <w:rPr>
          <w:rFonts w:eastAsia="Calibri"/>
          <w:sz w:val="24"/>
          <w:szCs w:val="24"/>
        </w:rPr>
        <w:t>B</w:t>
      </w:r>
      <w:r w:rsidRPr="00B50F1D">
        <w:rPr>
          <w:rFonts w:eastAsia="Calibri"/>
          <w:sz w:val="24"/>
          <w:szCs w:val="24"/>
        </w:rPr>
        <w:t xml:space="preserve">8 displays the </w:t>
      </w:r>
      <w:proofErr w:type="gramStart"/>
      <w:r w:rsidRPr="00B50F1D">
        <w:rPr>
          <w:rFonts w:eastAsia="Calibri"/>
          <w:sz w:val="24"/>
          <w:szCs w:val="24"/>
        </w:rPr>
        <w:t>state-dependent</w:t>
      </w:r>
      <w:proofErr w:type="gramEnd"/>
      <w:r w:rsidRPr="00B50F1D">
        <w:rPr>
          <w:rFonts w:eastAsia="Calibri"/>
          <w:sz w:val="24"/>
          <w:szCs w:val="24"/>
        </w:rPr>
        <w:t xml:space="preserve"> GIRFs of the West vacancy rate to the six shocks.  As mentioned in the main text, the responses are virtually identical across regimes, possibly because of the estimated short durations of the low vacancy regime for the West.</w:t>
      </w:r>
    </w:p>
    <w:p w14:paraId="3E488124" w14:textId="77777777"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In summary, we find that the interregional effects of migration are broadly similar for three of the four regions across the two regimes.  </w:t>
      </w:r>
      <w:proofErr w:type="gramStart"/>
      <w:r w:rsidRPr="00B50F1D">
        <w:rPr>
          <w:rFonts w:eastAsia="Calibri"/>
          <w:sz w:val="24"/>
          <w:szCs w:val="24"/>
        </w:rPr>
        <w:t>Similar to</w:t>
      </w:r>
      <w:proofErr w:type="gramEnd"/>
      <w:r w:rsidRPr="00B50F1D">
        <w:rPr>
          <w:rFonts w:eastAsia="Calibri"/>
          <w:sz w:val="24"/>
          <w:szCs w:val="24"/>
        </w:rPr>
        <w:t xml:space="preserve"> the unconditional GIRFs presented in the previous section, there tends to be a high degree of spillovers for these three regions regardless of whether a given region was in a low or high vacancy regime.  However, the South briefly experienced some insulation from these spillover effects in the late 1970s.  In the more recent past, all four regions tend to be connected to each other in a positive fashion except for the Northeast which tends to cause other regions’ vacancy rates to fall.</w:t>
      </w:r>
    </w:p>
    <w:p w14:paraId="7E8F1CAA" w14:textId="77777777" w:rsidR="00B50F1D" w:rsidRPr="00B50F1D" w:rsidRDefault="00B50F1D" w:rsidP="00B50F1D">
      <w:pPr>
        <w:spacing w:after="200" w:line="240" w:lineRule="auto"/>
        <w:rPr>
          <w:rFonts w:eastAsia="Calibri"/>
          <w:sz w:val="24"/>
          <w:szCs w:val="20"/>
        </w:rPr>
      </w:pPr>
    </w:p>
    <w:p w14:paraId="534B96C0" w14:textId="7DFE5A29" w:rsidR="00B50F1D" w:rsidRPr="00B50F1D" w:rsidRDefault="00B50F1D" w:rsidP="00B50F1D">
      <w:pPr>
        <w:jc w:val="center"/>
        <w:rPr>
          <w:rFonts w:eastAsia="Calibri"/>
          <w:sz w:val="24"/>
          <w:szCs w:val="24"/>
        </w:rPr>
      </w:pPr>
      <w:r w:rsidRPr="00B50F1D">
        <w:rPr>
          <w:rFonts w:eastAsia="Calibri"/>
          <w:sz w:val="24"/>
          <w:szCs w:val="24"/>
        </w:rPr>
        <w:br w:type="page"/>
      </w:r>
      <w:r w:rsidRPr="00B50F1D">
        <w:rPr>
          <w:rFonts w:eastAsia="Calibri"/>
          <w:sz w:val="24"/>
          <w:szCs w:val="24"/>
        </w:rPr>
        <w:lastRenderedPageBreak/>
        <w:t xml:space="preserve">Table </w:t>
      </w:r>
      <w:r w:rsidR="00555C49">
        <w:rPr>
          <w:rFonts w:eastAsia="Calibri"/>
          <w:sz w:val="24"/>
          <w:szCs w:val="24"/>
        </w:rPr>
        <w:t>B</w:t>
      </w:r>
      <w:r w:rsidRPr="00B50F1D">
        <w:rPr>
          <w:rFonts w:eastAsia="Calibri"/>
          <w:sz w:val="24"/>
          <w:szCs w:val="24"/>
        </w:rPr>
        <w:t>1</w:t>
      </w:r>
    </w:p>
    <w:p w14:paraId="15E31A4C" w14:textId="77777777" w:rsidR="00B50F1D" w:rsidRPr="00B50F1D" w:rsidRDefault="00B50F1D" w:rsidP="00B50F1D">
      <w:pPr>
        <w:jc w:val="center"/>
        <w:rPr>
          <w:rFonts w:eastAsia="Calibri"/>
          <w:sz w:val="24"/>
          <w:szCs w:val="24"/>
        </w:rPr>
      </w:pPr>
      <w:r w:rsidRPr="00B50F1D">
        <w:rPr>
          <w:rFonts w:eastAsia="Calibri"/>
          <w:sz w:val="24"/>
          <w:szCs w:val="24"/>
        </w:rPr>
        <w:t>Summary of Interregional Effects from MS-VAR Model</w:t>
      </w:r>
    </w:p>
    <w:tbl>
      <w:tblPr>
        <w:tblStyle w:val="TableGrid1"/>
        <w:tblW w:w="0" w:type="auto"/>
        <w:tblInd w:w="0" w:type="dxa"/>
        <w:tblLook w:val="04A0" w:firstRow="1" w:lastRow="0" w:firstColumn="1" w:lastColumn="0" w:noHBand="0" w:noVBand="1"/>
      </w:tblPr>
      <w:tblGrid>
        <w:gridCol w:w="1558"/>
        <w:gridCol w:w="1558"/>
        <w:gridCol w:w="1558"/>
        <w:gridCol w:w="1558"/>
        <w:gridCol w:w="1559"/>
        <w:gridCol w:w="1559"/>
      </w:tblGrid>
      <w:tr w:rsidR="00B50F1D" w:rsidRPr="00B50F1D" w14:paraId="1911FEA1" w14:textId="77777777" w:rsidTr="005D3E3E">
        <w:tc>
          <w:tcPr>
            <w:tcW w:w="1558" w:type="dxa"/>
          </w:tcPr>
          <w:p w14:paraId="44748138" w14:textId="77777777" w:rsidR="00B50F1D" w:rsidRPr="00B50F1D" w:rsidRDefault="00B50F1D" w:rsidP="00B50F1D">
            <w:pPr>
              <w:jc w:val="center"/>
              <w:rPr>
                <w:rFonts w:eastAsia="Calibri"/>
                <w:sz w:val="24"/>
                <w:szCs w:val="24"/>
              </w:rPr>
            </w:pPr>
          </w:p>
        </w:tc>
        <w:tc>
          <w:tcPr>
            <w:tcW w:w="7792" w:type="dxa"/>
            <w:gridSpan w:val="5"/>
          </w:tcPr>
          <w:p w14:paraId="448E103E" w14:textId="77777777" w:rsidR="00B50F1D" w:rsidRPr="00B50F1D" w:rsidRDefault="00B50F1D" w:rsidP="00B50F1D">
            <w:pPr>
              <w:jc w:val="center"/>
              <w:rPr>
                <w:rFonts w:eastAsia="Calibri"/>
                <w:sz w:val="24"/>
                <w:szCs w:val="24"/>
              </w:rPr>
            </w:pPr>
            <w:r w:rsidRPr="00B50F1D">
              <w:rPr>
                <w:rFonts w:eastAsia="Calibri"/>
                <w:sz w:val="24"/>
                <w:szCs w:val="24"/>
              </w:rPr>
              <w:t>Response Variable</w:t>
            </w:r>
          </w:p>
        </w:tc>
      </w:tr>
      <w:tr w:rsidR="00B50F1D" w:rsidRPr="00B50F1D" w14:paraId="3501C6B4" w14:textId="77777777" w:rsidTr="005D3E3E">
        <w:tc>
          <w:tcPr>
            <w:tcW w:w="1558" w:type="dxa"/>
          </w:tcPr>
          <w:p w14:paraId="626233BD" w14:textId="77777777" w:rsidR="00B50F1D" w:rsidRPr="00B50F1D" w:rsidRDefault="00B50F1D" w:rsidP="00B50F1D">
            <w:pPr>
              <w:jc w:val="center"/>
              <w:rPr>
                <w:rFonts w:eastAsia="Calibri"/>
                <w:sz w:val="24"/>
                <w:szCs w:val="24"/>
              </w:rPr>
            </w:pPr>
          </w:p>
        </w:tc>
        <w:tc>
          <w:tcPr>
            <w:tcW w:w="1558" w:type="dxa"/>
          </w:tcPr>
          <w:p w14:paraId="6C67BDE9" w14:textId="77777777" w:rsidR="00B50F1D" w:rsidRPr="00B50F1D" w:rsidRDefault="00B50F1D" w:rsidP="00B50F1D">
            <w:pPr>
              <w:jc w:val="center"/>
              <w:rPr>
                <w:rFonts w:eastAsia="Calibri"/>
                <w:sz w:val="24"/>
                <w:szCs w:val="24"/>
              </w:rPr>
            </w:pPr>
          </w:p>
        </w:tc>
        <w:tc>
          <w:tcPr>
            <w:tcW w:w="1558" w:type="dxa"/>
          </w:tcPr>
          <w:p w14:paraId="62ED9532" w14:textId="77777777" w:rsidR="00B50F1D" w:rsidRPr="00B50F1D" w:rsidRDefault="00E96C7A" w:rsidP="00B50F1D">
            <w:pPr>
              <w:jc w:val="center"/>
              <w:rPr>
                <w:rFonts w:eastAsia="Calibri"/>
                <w:sz w:val="24"/>
                <w:szCs w:val="24"/>
              </w:rPr>
            </w:pPr>
            <m:oMathPara>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S</m:t>
                    </m:r>
                  </m:sub>
                </m:sSub>
              </m:oMath>
            </m:oMathPara>
          </w:p>
        </w:tc>
        <w:tc>
          <w:tcPr>
            <w:tcW w:w="1558" w:type="dxa"/>
          </w:tcPr>
          <w:p w14:paraId="4F817B40" w14:textId="77777777" w:rsidR="00B50F1D" w:rsidRPr="00B50F1D" w:rsidRDefault="00E96C7A" w:rsidP="00B50F1D">
            <w:pPr>
              <w:jc w:val="center"/>
              <w:rPr>
                <w:rFonts w:eastAsia="Calibri"/>
                <w:sz w:val="24"/>
                <w:szCs w:val="24"/>
              </w:rPr>
            </w:pPr>
            <m:oMathPara>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NE</m:t>
                    </m:r>
                  </m:sub>
                </m:sSub>
              </m:oMath>
            </m:oMathPara>
          </w:p>
        </w:tc>
        <w:tc>
          <w:tcPr>
            <w:tcW w:w="1559" w:type="dxa"/>
          </w:tcPr>
          <w:p w14:paraId="35622928" w14:textId="77777777" w:rsidR="00B50F1D" w:rsidRPr="00B50F1D" w:rsidRDefault="00E96C7A" w:rsidP="00B50F1D">
            <w:pPr>
              <w:jc w:val="center"/>
              <w:rPr>
                <w:rFonts w:eastAsia="Calibri"/>
                <w:sz w:val="24"/>
                <w:szCs w:val="24"/>
              </w:rPr>
            </w:pPr>
            <m:oMathPara>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M</m:t>
                    </m:r>
                  </m:sub>
                </m:sSub>
              </m:oMath>
            </m:oMathPara>
          </w:p>
        </w:tc>
        <w:tc>
          <w:tcPr>
            <w:tcW w:w="1559" w:type="dxa"/>
          </w:tcPr>
          <w:p w14:paraId="11D1B462" w14:textId="77777777" w:rsidR="00B50F1D" w:rsidRPr="00B50F1D" w:rsidRDefault="00E96C7A" w:rsidP="00B50F1D">
            <w:pPr>
              <w:jc w:val="center"/>
              <w:rPr>
                <w:rFonts w:eastAsia="Calibri"/>
                <w:sz w:val="24"/>
                <w:szCs w:val="24"/>
              </w:rPr>
            </w:pPr>
            <m:oMathPara>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W</m:t>
                    </m:r>
                  </m:sub>
                </m:sSub>
              </m:oMath>
            </m:oMathPara>
          </w:p>
        </w:tc>
      </w:tr>
      <w:tr w:rsidR="00B50F1D" w:rsidRPr="00B50F1D" w14:paraId="06364D6F" w14:textId="77777777" w:rsidTr="005D3E3E">
        <w:tc>
          <w:tcPr>
            <w:tcW w:w="1558" w:type="dxa"/>
            <w:vMerge w:val="restart"/>
            <w:vAlign w:val="center"/>
          </w:tcPr>
          <w:p w14:paraId="2030BC96" w14:textId="77777777" w:rsidR="00B50F1D" w:rsidRPr="00B50F1D" w:rsidRDefault="00B50F1D" w:rsidP="00B50F1D">
            <w:pPr>
              <w:jc w:val="center"/>
              <w:rPr>
                <w:rFonts w:eastAsia="Calibri"/>
                <w:sz w:val="24"/>
                <w:szCs w:val="24"/>
              </w:rPr>
            </w:pPr>
            <w:r w:rsidRPr="00B50F1D">
              <w:rPr>
                <w:rFonts w:eastAsia="Calibri"/>
                <w:sz w:val="24"/>
                <w:szCs w:val="24"/>
              </w:rPr>
              <w:t>Shocked Variable</w:t>
            </w:r>
          </w:p>
        </w:tc>
        <w:tc>
          <w:tcPr>
            <w:tcW w:w="1558" w:type="dxa"/>
          </w:tcPr>
          <w:p w14:paraId="08BF8E21" w14:textId="77777777" w:rsidR="00B50F1D" w:rsidRPr="00B50F1D" w:rsidRDefault="00E96C7A" w:rsidP="00B50F1D">
            <w:pPr>
              <w:jc w:val="center"/>
              <w:rPr>
                <w:rFonts w:eastAsia="Calibri"/>
                <w:sz w:val="24"/>
                <w:szCs w:val="24"/>
              </w:rPr>
            </w:pPr>
            <m:oMathPara>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S</m:t>
                    </m:r>
                  </m:sub>
                </m:sSub>
              </m:oMath>
            </m:oMathPara>
          </w:p>
        </w:tc>
        <w:tc>
          <w:tcPr>
            <w:tcW w:w="1558" w:type="dxa"/>
          </w:tcPr>
          <w:p w14:paraId="37BC2DFA" w14:textId="77777777" w:rsidR="00B50F1D" w:rsidRPr="00B50F1D" w:rsidRDefault="00B50F1D" w:rsidP="00B50F1D">
            <w:pPr>
              <w:jc w:val="center"/>
              <w:rPr>
                <w:rFonts w:eastAsia="Calibri"/>
                <w:sz w:val="24"/>
                <w:szCs w:val="24"/>
              </w:rPr>
            </w:pPr>
            <w:r w:rsidRPr="00B50F1D">
              <w:rPr>
                <w:rFonts w:eastAsia="Calibri"/>
                <w:sz w:val="24"/>
                <w:szCs w:val="24"/>
              </w:rPr>
              <w:t>+</w:t>
            </w:r>
          </w:p>
        </w:tc>
        <w:tc>
          <w:tcPr>
            <w:tcW w:w="1558" w:type="dxa"/>
          </w:tcPr>
          <w:p w14:paraId="493CAD2E" w14:textId="77777777" w:rsidR="00B50F1D" w:rsidRPr="00B50F1D" w:rsidRDefault="00B50F1D" w:rsidP="00B50F1D">
            <w:pPr>
              <w:jc w:val="center"/>
              <w:rPr>
                <w:rFonts w:eastAsia="Calibri"/>
                <w:sz w:val="24"/>
                <w:szCs w:val="24"/>
              </w:rPr>
            </w:pPr>
            <w:r w:rsidRPr="00B50F1D">
              <w:rPr>
                <w:rFonts w:eastAsia="Calibri"/>
                <w:sz w:val="24"/>
                <w:szCs w:val="24"/>
              </w:rPr>
              <w:t>+</w:t>
            </w:r>
          </w:p>
        </w:tc>
        <w:tc>
          <w:tcPr>
            <w:tcW w:w="1559" w:type="dxa"/>
          </w:tcPr>
          <w:p w14:paraId="37CCA3FD" w14:textId="77777777" w:rsidR="00B50F1D" w:rsidRPr="00B50F1D" w:rsidRDefault="00B50F1D" w:rsidP="00B50F1D">
            <w:pPr>
              <w:jc w:val="center"/>
              <w:rPr>
                <w:rFonts w:eastAsia="Calibri"/>
                <w:sz w:val="24"/>
                <w:szCs w:val="24"/>
              </w:rPr>
            </w:pPr>
            <w:r w:rsidRPr="00B50F1D">
              <w:rPr>
                <w:rFonts w:eastAsia="Calibri"/>
                <w:sz w:val="24"/>
                <w:szCs w:val="24"/>
              </w:rPr>
              <w:t>+</w:t>
            </w:r>
          </w:p>
        </w:tc>
        <w:tc>
          <w:tcPr>
            <w:tcW w:w="1559" w:type="dxa"/>
          </w:tcPr>
          <w:p w14:paraId="40BBF86D" w14:textId="77777777" w:rsidR="00B50F1D" w:rsidRPr="00B50F1D" w:rsidRDefault="00B50F1D" w:rsidP="00B50F1D">
            <w:pPr>
              <w:jc w:val="center"/>
              <w:rPr>
                <w:rFonts w:eastAsia="Calibri"/>
                <w:sz w:val="24"/>
                <w:szCs w:val="24"/>
              </w:rPr>
            </w:pPr>
            <w:r w:rsidRPr="00B50F1D">
              <w:rPr>
                <w:rFonts w:eastAsia="Calibri"/>
                <w:sz w:val="24"/>
                <w:szCs w:val="24"/>
              </w:rPr>
              <w:t>+</w:t>
            </w:r>
          </w:p>
        </w:tc>
      </w:tr>
      <w:tr w:rsidR="00B50F1D" w:rsidRPr="00B50F1D" w14:paraId="3FF67AD0" w14:textId="77777777" w:rsidTr="005D3E3E">
        <w:tc>
          <w:tcPr>
            <w:tcW w:w="1558" w:type="dxa"/>
            <w:vMerge/>
          </w:tcPr>
          <w:p w14:paraId="6C455B03" w14:textId="77777777" w:rsidR="00B50F1D" w:rsidRPr="00B50F1D" w:rsidRDefault="00B50F1D" w:rsidP="00B50F1D">
            <w:pPr>
              <w:jc w:val="center"/>
              <w:rPr>
                <w:rFonts w:eastAsia="Calibri"/>
                <w:sz w:val="24"/>
                <w:szCs w:val="24"/>
              </w:rPr>
            </w:pPr>
          </w:p>
        </w:tc>
        <w:tc>
          <w:tcPr>
            <w:tcW w:w="1558" w:type="dxa"/>
          </w:tcPr>
          <w:p w14:paraId="3BC16B11" w14:textId="77777777" w:rsidR="00B50F1D" w:rsidRPr="00B50F1D" w:rsidRDefault="00E96C7A" w:rsidP="00B50F1D">
            <w:pPr>
              <w:jc w:val="center"/>
              <w:rPr>
                <w:rFonts w:eastAsia="Calibri"/>
                <w:sz w:val="24"/>
                <w:szCs w:val="24"/>
              </w:rPr>
            </w:pPr>
            <m:oMathPara>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NE</m:t>
                    </m:r>
                  </m:sub>
                </m:sSub>
              </m:oMath>
            </m:oMathPara>
          </w:p>
        </w:tc>
        <w:tc>
          <w:tcPr>
            <w:tcW w:w="1558" w:type="dxa"/>
          </w:tcPr>
          <w:p w14:paraId="06353116" w14:textId="77777777" w:rsidR="00B50F1D" w:rsidRPr="00B50F1D" w:rsidRDefault="00B50F1D" w:rsidP="00B50F1D">
            <w:pPr>
              <w:jc w:val="center"/>
              <w:rPr>
                <w:rFonts w:eastAsia="Calibri"/>
                <w:sz w:val="24"/>
                <w:szCs w:val="24"/>
              </w:rPr>
            </w:pPr>
            <w:r w:rsidRPr="00B50F1D">
              <w:rPr>
                <w:rFonts w:eastAsia="Calibri"/>
                <w:sz w:val="24"/>
                <w:szCs w:val="24"/>
              </w:rPr>
              <w:t>-</w:t>
            </w:r>
          </w:p>
        </w:tc>
        <w:tc>
          <w:tcPr>
            <w:tcW w:w="1558" w:type="dxa"/>
          </w:tcPr>
          <w:p w14:paraId="41A8DE87" w14:textId="77777777" w:rsidR="00B50F1D" w:rsidRPr="00B50F1D" w:rsidRDefault="00B50F1D" w:rsidP="00B50F1D">
            <w:pPr>
              <w:jc w:val="center"/>
              <w:rPr>
                <w:rFonts w:eastAsia="Calibri"/>
                <w:sz w:val="24"/>
                <w:szCs w:val="24"/>
              </w:rPr>
            </w:pPr>
            <w:r w:rsidRPr="00B50F1D">
              <w:rPr>
                <w:rFonts w:eastAsia="Calibri"/>
                <w:sz w:val="24"/>
                <w:szCs w:val="24"/>
              </w:rPr>
              <w:t>+</w:t>
            </w:r>
          </w:p>
        </w:tc>
        <w:tc>
          <w:tcPr>
            <w:tcW w:w="1559" w:type="dxa"/>
          </w:tcPr>
          <w:p w14:paraId="066DAA1A" w14:textId="77777777" w:rsidR="00B50F1D" w:rsidRPr="00B50F1D" w:rsidRDefault="00B50F1D" w:rsidP="00B50F1D">
            <w:pPr>
              <w:jc w:val="center"/>
              <w:rPr>
                <w:rFonts w:eastAsia="Calibri"/>
                <w:sz w:val="24"/>
                <w:szCs w:val="24"/>
              </w:rPr>
            </w:pPr>
            <w:r w:rsidRPr="00B50F1D">
              <w:rPr>
                <w:rFonts w:eastAsia="Calibri"/>
                <w:sz w:val="24"/>
                <w:szCs w:val="24"/>
              </w:rPr>
              <w:t>-</w:t>
            </w:r>
          </w:p>
        </w:tc>
        <w:tc>
          <w:tcPr>
            <w:tcW w:w="1559" w:type="dxa"/>
          </w:tcPr>
          <w:p w14:paraId="38235EBE" w14:textId="77777777" w:rsidR="00B50F1D" w:rsidRPr="00B50F1D" w:rsidRDefault="00B50F1D" w:rsidP="00B50F1D">
            <w:pPr>
              <w:jc w:val="center"/>
              <w:rPr>
                <w:rFonts w:eastAsia="Calibri"/>
                <w:sz w:val="24"/>
                <w:szCs w:val="24"/>
              </w:rPr>
            </w:pPr>
            <w:r w:rsidRPr="00B50F1D">
              <w:rPr>
                <w:rFonts w:eastAsia="Calibri"/>
                <w:sz w:val="24"/>
                <w:szCs w:val="24"/>
              </w:rPr>
              <w:t>-</w:t>
            </w:r>
          </w:p>
        </w:tc>
      </w:tr>
      <w:tr w:rsidR="00B50F1D" w:rsidRPr="00B50F1D" w14:paraId="7EBC658E" w14:textId="77777777" w:rsidTr="005D3E3E">
        <w:tc>
          <w:tcPr>
            <w:tcW w:w="1558" w:type="dxa"/>
            <w:vMerge/>
          </w:tcPr>
          <w:p w14:paraId="6DD24498" w14:textId="77777777" w:rsidR="00B50F1D" w:rsidRPr="00B50F1D" w:rsidRDefault="00B50F1D" w:rsidP="00B50F1D">
            <w:pPr>
              <w:jc w:val="center"/>
              <w:rPr>
                <w:rFonts w:eastAsia="Calibri"/>
                <w:sz w:val="24"/>
                <w:szCs w:val="24"/>
              </w:rPr>
            </w:pPr>
          </w:p>
        </w:tc>
        <w:tc>
          <w:tcPr>
            <w:tcW w:w="1558" w:type="dxa"/>
          </w:tcPr>
          <w:p w14:paraId="369E5C8D" w14:textId="77777777" w:rsidR="00B50F1D" w:rsidRPr="00B50F1D" w:rsidRDefault="00E96C7A" w:rsidP="00B50F1D">
            <w:pPr>
              <w:jc w:val="center"/>
              <w:rPr>
                <w:rFonts w:eastAsia="Calibri"/>
                <w:sz w:val="24"/>
                <w:szCs w:val="24"/>
              </w:rPr>
            </w:pPr>
            <m:oMathPara>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M</m:t>
                    </m:r>
                  </m:sub>
                </m:sSub>
              </m:oMath>
            </m:oMathPara>
          </w:p>
        </w:tc>
        <w:tc>
          <w:tcPr>
            <w:tcW w:w="1558" w:type="dxa"/>
          </w:tcPr>
          <w:p w14:paraId="74516543" w14:textId="77777777" w:rsidR="00B50F1D" w:rsidRPr="00B50F1D" w:rsidRDefault="00B50F1D" w:rsidP="00B50F1D">
            <w:pPr>
              <w:jc w:val="center"/>
              <w:rPr>
                <w:rFonts w:eastAsia="Calibri"/>
                <w:sz w:val="24"/>
                <w:szCs w:val="24"/>
              </w:rPr>
            </w:pPr>
            <w:r w:rsidRPr="00B50F1D">
              <w:rPr>
                <w:rFonts w:eastAsia="Calibri"/>
                <w:sz w:val="24"/>
                <w:szCs w:val="24"/>
              </w:rPr>
              <w:t>+</w:t>
            </w:r>
          </w:p>
        </w:tc>
        <w:tc>
          <w:tcPr>
            <w:tcW w:w="1558" w:type="dxa"/>
          </w:tcPr>
          <w:p w14:paraId="71A6A596" w14:textId="77777777" w:rsidR="00B50F1D" w:rsidRPr="00B50F1D" w:rsidRDefault="00B50F1D" w:rsidP="00B50F1D">
            <w:pPr>
              <w:jc w:val="center"/>
              <w:rPr>
                <w:rFonts w:eastAsia="Calibri"/>
                <w:sz w:val="24"/>
                <w:szCs w:val="24"/>
              </w:rPr>
            </w:pPr>
            <w:r w:rsidRPr="00B50F1D">
              <w:rPr>
                <w:rFonts w:eastAsia="Calibri"/>
                <w:sz w:val="24"/>
                <w:szCs w:val="24"/>
              </w:rPr>
              <w:t>+</w:t>
            </w:r>
          </w:p>
        </w:tc>
        <w:tc>
          <w:tcPr>
            <w:tcW w:w="1559" w:type="dxa"/>
          </w:tcPr>
          <w:p w14:paraId="212B5B36" w14:textId="77777777" w:rsidR="00B50F1D" w:rsidRPr="00B50F1D" w:rsidRDefault="00B50F1D" w:rsidP="00B50F1D">
            <w:pPr>
              <w:jc w:val="center"/>
              <w:rPr>
                <w:rFonts w:eastAsia="Calibri"/>
                <w:sz w:val="24"/>
                <w:szCs w:val="24"/>
              </w:rPr>
            </w:pPr>
            <w:r w:rsidRPr="00B50F1D">
              <w:rPr>
                <w:rFonts w:eastAsia="Calibri"/>
                <w:sz w:val="24"/>
                <w:szCs w:val="24"/>
              </w:rPr>
              <w:t>+</w:t>
            </w:r>
          </w:p>
        </w:tc>
        <w:tc>
          <w:tcPr>
            <w:tcW w:w="1559" w:type="dxa"/>
          </w:tcPr>
          <w:p w14:paraId="1756F9DE" w14:textId="77777777" w:rsidR="00B50F1D" w:rsidRPr="00B50F1D" w:rsidRDefault="00B50F1D" w:rsidP="00B50F1D">
            <w:pPr>
              <w:jc w:val="center"/>
              <w:rPr>
                <w:rFonts w:eastAsia="Calibri"/>
                <w:sz w:val="24"/>
                <w:szCs w:val="24"/>
              </w:rPr>
            </w:pPr>
            <w:r w:rsidRPr="00B50F1D">
              <w:rPr>
                <w:rFonts w:eastAsia="Calibri"/>
                <w:sz w:val="24"/>
                <w:szCs w:val="24"/>
              </w:rPr>
              <w:t>+</w:t>
            </w:r>
          </w:p>
        </w:tc>
      </w:tr>
      <w:tr w:rsidR="00B50F1D" w:rsidRPr="00B50F1D" w14:paraId="404ECA72" w14:textId="77777777" w:rsidTr="005D3E3E">
        <w:tc>
          <w:tcPr>
            <w:tcW w:w="1558" w:type="dxa"/>
            <w:vMerge/>
          </w:tcPr>
          <w:p w14:paraId="1C90E35C" w14:textId="77777777" w:rsidR="00B50F1D" w:rsidRPr="00B50F1D" w:rsidRDefault="00B50F1D" w:rsidP="00B50F1D">
            <w:pPr>
              <w:jc w:val="center"/>
              <w:rPr>
                <w:rFonts w:eastAsia="Calibri"/>
                <w:sz w:val="24"/>
                <w:szCs w:val="24"/>
              </w:rPr>
            </w:pPr>
          </w:p>
        </w:tc>
        <w:tc>
          <w:tcPr>
            <w:tcW w:w="1558" w:type="dxa"/>
          </w:tcPr>
          <w:p w14:paraId="7D6F141D" w14:textId="77777777" w:rsidR="00B50F1D" w:rsidRPr="00B50F1D" w:rsidRDefault="00E96C7A" w:rsidP="00B50F1D">
            <w:pPr>
              <w:jc w:val="center"/>
              <w:rPr>
                <w:rFonts w:eastAsia="Calibri"/>
                <w:sz w:val="24"/>
                <w:szCs w:val="24"/>
              </w:rPr>
            </w:pPr>
            <m:oMathPara>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W</m:t>
                    </m:r>
                  </m:sub>
                </m:sSub>
              </m:oMath>
            </m:oMathPara>
          </w:p>
        </w:tc>
        <w:tc>
          <w:tcPr>
            <w:tcW w:w="1558" w:type="dxa"/>
          </w:tcPr>
          <w:p w14:paraId="2963989E" w14:textId="77777777" w:rsidR="00B50F1D" w:rsidRPr="00B50F1D" w:rsidRDefault="00B50F1D" w:rsidP="00B50F1D">
            <w:pPr>
              <w:jc w:val="center"/>
              <w:rPr>
                <w:rFonts w:eastAsia="Calibri"/>
                <w:sz w:val="24"/>
                <w:szCs w:val="24"/>
              </w:rPr>
            </w:pPr>
            <w:r w:rsidRPr="00B50F1D">
              <w:rPr>
                <w:rFonts w:eastAsia="Calibri"/>
                <w:sz w:val="24"/>
                <w:szCs w:val="24"/>
              </w:rPr>
              <w:t>+</w:t>
            </w:r>
          </w:p>
        </w:tc>
        <w:tc>
          <w:tcPr>
            <w:tcW w:w="1558" w:type="dxa"/>
          </w:tcPr>
          <w:p w14:paraId="6CE2B771" w14:textId="77777777" w:rsidR="00B50F1D" w:rsidRPr="00B50F1D" w:rsidRDefault="00B50F1D" w:rsidP="00B50F1D">
            <w:pPr>
              <w:jc w:val="center"/>
              <w:rPr>
                <w:rFonts w:eastAsia="Calibri"/>
                <w:sz w:val="24"/>
                <w:szCs w:val="24"/>
              </w:rPr>
            </w:pPr>
            <w:r w:rsidRPr="00B50F1D">
              <w:rPr>
                <w:rFonts w:eastAsia="Calibri"/>
                <w:sz w:val="24"/>
                <w:szCs w:val="24"/>
              </w:rPr>
              <w:t>+</w:t>
            </w:r>
          </w:p>
        </w:tc>
        <w:tc>
          <w:tcPr>
            <w:tcW w:w="1559" w:type="dxa"/>
          </w:tcPr>
          <w:p w14:paraId="50A46648" w14:textId="77777777" w:rsidR="00B50F1D" w:rsidRPr="00B50F1D" w:rsidRDefault="00B50F1D" w:rsidP="00B50F1D">
            <w:pPr>
              <w:jc w:val="center"/>
              <w:rPr>
                <w:rFonts w:eastAsia="Calibri"/>
                <w:sz w:val="24"/>
                <w:szCs w:val="24"/>
              </w:rPr>
            </w:pPr>
            <w:r w:rsidRPr="00B50F1D">
              <w:rPr>
                <w:rFonts w:eastAsia="Calibri"/>
                <w:sz w:val="24"/>
                <w:szCs w:val="24"/>
              </w:rPr>
              <w:t>+</w:t>
            </w:r>
          </w:p>
        </w:tc>
        <w:tc>
          <w:tcPr>
            <w:tcW w:w="1559" w:type="dxa"/>
          </w:tcPr>
          <w:p w14:paraId="4DF4B84A" w14:textId="77777777" w:rsidR="00B50F1D" w:rsidRPr="00B50F1D" w:rsidRDefault="00B50F1D" w:rsidP="00B50F1D">
            <w:pPr>
              <w:jc w:val="center"/>
              <w:rPr>
                <w:rFonts w:eastAsia="Calibri"/>
                <w:sz w:val="24"/>
                <w:szCs w:val="24"/>
              </w:rPr>
            </w:pPr>
            <w:r w:rsidRPr="00B50F1D">
              <w:rPr>
                <w:rFonts w:eastAsia="Calibri"/>
                <w:sz w:val="24"/>
                <w:szCs w:val="24"/>
              </w:rPr>
              <w:t>+</w:t>
            </w:r>
          </w:p>
        </w:tc>
      </w:tr>
      <w:tr w:rsidR="00B50F1D" w:rsidRPr="00B50F1D" w14:paraId="2C4044D1" w14:textId="77777777" w:rsidTr="005D3E3E">
        <w:tc>
          <w:tcPr>
            <w:tcW w:w="1558" w:type="dxa"/>
            <w:vMerge/>
          </w:tcPr>
          <w:p w14:paraId="29B94FE8" w14:textId="77777777" w:rsidR="00B50F1D" w:rsidRPr="00B50F1D" w:rsidRDefault="00B50F1D" w:rsidP="00B50F1D">
            <w:pPr>
              <w:jc w:val="center"/>
              <w:rPr>
                <w:rFonts w:eastAsia="Calibri"/>
                <w:sz w:val="24"/>
                <w:szCs w:val="24"/>
              </w:rPr>
            </w:pPr>
          </w:p>
        </w:tc>
        <w:tc>
          <w:tcPr>
            <w:tcW w:w="1558" w:type="dxa"/>
          </w:tcPr>
          <w:p w14:paraId="453B3E9D" w14:textId="77777777" w:rsidR="00B50F1D" w:rsidRPr="00B50F1D" w:rsidRDefault="00B50F1D" w:rsidP="00B50F1D">
            <w:pPr>
              <w:jc w:val="center"/>
              <w:rPr>
                <w:rFonts w:eastAsia="Calibri"/>
                <w:sz w:val="24"/>
                <w:szCs w:val="24"/>
              </w:rPr>
            </w:pPr>
            <m:oMathPara>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m:t>
                    </m:r>
                  </m:sub>
                </m:sSub>
              </m:oMath>
            </m:oMathPara>
          </w:p>
        </w:tc>
        <w:tc>
          <w:tcPr>
            <w:tcW w:w="1558" w:type="dxa"/>
          </w:tcPr>
          <w:p w14:paraId="0CDDE3E1" w14:textId="77777777" w:rsidR="00B50F1D" w:rsidRPr="00B50F1D" w:rsidRDefault="00B50F1D" w:rsidP="00B50F1D">
            <w:pPr>
              <w:jc w:val="center"/>
              <w:rPr>
                <w:rFonts w:eastAsia="Calibri"/>
                <w:sz w:val="24"/>
                <w:szCs w:val="24"/>
              </w:rPr>
            </w:pPr>
            <w:r w:rsidRPr="00B50F1D">
              <w:rPr>
                <w:rFonts w:eastAsia="Calibri"/>
                <w:sz w:val="24"/>
                <w:szCs w:val="24"/>
              </w:rPr>
              <w:t>x</w:t>
            </w:r>
          </w:p>
        </w:tc>
        <w:tc>
          <w:tcPr>
            <w:tcW w:w="1558" w:type="dxa"/>
          </w:tcPr>
          <w:p w14:paraId="377BF639" w14:textId="77777777" w:rsidR="00B50F1D" w:rsidRPr="00B50F1D" w:rsidRDefault="00B50F1D" w:rsidP="00B50F1D">
            <w:pPr>
              <w:jc w:val="center"/>
              <w:rPr>
                <w:rFonts w:eastAsia="Calibri"/>
                <w:sz w:val="24"/>
                <w:szCs w:val="24"/>
              </w:rPr>
            </w:pPr>
            <w:r w:rsidRPr="00B50F1D">
              <w:rPr>
                <w:rFonts w:eastAsia="Calibri"/>
                <w:sz w:val="24"/>
                <w:szCs w:val="24"/>
              </w:rPr>
              <w:t>-</w:t>
            </w:r>
          </w:p>
        </w:tc>
        <w:tc>
          <w:tcPr>
            <w:tcW w:w="1559" w:type="dxa"/>
          </w:tcPr>
          <w:p w14:paraId="29A1A720" w14:textId="77777777" w:rsidR="00B50F1D" w:rsidRPr="00B50F1D" w:rsidRDefault="00B50F1D" w:rsidP="00B50F1D">
            <w:pPr>
              <w:jc w:val="center"/>
              <w:rPr>
                <w:rFonts w:eastAsia="Calibri"/>
                <w:sz w:val="24"/>
                <w:szCs w:val="24"/>
              </w:rPr>
            </w:pPr>
            <w:r w:rsidRPr="00B50F1D">
              <w:rPr>
                <w:rFonts w:eastAsia="Calibri"/>
                <w:sz w:val="24"/>
                <w:szCs w:val="24"/>
              </w:rPr>
              <w:t>+</w:t>
            </w:r>
          </w:p>
        </w:tc>
        <w:tc>
          <w:tcPr>
            <w:tcW w:w="1559" w:type="dxa"/>
          </w:tcPr>
          <w:p w14:paraId="399535DD" w14:textId="77777777" w:rsidR="00B50F1D" w:rsidRPr="00B50F1D" w:rsidRDefault="00B50F1D" w:rsidP="00B50F1D">
            <w:pPr>
              <w:jc w:val="center"/>
              <w:rPr>
                <w:rFonts w:eastAsia="Calibri"/>
                <w:sz w:val="24"/>
                <w:szCs w:val="24"/>
              </w:rPr>
            </w:pPr>
            <w:r w:rsidRPr="00B50F1D">
              <w:rPr>
                <w:rFonts w:eastAsia="Calibri"/>
                <w:sz w:val="24"/>
                <w:szCs w:val="24"/>
              </w:rPr>
              <w:t>x</w:t>
            </w:r>
          </w:p>
        </w:tc>
      </w:tr>
      <w:tr w:rsidR="00B50F1D" w:rsidRPr="00B50F1D" w14:paraId="28A986ED" w14:textId="77777777" w:rsidTr="005D3E3E">
        <w:tc>
          <w:tcPr>
            <w:tcW w:w="1558" w:type="dxa"/>
            <w:vMerge/>
          </w:tcPr>
          <w:p w14:paraId="389CBE1F" w14:textId="77777777" w:rsidR="00B50F1D" w:rsidRPr="00B50F1D" w:rsidRDefault="00B50F1D" w:rsidP="00B50F1D">
            <w:pPr>
              <w:jc w:val="center"/>
              <w:rPr>
                <w:rFonts w:eastAsia="Calibri"/>
                <w:sz w:val="24"/>
                <w:szCs w:val="24"/>
              </w:rPr>
            </w:pPr>
          </w:p>
        </w:tc>
        <w:tc>
          <w:tcPr>
            <w:tcW w:w="1558" w:type="dxa"/>
          </w:tcPr>
          <w:p w14:paraId="70368DF1" w14:textId="77777777" w:rsidR="00B50F1D" w:rsidRPr="00B50F1D" w:rsidRDefault="00B50F1D" w:rsidP="00B50F1D">
            <w:pPr>
              <w:jc w:val="center"/>
              <w:rPr>
                <w:rFonts w:eastAsia="Calibri"/>
                <w:sz w:val="24"/>
                <w:szCs w:val="24"/>
              </w:rPr>
            </w:pPr>
            <m:oMathPara>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j</m:t>
                    </m:r>
                  </m:sub>
                </m:sSub>
              </m:oMath>
            </m:oMathPara>
          </w:p>
        </w:tc>
        <w:tc>
          <w:tcPr>
            <w:tcW w:w="1558" w:type="dxa"/>
          </w:tcPr>
          <w:p w14:paraId="77F038DB" w14:textId="77777777" w:rsidR="00B50F1D" w:rsidRPr="00B50F1D" w:rsidRDefault="00B50F1D" w:rsidP="00B50F1D">
            <w:pPr>
              <w:jc w:val="center"/>
              <w:rPr>
                <w:rFonts w:eastAsia="Calibri"/>
                <w:sz w:val="24"/>
                <w:szCs w:val="24"/>
              </w:rPr>
            </w:pPr>
            <w:r w:rsidRPr="00B50F1D">
              <w:rPr>
                <w:rFonts w:eastAsia="Calibri"/>
                <w:sz w:val="24"/>
                <w:szCs w:val="24"/>
              </w:rPr>
              <w:t>+</w:t>
            </w:r>
          </w:p>
        </w:tc>
        <w:tc>
          <w:tcPr>
            <w:tcW w:w="1558" w:type="dxa"/>
          </w:tcPr>
          <w:p w14:paraId="55C20F63" w14:textId="77777777" w:rsidR="00B50F1D" w:rsidRPr="00B50F1D" w:rsidRDefault="00B50F1D" w:rsidP="00B50F1D">
            <w:pPr>
              <w:jc w:val="center"/>
              <w:rPr>
                <w:rFonts w:eastAsia="Calibri"/>
                <w:sz w:val="24"/>
                <w:szCs w:val="24"/>
              </w:rPr>
            </w:pPr>
            <w:r w:rsidRPr="00B50F1D">
              <w:rPr>
                <w:rFonts w:eastAsia="Calibri"/>
                <w:sz w:val="24"/>
                <w:szCs w:val="24"/>
              </w:rPr>
              <w:t>+</w:t>
            </w:r>
          </w:p>
        </w:tc>
        <w:tc>
          <w:tcPr>
            <w:tcW w:w="1559" w:type="dxa"/>
          </w:tcPr>
          <w:p w14:paraId="10D51D1D" w14:textId="77777777" w:rsidR="00B50F1D" w:rsidRPr="00B50F1D" w:rsidRDefault="00B50F1D" w:rsidP="00B50F1D">
            <w:pPr>
              <w:jc w:val="center"/>
              <w:rPr>
                <w:rFonts w:eastAsia="Calibri"/>
                <w:sz w:val="24"/>
                <w:szCs w:val="24"/>
              </w:rPr>
            </w:pPr>
            <w:r w:rsidRPr="00B50F1D">
              <w:rPr>
                <w:rFonts w:eastAsia="Calibri"/>
                <w:sz w:val="24"/>
                <w:szCs w:val="24"/>
              </w:rPr>
              <w:t>+</w:t>
            </w:r>
          </w:p>
        </w:tc>
        <w:tc>
          <w:tcPr>
            <w:tcW w:w="1559" w:type="dxa"/>
          </w:tcPr>
          <w:p w14:paraId="5ACA9456" w14:textId="77777777" w:rsidR="00B50F1D" w:rsidRPr="00B50F1D" w:rsidRDefault="00B50F1D" w:rsidP="00B50F1D">
            <w:pPr>
              <w:jc w:val="center"/>
              <w:rPr>
                <w:rFonts w:eastAsia="Calibri"/>
                <w:sz w:val="24"/>
                <w:szCs w:val="24"/>
              </w:rPr>
            </w:pPr>
            <w:r w:rsidRPr="00B50F1D">
              <w:rPr>
                <w:rFonts w:eastAsia="Calibri"/>
                <w:sz w:val="24"/>
                <w:szCs w:val="24"/>
              </w:rPr>
              <w:t>-/+</w:t>
            </w:r>
          </w:p>
        </w:tc>
      </w:tr>
    </w:tbl>
    <w:p w14:paraId="0AAA0A38" w14:textId="77777777" w:rsidR="00B50F1D" w:rsidRPr="00B50F1D" w:rsidRDefault="00B50F1D" w:rsidP="00B50F1D">
      <w:pPr>
        <w:rPr>
          <w:rFonts w:eastAsia="Calibri"/>
          <w:sz w:val="24"/>
          <w:szCs w:val="24"/>
        </w:rPr>
      </w:pPr>
    </w:p>
    <w:p w14:paraId="3856AAD6" w14:textId="77777777" w:rsidR="00B50F1D" w:rsidRPr="00B50F1D" w:rsidRDefault="00B50F1D" w:rsidP="00B50F1D">
      <w:pPr>
        <w:rPr>
          <w:rFonts w:eastAsia="Calibri"/>
          <w:sz w:val="24"/>
          <w:szCs w:val="24"/>
        </w:rPr>
      </w:pPr>
      <w:r w:rsidRPr="00B50F1D">
        <w:rPr>
          <w:rFonts w:eastAsia="Calibri"/>
          <w:sz w:val="24"/>
          <w:szCs w:val="24"/>
        </w:rPr>
        <w:br w:type="page"/>
      </w:r>
    </w:p>
    <w:p w14:paraId="6FE498D3" w14:textId="21D5D081" w:rsidR="00B50F1D" w:rsidRPr="00B50F1D" w:rsidRDefault="00B50F1D" w:rsidP="00B50F1D">
      <w:pPr>
        <w:spacing w:after="200" w:line="276" w:lineRule="auto"/>
        <w:jc w:val="center"/>
        <w:rPr>
          <w:rFonts w:eastAsia="Calibri"/>
          <w:sz w:val="24"/>
          <w:szCs w:val="24"/>
        </w:rPr>
      </w:pPr>
      <w:r w:rsidRPr="00B50F1D">
        <w:rPr>
          <w:rFonts w:eastAsia="Calibri"/>
          <w:sz w:val="24"/>
          <w:szCs w:val="24"/>
        </w:rPr>
        <w:lastRenderedPageBreak/>
        <w:t xml:space="preserve">Figure </w:t>
      </w:r>
      <w:r w:rsidR="00555C49">
        <w:rPr>
          <w:rFonts w:eastAsia="Calibri"/>
          <w:sz w:val="24"/>
          <w:szCs w:val="24"/>
        </w:rPr>
        <w:t>B</w:t>
      </w:r>
      <w:r w:rsidRPr="00B50F1D">
        <w:rPr>
          <w:rFonts w:eastAsia="Calibri"/>
          <w:sz w:val="24"/>
          <w:szCs w:val="24"/>
        </w:rPr>
        <w:t>1</w:t>
      </w:r>
    </w:p>
    <w:p w14:paraId="2FC7C2A0"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South MS-VAR Generalized Impulse Response Function</w:t>
      </w:r>
    </w:p>
    <w:p w14:paraId="1D82443A"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45EC89E0" wp14:editId="1E7235A6">
            <wp:extent cx="5333559" cy="3998645"/>
            <wp:effectExtent l="0" t="0" r="63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CCS_MSVAR_south_L1_K2_uGIRF.png"/>
                    <pic:cNvPicPr/>
                  </pic:nvPicPr>
                  <pic:blipFill>
                    <a:blip r:embed="rId34">
                      <a:extLst>
                        <a:ext uri="{28A0092B-C50C-407E-A947-70E740481C1C}">
                          <a14:useLocalDpi xmlns:a14="http://schemas.microsoft.com/office/drawing/2010/main" val="0"/>
                        </a:ext>
                      </a:extLst>
                    </a:blip>
                    <a:stretch>
                      <a:fillRect/>
                    </a:stretch>
                  </pic:blipFill>
                  <pic:spPr>
                    <a:xfrm>
                      <a:off x="0" y="0"/>
                      <a:ext cx="5333559" cy="3998645"/>
                    </a:xfrm>
                    <a:prstGeom prst="rect">
                      <a:avLst/>
                    </a:prstGeom>
                  </pic:spPr>
                </pic:pic>
              </a:graphicData>
            </a:graphic>
          </wp:inline>
        </w:drawing>
      </w:r>
    </w:p>
    <w:p w14:paraId="29801F37" w14:textId="22ACB736" w:rsidR="00B50F1D" w:rsidRPr="00B50F1D" w:rsidRDefault="00B50F1D" w:rsidP="00B50F1D">
      <w:pPr>
        <w:spacing w:after="200" w:line="276" w:lineRule="auto"/>
        <w:jc w:val="center"/>
        <w:rPr>
          <w:rFonts w:eastAsia="Calibri"/>
          <w:sz w:val="24"/>
          <w:szCs w:val="24"/>
        </w:rPr>
      </w:pPr>
      <w:r w:rsidRPr="00B50F1D">
        <w:rPr>
          <w:rFonts w:eastAsia="Calibri"/>
          <w:b/>
          <w:sz w:val="24"/>
          <w:szCs w:val="24"/>
        </w:rPr>
        <w:br w:type="page"/>
      </w:r>
      <w:r w:rsidRPr="00B50F1D">
        <w:rPr>
          <w:rFonts w:eastAsia="Calibri"/>
          <w:sz w:val="24"/>
          <w:szCs w:val="24"/>
        </w:rPr>
        <w:lastRenderedPageBreak/>
        <w:t xml:space="preserve">Figure </w:t>
      </w:r>
      <w:r w:rsidR="00555C49">
        <w:rPr>
          <w:rFonts w:eastAsia="Calibri"/>
          <w:sz w:val="24"/>
          <w:szCs w:val="24"/>
        </w:rPr>
        <w:t>B</w:t>
      </w:r>
      <w:r w:rsidRPr="00B50F1D">
        <w:rPr>
          <w:rFonts w:eastAsia="Calibri"/>
          <w:sz w:val="24"/>
          <w:szCs w:val="24"/>
        </w:rPr>
        <w:t>2</w:t>
      </w:r>
    </w:p>
    <w:p w14:paraId="333A5906"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Northeast MS-VAR Generalized Impulse Response Function</w:t>
      </w:r>
    </w:p>
    <w:p w14:paraId="6075FF10"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1E80E63E" wp14:editId="520D9032">
            <wp:extent cx="5333559" cy="3998645"/>
            <wp:effectExtent l="0" t="0" r="63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CCS_MSVAR_northeast_L1_K2_uGIRF.png"/>
                    <pic:cNvPicPr/>
                  </pic:nvPicPr>
                  <pic:blipFill>
                    <a:blip r:embed="rId35">
                      <a:extLst>
                        <a:ext uri="{28A0092B-C50C-407E-A947-70E740481C1C}">
                          <a14:useLocalDpi xmlns:a14="http://schemas.microsoft.com/office/drawing/2010/main" val="0"/>
                        </a:ext>
                      </a:extLst>
                    </a:blip>
                    <a:stretch>
                      <a:fillRect/>
                    </a:stretch>
                  </pic:blipFill>
                  <pic:spPr>
                    <a:xfrm>
                      <a:off x="0" y="0"/>
                      <a:ext cx="5333559" cy="3998645"/>
                    </a:xfrm>
                    <a:prstGeom prst="rect">
                      <a:avLst/>
                    </a:prstGeom>
                  </pic:spPr>
                </pic:pic>
              </a:graphicData>
            </a:graphic>
          </wp:inline>
        </w:drawing>
      </w:r>
    </w:p>
    <w:p w14:paraId="29C6F862" w14:textId="56FD5DFE" w:rsidR="00B50F1D" w:rsidRPr="00B50F1D" w:rsidRDefault="00B50F1D" w:rsidP="00B50F1D">
      <w:pPr>
        <w:spacing w:after="200" w:line="276" w:lineRule="auto"/>
        <w:jc w:val="center"/>
        <w:rPr>
          <w:rFonts w:eastAsia="Calibri"/>
          <w:sz w:val="24"/>
          <w:szCs w:val="24"/>
        </w:rPr>
      </w:pPr>
      <w:r w:rsidRPr="00B50F1D">
        <w:rPr>
          <w:rFonts w:eastAsia="Calibri"/>
          <w:b/>
          <w:sz w:val="24"/>
          <w:szCs w:val="24"/>
        </w:rPr>
        <w:br w:type="page"/>
      </w:r>
      <w:r w:rsidRPr="00B50F1D">
        <w:rPr>
          <w:rFonts w:eastAsia="Calibri"/>
          <w:sz w:val="24"/>
          <w:szCs w:val="24"/>
        </w:rPr>
        <w:lastRenderedPageBreak/>
        <w:t xml:space="preserve">Figure </w:t>
      </w:r>
      <w:r w:rsidR="00555C49">
        <w:rPr>
          <w:rFonts w:eastAsia="Calibri"/>
          <w:sz w:val="24"/>
          <w:szCs w:val="24"/>
        </w:rPr>
        <w:t>B</w:t>
      </w:r>
      <w:r w:rsidRPr="00B50F1D">
        <w:rPr>
          <w:rFonts w:eastAsia="Calibri"/>
          <w:sz w:val="24"/>
          <w:szCs w:val="24"/>
        </w:rPr>
        <w:t>3</w:t>
      </w:r>
    </w:p>
    <w:p w14:paraId="51338CD6"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Midwest MS-VAR Generalized Impulse Response Function</w:t>
      </w:r>
    </w:p>
    <w:p w14:paraId="41AEC14A"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6D61A66D" wp14:editId="563AA2C0">
            <wp:extent cx="5333559" cy="3998645"/>
            <wp:effectExtent l="0" t="0" r="63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CCS_MSVAR_midwest_L1_K2_uGIRF.png"/>
                    <pic:cNvPicPr/>
                  </pic:nvPicPr>
                  <pic:blipFill>
                    <a:blip r:embed="rId36">
                      <a:extLst>
                        <a:ext uri="{28A0092B-C50C-407E-A947-70E740481C1C}">
                          <a14:useLocalDpi xmlns:a14="http://schemas.microsoft.com/office/drawing/2010/main" val="0"/>
                        </a:ext>
                      </a:extLst>
                    </a:blip>
                    <a:stretch>
                      <a:fillRect/>
                    </a:stretch>
                  </pic:blipFill>
                  <pic:spPr>
                    <a:xfrm>
                      <a:off x="0" y="0"/>
                      <a:ext cx="5333559" cy="3998645"/>
                    </a:xfrm>
                    <a:prstGeom prst="rect">
                      <a:avLst/>
                    </a:prstGeom>
                  </pic:spPr>
                </pic:pic>
              </a:graphicData>
            </a:graphic>
          </wp:inline>
        </w:drawing>
      </w:r>
    </w:p>
    <w:p w14:paraId="6839FBA9" w14:textId="74971E70" w:rsidR="00B50F1D" w:rsidRPr="00B50F1D" w:rsidRDefault="00B50F1D" w:rsidP="00B50F1D">
      <w:pPr>
        <w:spacing w:after="200" w:line="276" w:lineRule="auto"/>
        <w:jc w:val="center"/>
        <w:rPr>
          <w:rFonts w:eastAsia="Calibri"/>
          <w:sz w:val="24"/>
          <w:szCs w:val="24"/>
        </w:rPr>
      </w:pPr>
      <w:r w:rsidRPr="00B50F1D">
        <w:rPr>
          <w:rFonts w:eastAsia="Calibri"/>
          <w:b/>
          <w:sz w:val="24"/>
          <w:szCs w:val="24"/>
        </w:rPr>
        <w:br w:type="page"/>
      </w:r>
      <w:r w:rsidRPr="00B50F1D">
        <w:rPr>
          <w:rFonts w:eastAsia="Calibri"/>
          <w:sz w:val="24"/>
          <w:szCs w:val="24"/>
        </w:rPr>
        <w:lastRenderedPageBreak/>
        <w:t xml:space="preserve">Figure </w:t>
      </w:r>
      <w:r w:rsidR="00555C49">
        <w:rPr>
          <w:rFonts w:eastAsia="Calibri"/>
          <w:sz w:val="24"/>
          <w:szCs w:val="24"/>
        </w:rPr>
        <w:t>B</w:t>
      </w:r>
      <w:r w:rsidRPr="00B50F1D">
        <w:rPr>
          <w:rFonts w:eastAsia="Calibri"/>
          <w:sz w:val="24"/>
          <w:szCs w:val="24"/>
        </w:rPr>
        <w:t>4</w:t>
      </w:r>
    </w:p>
    <w:p w14:paraId="1378830D"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West MS-VAR Generalized Impulse Response Function</w:t>
      </w:r>
    </w:p>
    <w:p w14:paraId="1148387B"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22828308" wp14:editId="03E9973C">
            <wp:extent cx="5333559" cy="3998645"/>
            <wp:effectExtent l="0" t="0" r="63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CCS_MSVAR_west_L1_K2_uGIRF.png"/>
                    <pic:cNvPicPr/>
                  </pic:nvPicPr>
                  <pic:blipFill>
                    <a:blip r:embed="rId37">
                      <a:extLst>
                        <a:ext uri="{28A0092B-C50C-407E-A947-70E740481C1C}">
                          <a14:useLocalDpi xmlns:a14="http://schemas.microsoft.com/office/drawing/2010/main" val="0"/>
                        </a:ext>
                      </a:extLst>
                    </a:blip>
                    <a:stretch>
                      <a:fillRect/>
                    </a:stretch>
                  </pic:blipFill>
                  <pic:spPr>
                    <a:xfrm>
                      <a:off x="0" y="0"/>
                      <a:ext cx="5333559" cy="3998645"/>
                    </a:xfrm>
                    <a:prstGeom prst="rect">
                      <a:avLst/>
                    </a:prstGeom>
                  </pic:spPr>
                </pic:pic>
              </a:graphicData>
            </a:graphic>
          </wp:inline>
        </w:drawing>
      </w:r>
    </w:p>
    <w:p w14:paraId="1AAB8759" w14:textId="77777777" w:rsidR="00B50F1D" w:rsidRPr="00B50F1D" w:rsidRDefault="00B50F1D" w:rsidP="00B50F1D">
      <w:pPr>
        <w:rPr>
          <w:rFonts w:eastAsia="Calibri"/>
          <w:sz w:val="24"/>
          <w:szCs w:val="24"/>
        </w:rPr>
      </w:pPr>
      <w:r w:rsidRPr="00B50F1D">
        <w:rPr>
          <w:rFonts w:eastAsia="Calibri"/>
          <w:sz w:val="24"/>
          <w:szCs w:val="24"/>
        </w:rPr>
        <w:br w:type="page"/>
      </w:r>
    </w:p>
    <w:p w14:paraId="417431CE" w14:textId="3BDB46AA" w:rsidR="00B50F1D" w:rsidRPr="00B50F1D" w:rsidRDefault="00B50F1D" w:rsidP="00B50F1D">
      <w:pPr>
        <w:spacing w:after="200" w:line="276" w:lineRule="auto"/>
        <w:jc w:val="center"/>
        <w:rPr>
          <w:rFonts w:eastAsia="Calibri"/>
          <w:sz w:val="24"/>
          <w:szCs w:val="24"/>
        </w:rPr>
      </w:pPr>
      <w:r w:rsidRPr="00B50F1D">
        <w:rPr>
          <w:rFonts w:eastAsia="Calibri"/>
          <w:sz w:val="24"/>
          <w:szCs w:val="24"/>
        </w:rPr>
        <w:lastRenderedPageBreak/>
        <w:t xml:space="preserve">Figure </w:t>
      </w:r>
      <w:r w:rsidR="00555C49">
        <w:rPr>
          <w:rFonts w:eastAsia="Calibri"/>
          <w:sz w:val="24"/>
          <w:szCs w:val="24"/>
        </w:rPr>
        <w:t>B</w:t>
      </w:r>
      <w:r w:rsidRPr="00B50F1D">
        <w:rPr>
          <w:rFonts w:eastAsia="Calibri"/>
          <w:sz w:val="24"/>
          <w:szCs w:val="24"/>
        </w:rPr>
        <w:t>5</w:t>
      </w:r>
    </w:p>
    <w:p w14:paraId="21A788D3"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South MS-VAR State-Dependent Generalized Impulse Response Function</w:t>
      </w:r>
    </w:p>
    <w:p w14:paraId="3338CA17"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335B9DA8" wp14:editId="5CBC0D19">
            <wp:extent cx="5333559" cy="3998645"/>
            <wp:effectExtent l="0" t="0" r="63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CCS_MSVAR_south_L1_K2_sdGIRF.png"/>
                    <pic:cNvPicPr/>
                  </pic:nvPicPr>
                  <pic:blipFill>
                    <a:blip r:embed="rId38">
                      <a:extLst>
                        <a:ext uri="{28A0092B-C50C-407E-A947-70E740481C1C}">
                          <a14:useLocalDpi xmlns:a14="http://schemas.microsoft.com/office/drawing/2010/main" val="0"/>
                        </a:ext>
                      </a:extLst>
                    </a:blip>
                    <a:stretch>
                      <a:fillRect/>
                    </a:stretch>
                  </pic:blipFill>
                  <pic:spPr>
                    <a:xfrm>
                      <a:off x="0" y="0"/>
                      <a:ext cx="5333559" cy="3998645"/>
                    </a:xfrm>
                    <a:prstGeom prst="rect">
                      <a:avLst/>
                    </a:prstGeom>
                  </pic:spPr>
                </pic:pic>
              </a:graphicData>
            </a:graphic>
          </wp:inline>
        </w:drawing>
      </w:r>
    </w:p>
    <w:p w14:paraId="24AD9A1E" w14:textId="6632C172" w:rsidR="00B50F1D" w:rsidRPr="00B50F1D" w:rsidRDefault="00B50F1D" w:rsidP="00B50F1D">
      <w:pPr>
        <w:spacing w:after="200" w:line="276" w:lineRule="auto"/>
        <w:jc w:val="center"/>
        <w:rPr>
          <w:rFonts w:eastAsia="Calibri"/>
          <w:sz w:val="24"/>
          <w:szCs w:val="24"/>
        </w:rPr>
      </w:pPr>
      <w:r w:rsidRPr="00B50F1D">
        <w:rPr>
          <w:rFonts w:eastAsia="Calibri"/>
          <w:b/>
          <w:sz w:val="24"/>
          <w:szCs w:val="24"/>
        </w:rPr>
        <w:br w:type="page"/>
      </w:r>
      <w:r w:rsidRPr="00B50F1D">
        <w:rPr>
          <w:rFonts w:eastAsia="Calibri"/>
          <w:sz w:val="24"/>
          <w:szCs w:val="24"/>
        </w:rPr>
        <w:lastRenderedPageBreak/>
        <w:t xml:space="preserve">Figure </w:t>
      </w:r>
      <w:r w:rsidR="00555C49">
        <w:rPr>
          <w:rFonts w:eastAsia="Calibri"/>
          <w:sz w:val="24"/>
          <w:szCs w:val="24"/>
        </w:rPr>
        <w:t>B</w:t>
      </w:r>
      <w:r w:rsidRPr="00B50F1D">
        <w:rPr>
          <w:rFonts w:eastAsia="Calibri"/>
          <w:sz w:val="24"/>
          <w:szCs w:val="24"/>
        </w:rPr>
        <w:t>6</w:t>
      </w:r>
    </w:p>
    <w:p w14:paraId="32FE287F"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Northeast MS-VAR State-Dependent Generalized Impulse Response Function</w:t>
      </w:r>
    </w:p>
    <w:p w14:paraId="5B64616F"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354F5478" wp14:editId="3F685802">
            <wp:extent cx="5333559" cy="3998645"/>
            <wp:effectExtent l="0" t="0" r="63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CCS_MSVAR_northeast_L1_K2_sdGIRF.png"/>
                    <pic:cNvPicPr/>
                  </pic:nvPicPr>
                  <pic:blipFill>
                    <a:blip r:embed="rId39">
                      <a:extLst>
                        <a:ext uri="{28A0092B-C50C-407E-A947-70E740481C1C}">
                          <a14:useLocalDpi xmlns:a14="http://schemas.microsoft.com/office/drawing/2010/main" val="0"/>
                        </a:ext>
                      </a:extLst>
                    </a:blip>
                    <a:stretch>
                      <a:fillRect/>
                    </a:stretch>
                  </pic:blipFill>
                  <pic:spPr>
                    <a:xfrm>
                      <a:off x="0" y="0"/>
                      <a:ext cx="5333559" cy="3998645"/>
                    </a:xfrm>
                    <a:prstGeom prst="rect">
                      <a:avLst/>
                    </a:prstGeom>
                  </pic:spPr>
                </pic:pic>
              </a:graphicData>
            </a:graphic>
          </wp:inline>
        </w:drawing>
      </w:r>
    </w:p>
    <w:p w14:paraId="34FABC3C" w14:textId="44341C83" w:rsidR="00B50F1D" w:rsidRPr="00B50F1D" w:rsidRDefault="00B50F1D" w:rsidP="00B50F1D">
      <w:pPr>
        <w:spacing w:after="200" w:line="276" w:lineRule="auto"/>
        <w:jc w:val="center"/>
        <w:rPr>
          <w:rFonts w:eastAsia="Calibri"/>
          <w:sz w:val="24"/>
          <w:szCs w:val="24"/>
        </w:rPr>
      </w:pPr>
      <w:r w:rsidRPr="00B50F1D">
        <w:rPr>
          <w:rFonts w:eastAsia="Calibri"/>
          <w:b/>
          <w:sz w:val="24"/>
          <w:szCs w:val="24"/>
        </w:rPr>
        <w:br w:type="page"/>
      </w:r>
      <w:r w:rsidRPr="00B50F1D">
        <w:rPr>
          <w:rFonts w:eastAsia="Calibri"/>
          <w:sz w:val="24"/>
          <w:szCs w:val="24"/>
        </w:rPr>
        <w:lastRenderedPageBreak/>
        <w:t xml:space="preserve">Figure </w:t>
      </w:r>
      <w:r w:rsidR="00555C49">
        <w:rPr>
          <w:rFonts w:eastAsia="Calibri"/>
          <w:sz w:val="24"/>
          <w:szCs w:val="24"/>
        </w:rPr>
        <w:t>B</w:t>
      </w:r>
      <w:r w:rsidRPr="00B50F1D">
        <w:rPr>
          <w:rFonts w:eastAsia="Calibri"/>
          <w:sz w:val="24"/>
          <w:szCs w:val="24"/>
        </w:rPr>
        <w:t>7</w:t>
      </w:r>
    </w:p>
    <w:p w14:paraId="12142CA1"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Midwest MS-VAR State-Dependent Generalized Impulse Response Function</w:t>
      </w:r>
    </w:p>
    <w:p w14:paraId="2B00E65F"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21052B75" wp14:editId="5E60DC1A">
            <wp:extent cx="5333559" cy="3998645"/>
            <wp:effectExtent l="0" t="0" r="63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CCS_MSVAR_midwest_L1_K2_sdGIRF.png"/>
                    <pic:cNvPicPr/>
                  </pic:nvPicPr>
                  <pic:blipFill>
                    <a:blip r:embed="rId40">
                      <a:extLst>
                        <a:ext uri="{28A0092B-C50C-407E-A947-70E740481C1C}">
                          <a14:useLocalDpi xmlns:a14="http://schemas.microsoft.com/office/drawing/2010/main" val="0"/>
                        </a:ext>
                      </a:extLst>
                    </a:blip>
                    <a:stretch>
                      <a:fillRect/>
                    </a:stretch>
                  </pic:blipFill>
                  <pic:spPr>
                    <a:xfrm>
                      <a:off x="0" y="0"/>
                      <a:ext cx="5333559" cy="3998645"/>
                    </a:xfrm>
                    <a:prstGeom prst="rect">
                      <a:avLst/>
                    </a:prstGeom>
                  </pic:spPr>
                </pic:pic>
              </a:graphicData>
            </a:graphic>
          </wp:inline>
        </w:drawing>
      </w:r>
    </w:p>
    <w:p w14:paraId="5C9281BC" w14:textId="1E36AF39" w:rsidR="00B50F1D" w:rsidRPr="00B50F1D" w:rsidRDefault="00B50F1D" w:rsidP="00B50F1D">
      <w:pPr>
        <w:spacing w:after="200" w:line="276" w:lineRule="auto"/>
        <w:jc w:val="center"/>
        <w:rPr>
          <w:rFonts w:eastAsia="Calibri"/>
          <w:sz w:val="24"/>
          <w:szCs w:val="24"/>
        </w:rPr>
      </w:pPr>
      <w:r w:rsidRPr="00B50F1D">
        <w:rPr>
          <w:rFonts w:eastAsia="Calibri"/>
          <w:b/>
          <w:sz w:val="24"/>
          <w:szCs w:val="24"/>
        </w:rPr>
        <w:br w:type="page"/>
      </w:r>
      <w:r w:rsidRPr="00B50F1D">
        <w:rPr>
          <w:rFonts w:eastAsia="Calibri"/>
          <w:sz w:val="24"/>
          <w:szCs w:val="24"/>
        </w:rPr>
        <w:lastRenderedPageBreak/>
        <w:t xml:space="preserve">Figure </w:t>
      </w:r>
      <w:r w:rsidR="00555C49">
        <w:rPr>
          <w:rFonts w:eastAsia="Calibri"/>
          <w:sz w:val="24"/>
          <w:szCs w:val="24"/>
        </w:rPr>
        <w:t>B</w:t>
      </w:r>
      <w:r w:rsidRPr="00B50F1D">
        <w:rPr>
          <w:rFonts w:eastAsia="Calibri"/>
          <w:sz w:val="24"/>
          <w:szCs w:val="24"/>
        </w:rPr>
        <w:t>8</w:t>
      </w:r>
    </w:p>
    <w:p w14:paraId="7B87DE1D"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West MS-VAR State-Dependent Generalized Impulse Response Function</w:t>
      </w:r>
    </w:p>
    <w:p w14:paraId="2660F00E"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44E8BEEA" wp14:editId="2FF0FF4F">
            <wp:extent cx="5333559" cy="3998645"/>
            <wp:effectExtent l="0" t="0" r="63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CCS_MSVAR_west_L1_K2_sdGIRF.png"/>
                    <pic:cNvPicPr/>
                  </pic:nvPicPr>
                  <pic:blipFill>
                    <a:blip r:embed="rId41">
                      <a:extLst>
                        <a:ext uri="{28A0092B-C50C-407E-A947-70E740481C1C}">
                          <a14:useLocalDpi xmlns:a14="http://schemas.microsoft.com/office/drawing/2010/main" val="0"/>
                        </a:ext>
                      </a:extLst>
                    </a:blip>
                    <a:stretch>
                      <a:fillRect/>
                    </a:stretch>
                  </pic:blipFill>
                  <pic:spPr>
                    <a:xfrm>
                      <a:off x="0" y="0"/>
                      <a:ext cx="5333559" cy="3998645"/>
                    </a:xfrm>
                    <a:prstGeom prst="rect">
                      <a:avLst/>
                    </a:prstGeom>
                  </pic:spPr>
                </pic:pic>
              </a:graphicData>
            </a:graphic>
          </wp:inline>
        </w:drawing>
      </w:r>
    </w:p>
    <w:p w14:paraId="6FE603C1" w14:textId="77777777" w:rsidR="00B50F1D" w:rsidRPr="00B50F1D" w:rsidRDefault="00B50F1D" w:rsidP="00B50F1D">
      <w:pPr>
        <w:rPr>
          <w:rFonts w:ascii="Calibri" w:eastAsia="Calibri" w:hAnsi="Calibri"/>
        </w:rPr>
      </w:pPr>
    </w:p>
    <w:p w14:paraId="662AE591" w14:textId="77777777" w:rsidR="002F2ED6" w:rsidRDefault="002F2ED6"/>
    <w:sectPr w:rsidR="002F2ED6">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17D48C" w14:textId="77777777" w:rsidR="00E96C7A" w:rsidRDefault="00E96C7A" w:rsidP="00B50F1D">
      <w:pPr>
        <w:spacing w:after="0" w:line="240" w:lineRule="auto"/>
      </w:pPr>
      <w:r>
        <w:separator/>
      </w:r>
    </w:p>
  </w:endnote>
  <w:endnote w:type="continuationSeparator" w:id="0">
    <w:p w14:paraId="59E2DA8F" w14:textId="77777777" w:rsidR="00E96C7A" w:rsidRDefault="00E96C7A" w:rsidP="00B50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vGulliv-R">
    <w:altName w:val="Yu Gothic UI"/>
    <w:panose1 w:val="00000000000000000000"/>
    <w:charset w:val="80"/>
    <w:family w:val="auto"/>
    <w:notTrueType/>
    <w:pitch w:val="default"/>
    <w:sig w:usb0="00000001" w:usb1="08070000" w:usb2="00000010" w:usb3="00000000" w:csb0="00020000" w:csb1="00000000"/>
  </w:font>
  <w:font w:name="Times New Roman Uni">
    <w:altName w:val="Yu Gothic"/>
    <w:charset w:val="80"/>
    <w:family w:val="roman"/>
    <w:pitch w:val="variable"/>
    <w:sig w:usb0="B334AAFF" w:usb1="F9DFFFFF" w:usb2="0000003E" w:usb3="00000000" w:csb0="001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BF071" w14:textId="07616727" w:rsidR="0029112B" w:rsidRPr="00066591" w:rsidRDefault="0029112B">
    <w:pPr>
      <w:pStyle w:val="Footer1"/>
      <w:jc w:val="center"/>
      <w:rPr>
        <w:sz w:val="24"/>
      </w:rPr>
    </w:pPr>
    <w:r w:rsidRPr="00066591">
      <w:rPr>
        <w:sz w:val="24"/>
      </w:rPr>
      <w:fldChar w:fldCharType="begin"/>
    </w:r>
    <w:r w:rsidRPr="00066591">
      <w:rPr>
        <w:sz w:val="24"/>
      </w:rPr>
      <w:instrText xml:space="preserve"> PAGE   \* MERGEFORMAT </w:instrText>
    </w:r>
    <w:r w:rsidRPr="00066591">
      <w:rPr>
        <w:sz w:val="24"/>
      </w:rPr>
      <w:fldChar w:fldCharType="separate"/>
    </w:r>
    <w:r>
      <w:rPr>
        <w:noProof/>
        <w:sz w:val="24"/>
      </w:rPr>
      <w:t>22</w:t>
    </w:r>
    <w:r w:rsidRPr="00066591">
      <w:rPr>
        <w:sz w:val="24"/>
      </w:rPr>
      <w:fldChar w:fldCharType="end"/>
    </w:r>
  </w:p>
  <w:p w14:paraId="4FE40361" w14:textId="77777777" w:rsidR="0029112B" w:rsidRDefault="0029112B">
    <w:pPr>
      <w:pStyle w:val="Footer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324B90" w14:textId="77777777" w:rsidR="00E96C7A" w:rsidRDefault="00E96C7A" w:rsidP="00B50F1D">
      <w:pPr>
        <w:spacing w:after="0" w:line="240" w:lineRule="auto"/>
      </w:pPr>
      <w:r>
        <w:separator/>
      </w:r>
    </w:p>
  </w:footnote>
  <w:footnote w:type="continuationSeparator" w:id="0">
    <w:p w14:paraId="68B9035B" w14:textId="77777777" w:rsidR="00E96C7A" w:rsidRDefault="00E96C7A" w:rsidP="00B50F1D">
      <w:pPr>
        <w:spacing w:after="0" w:line="240" w:lineRule="auto"/>
      </w:pPr>
      <w:r>
        <w:continuationSeparator/>
      </w:r>
    </w:p>
  </w:footnote>
  <w:footnote w:id="1">
    <w:p w14:paraId="21BB1485" w14:textId="77777777" w:rsidR="0029112B" w:rsidRDefault="0029112B" w:rsidP="00B50F1D">
      <w:pPr>
        <w:pStyle w:val="FootnoteText1"/>
      </w:pPr>
      <w:r>
        <w:rPr>
          <w:rStyle w:val="FootnoteReference"/>
        </w:rPr>
        <w:footnoteRef/>
      </w:r>
      <w:r>
        <w:t xml:space="preserve"> Two other reasons might also be noted.  An individual might own two houses, one of which is occupied most of the year and the other that is used for vacations.  The vacation house will likely be unoccupied for large portions of a year.  Such vacancy can be viewed as intentional and does not suggest any housing market problem.  What is termed long-term vacancy (i.e., non-seasonal housing units that have been vacant for an unusually long period of time) suggests the possibility of some fundamental problem, such as a declining neighborhood.  See Molloy (2016) and Harrison and </w:t>
      </w:r>
      <w:proofErr w:type="spellStart"/>
      <w:r>
        <w:t>Immergluck</w:t>
      </w:r>
      <w:proofErr w:type="spellEnd"/>
      <w:r>
        <w:t xml:space="preserve"> (2020) for recent analyses of long-term vacancies.  Due to the level of aggregation of our analysis, we do not address this important issue.</w:t>
      </w:r>
    </w:p>
  </w:footnote>
  <w:footnote w:id="2">
    <w:p w14:paraId="210EE45F" w14:textId="77777777" w:rsidR="0029112B" w:rsidRDefault="0029112B" w:rsidP="00B50F1D">
      <w:pPr>
        <w:pStyle w:val="FootnoteText1"/>
      </w:pPr>
      <w:r>
        <w:rPr>
          <w:rStyle w:val="FootnoteReference"/>
        </w:rPr>
        <w:footnoteRef/>
      </w:r>
      <w:r>
        <w:t xml:space="preserve"> While our research examines owner-occupied housing, a similar analysis could be done for rental property.  An early study is Gabriel and </w:t>
      </w:r>
      <w:proofErr w:type="spellStart"/>
      <w:r>
        <w:t>Nothaft</w:t>
      </w:r>
      <w:proofErr w:type="spellEnd"/>
      <w:r>
        <w:t xml:space="preserve"> (1988).  From the mid-1950s to the present, the correlation between homeowner and rental vacancy rates is 0.77.  These rates move in opposite directions prior to the Great Recession, a period worthy of a separate study, as well as for a much more complicated analysis that considers the interaction between rental and homeownership vacancies.</w:t>
      </w:r>
    </w:p>
  </w:footnote>
  <w:footnote w:id="3">
    <w:p w14:paraId="535BD0E0" w14:textId="77777777" w:rsidR="0029112B" w:rsidRDefault="0029112B" w:rsidP="00B50F1D">
      <w:pPr>
        <w:pStyle w:val="FootnoteText1"/>
      </w:pPr>
      <w:r>
        <w:rPr>
          <w:rStyle w:val="FootnoteReference"/>
        </w:rPr>
        <w:footnoteRef/>
      </w:r>
      <w:r>
        <w:t xml:space="preserve"> See </w:t>
      </w:r>
      <w:proofErr w:type="spellStart"/>
      <w:r>
        <w:t>Fritzsche</w:t>
      </w:r>
      <w:proofErr w:type="spellEnd"/>
      <w:r>
        <w:t xml:space="preserve"> and </w:t>
      </w:r>
      <w:proofErr w:type="spellStart"/>
      <w:r>
        <w:t>Vandrei</w:t>
      </w:r>
      <w:proofErr w:type="spellEnd"/>
      <w:r>
        <w:t xml:space="preserve"> (2014) for a discussion of the theoretical causes of vacancies and a summary of empirical findings.  A related paper by Cheshire, </w:t>
      </w:r>
      <w:proofErr w:type="spellStart"/>
      <w:r>
        <w:t>Hilber</w:t>
      </w:r>
      <w:proofErr w:type="spellEnd"/>
      <w:r>
        <w:t xml:space="preserve">, and </w:t>
      </w:r>
      <w:proofErr w:type="spellStart"/>
      <w:r>
        <w:t>Koster</w:t>
      </w:r>
      <w:proofErr w:type="spellEnd"/>
      <w:r>
        <w:t xml:space="preserve"> (2015) finds that regulations restricting new house construction increases rather than decreases vacancy rates.  Regulations lead to higher prices providing incentives for occupying houses, but also impede the matching process.  Empirically, for a sample of local housing markets in England, this latter effect, which tends to increase vacancies, dominates the former effect.</w:t>
      </w:r>
    </w:p>
  </w:footnote>
  <w:footnote w:id="4">
    <w:p w14:paraId="58FAF0FE" w14:textId="6CEEC68C" w:rsidR="0029112B" w:rsidRDefault="0029112B" w:rsidP="009A393F">
      <w:pPr>
        <w:pStyle w:val="FootnoteText"/>
      </w:pPr>
      <w:r w:rsidRPr="00D3749F">
        <w:rPr>
          <w:rStyle w:val="FootnoteReference"/>
          <w:rFonts w:asciiTheme="minorHAnsi" w:hAnsiTheme="minorHAnsi" w:cstheme="minorHAnsi"/>
        </w:rPr>
        <w:footnoteRef/>
      </w:r>
      <w:r w:rsidRPr="00D3749F">
        <w:rPr>
          <w:rFonts w:asciiTheme="minorHAnsi" w:hAnsiTheme="minorHAnsi" w:cstheme="minorHAnsi"/>
        </w:rPr>
        <w:t xml:space="preserve"> Another focus would be on MSAs rather than Census regions.  Our framework allows for such an exercise, but we lack sufficient data for estimation</w:t>
      </w:r>
      <w:r w:rsidRPr="005F103C">
        <w:rPr>
          <w:rFonts w:ascii="Times New Roman" w:hAnsi="Times New Roman"/>
        </w:rPr>
        <w:t>.</w:t>
      </w:r>
    </w:p>
  </w:footnote>
  <w:footnote w:id="5">
    <w:p w14:paraId="12976EEA" w14:textId="53B8919C" w:rsidR="0029112B" w:rsidRPr="00D3749F" w:rsidRDefault="0029112B" w:rsidP="00F63E82">
      <w:pPr>
        <w:pStyle w:val="FootnoteText"/>
        <w:rPr>
          <w:rFonts w:asciiTheme="minorHAnsi" w:hAnsiTheme="minorHAnsi" w:cstheme="minorHAnsi"/>
        </w:rPr>
      </w:pPr>
      <w:r w:rsidRPr="00D3749F">
        <w:rPr>
          <w:rStyle w:val="FootnoteReference"/>
          <w:rFonts w:asciiTheme="minorHAnsi" w:hAnsiTheme="minorHAnsi" w:cstheme="minorHAnsi"/>
        </w:rPr>
        <w:footnoteRef/>
      </w:r>
      <w:r w:rsidRPr="00D3749F">
        <w:rPr>
          <w:rFonts w:asciiTheme="minorHAnsi" w:hAnsiTheme="minorHAnsi" w:cstheme="minorHAnsi"/>
        </w:rPr>
        <w:t xml:space="preserve"> </w:t>
      </w:r>
      <w:r w:rsidRPr="00814123">
        <w:rPr>
          <w:rFonts w:asciiTheme="minorHAnsi" w:eastAsia="Calibri" w:hAnsiTheme="minorHAnsi" w:cstheme="minorHAnsi"/>
        </w:rPr>
        <w:t>The</w:t>
      </w:r>
      <w:r w:rsidRPr="00814123">
        <w:rPr>
          <w:rFonts w:asciiTheme="minorHAnsi" w:eastAsia="Calibri" w:hAnsiTheme="minorHAnsi" w:cstheme="minorHAnsi"/>
        </w:rPr>
        <w:t/>
      </w:r>
      <w:r w:rsidRPr="00814123">
        <w:rPr>
          <w:rFonts w:asciiTheme="minorHAnsi" w:eastAsia="Calibri" w:hAnsiTheme="minorHAnsi" w:cstheme="minorHAnsi"/>
        </w:rPr>
        <w:t xml:space="preserve"> possibility of vacant housing is illustrated by</w:t>
      </w:r>
      <w:r w:rsidRPr="006E0831">
        <w:rPr>
          <w:rFonts w:asciiTheme="minorHAnsi" w:eastAsia="Calibri" w:hAnsiTheme="minorHAnsi" w:cstheme="minorHAnsi"/>
        </w:rPr>
        <w:t xml:space="preserve"> Figure A1</w:t>
      </w:r>
      <w:r w:rsidRPr="00BB4C88">
        <w:rPr>
          <w:rFonts w:asciiTheme="minorHAnsi" w:eastAsia="Calibri" w:hAnsiTheme="minorHAnsi" w:cstheme="minorHAnsi"/>
        </w:rPr>
        <w:t xml:space="preserve"> in Appendix A via a simple supply and demand framework. </w:t>
      </w:r>
    </w:p>
  </w:footnote>
  <w:footnote w:id="6">
    <w:p w14:paraId="04E92624" w14:textId="5807C6D0" w:rsidR="0029112B" w:rsidRDefault="0029112B" w:rsidP="00B50F1D">
      <w:pPr>
        <w:pStyle w:val="FootnoteText1"/>
      </w:pPr>
      <w:r w:rsidRPr="00D3749F">
        <w:rPr>
          <w:rStyle w:val="FootnoteReference"/>
          <w:rFonts w:asciiTheme="minorHAnsi" w:hAnsiTheme="minorHAnsi" w:cstheme="minorHAnsi"/>
        </w:rPr>
        <w:footnoteRef/>
      </w:r>
      <w:r w:rsidRPr="00D3749F">
        <w:rPr>
          <w:rFonts w:asciiTheme="minorHAnsi" w:hAnsiTheme="minorHAnsi" w:cstheme="minorHAnsi"/>
        </w:rPr>
        <w:t xml:space="preserve"> The loss aversion</w:t>
      </w:r>
      <w:r>
        <w:t xml:space="preserve"> argument of </w:t>
      </w:r>
      <w:proofErr w:type="spellStart"/>
      <w:r>
        <w:t>Genesove</w:t>
      </w:r>
      <w:proofErr w:type="spellEnd"/>
      <w:r>
        <w:t xml:space="preserve"> and Mayer (2001) illustrates how psychological concepts from behavioral economics can affect vacancy rates, a topic discussed in </w:t>
      </w:r>
      <w:proofErr w:type="spellStart"/>
      <w:r>
        <w:t>Fritzsche</w:t>
      </w:r>
      <w:proofErr w:type="spellEnd"/>
      <w:r>
        <w:t xml:space="preserve"> and </w:t>
      </w:r>
      <w:proofErr w:type="spellStart"/>
      <w:r>
        <w:t>Vandrei</w:t>
      </w:r>
      <w:proofErr w:type="spellEnd"/>
      <w:r>
        <w:t xml:space="preserve"> (2014).  Stein (1995) offers another argument related to </w:t>
      </w:r>
      <w:proofErr w:type="spellStart"/>
      <w:r>
        <w:t>Genesove</w:t>
      </w:r>
      <w:proofErr w:type="spellEnd"/>
      <w:r>
        <w:t xml:space="preserve"> and Mayer (2001).  In a declining house price environment, potential sellers are adversely affected by the resulting decline in wealth and liquidity.  This produces a reluctance to sell because ever-lower prices decrease the potential seller’s options for relocating as their capability of making a given down-payment is reduced. </w:t>
      </w:r>
    </w:p>
  </w:footnote>
  <w:footnote w:id="7">
    <w:p w14:paraId="6AA79F0A" w14:textId="0BDDB627" w:rsidR="0029112B" w:rsidRDefault="0029112B">
      <w:pPr>
        <w:pStyle w:val="FootnoteText"/>
      </w:pPr>
      <w:r w:rsidRPr="00D3749F">
        <w:rPr>
          <w:rStyle w:val="FootnoteReference"/>
          <w:rFonts w:asciiTheme="minorHAnsi" w:hAnsiTheme="minorHAnsi" w:cstheme="minorHAnsi"/>
        </w:rPr>
        <w:footnoteRef/>
      </w:r>
      <w:r w:rsidRPr="00D3749F">
        <w:rPr>
          <w:rFonts w:asciiTheme="minorHAnsi" w:hAnsiTheme="minorHAnsi" w:cstheme="minorHAnsi"/>
        </w:rPr>
        <w:t xml:space="preserve"> </w:t>
      </w:r>
      <w:r w:rsidRPr="00814123">
        <w:rPr>
          <w:rFonts w:asciiTheme="minorHAnsi" w:hAnsiTheme="minorHAnsi" w:cstheme="minorHAnsi"/>
        </w:rPr>
        <w:t>See Figure A1</w:t>
      </w:r>
      <w:r w:rsidRPr="00BB4C88">
        <w:rPr>
          <w:rFonts w:asciiTheme="minorHAnsi" w:hAnsiTheme="minorHAnsi" w:cstheme="minorHAnsi"/>
        </w:rPr>
        <w:t xml:space="preserve"> in Appendix</w:t>
      </w:r>
      <w:r w:rsidRPr="00B96CEC">
        <w:rPr>
          <w:rFonts w:asciiTheme="minorHAnsi" w:hAnsiTheme="minorHAnsi" w:cstheme="minorHAnsi"/>
        </w:rPr>
        <w:t xml:space="preserve"> </w:t>
      </w:r>
      <w:r>
        <w:rPr>
          <w:rFonts w:asciiTheme="minorHAnsi" w:hAnsiTheme="minorHAnsi" w:cstheme="minorHAnsi"/>
        </w:rPr>
        <w:t xml:space="preserve">A </w:t>
      </w:r>
      <w:r w:rsidRPr="00B96CEC">
        <w:rPr>
          <w:rFonts w:asciiTheme="minorHAnsi" w:hAnsiTheme="minorHAnsi" w:cstheme="minorHAnsi"/>
        </w:rPr>
        <w:t>for an exposition of the analysis described here.</w:t>
      </w:r>
    </w:p>
  </w:footnote>
  <w:footnote w:id="8">
    <w:p w14:paraId="7F68D684" w14:textId="77777777" w:rsidR="0029112B" w:rsidRDefault="0029112B" w:rsidP="00B50F1D">
      <w:pPr>
        <w:pStyle w:val="FootnoteText1"/>
      </w:pPr>
      <w:r>
        <w:rPr>
          <w:rStyle w:val="FootnoteReference"/>
        </w:rPr>
        <w:footnoteRef/>
      </w:r>
      <w:r>
        <w:t xml:space="preserve"> Obviously, this is a major simplification.  Households tend to move when a job change creates a large increase in commuting distance or the household experiences some other change in income or family size that makes a current house inadequate.  </w:t>
      </w:r>
      <w:proofErr w:type="spellStart"/>
      <w:r>
        <w:t>Ihrke</w:t>
      </w:r>
      <w:proofErr w:type="spellEnd"/>
      <w:r>
        <w:t xml:space="preserve"> (2014) found that with-in county moves are associated with housing-related issues, while between-county moves are associated with job-related issues.</w:t>
      </w:r>
    </w:p>
  </w:footnote>
  <w:footnote w:id="9">
    <w:p w14:paraId="73FA82EE" w14:textId="77777777" w:rsidR="0029112B" w:rsidRPr="000F2E89" w:rsidRDefault="0029112B" w:rsidP="00B96CEC">
      <w:pPr>
        <w:spacing w:after="200" w:line="276" w:lineRule="auto"/>
        <w:rPr>
          <w:sz w:val="20"/>
          <w:szCs w:val="20"/>
        </w:rPr>
      </w:pPr>
      <w:r w:rsidRPr="005A2CC7">
        <w:rPr>
          <w:rStyle w:val="FootnoteReference"/>
        </w:rPr>
        <w:footnoteRef/>
      </w:r>
      <w:r w:rsidRPr="000F2E89">
        <w:rPr>
          <w:sz w:val="20"/>
          <w:szCs w:val="20"/>
        </w:rPr>
        <w:t xml:space="preserve"> Wheaton (1990) further simplifies the analysis by assuming that the two types of households are identical in number and behavior. With β</w:t>
      </w:r>
      <w:r w:rsidRPr="000F2E89">
        <w:rPr>
          <w:sz w:val="20"/>
          <w:szCs w:val="20"/>
          <w:vertAlign w:val="subscript"/>
        </w:rPr>
        <w:t>1</w:t>
      </w:r>
      <w:r w:rsidRPr="000F2E89">
        <w:rPr>
          <w:sz w:val="20"/>
          <w:szCs w:val="20"/>
        </w:rPr>
        <w:t xml:space="preserve"> = β</w:t>
      </w:r>
      <w:r w:rsidRPr="000F2E89">
        <w:rPr>
          <w:sz w:val="20"/>
          <w:szCs w:val="20"/>
          <w:vertAlign w:val="subscript"/>
        </w:rPr>
        <w:t>2</w:t>
      </w:r>
      <w:r w:rsidRPr="000F2E89">
        <w:rPr>
          <w:sz w:val="20"/>
          <w:szCs w:val="20"/>
        </w:rPr>
        <w:t>, V</w:t>
      </w:r>
      <w:r w:rsidRPr="000F2E89">
        <w:rPr>
          <w:sz w:val="20"/>
          <w:szCs w:val="20"/>
          <w:vertAlign w:val="subscript"/>
        </w:rPr>
        <w:t>1</w:t>
      </w:r>
      <w:r w:rsidRPr="000F2E89">
        <w:rPr>
          <w:sz w:val="20"/>
          <w:szCs w:val="20"/>
        </w:rPr>
        <w:t xml:space="preserve"> = V</w:t>
      </w:r>
      <w:r w:rsidRPr="000F2E89">
        <w:rPr>
          <w:sz w:val="20"/>
          <w:szCs w:val="20"/>
          <w:vertAlign w:val="subscript"/>
        </w:rPr>
        <w:t>2</w:t>
      </w:r>
      <w:r w:rsidRPr="000F2E89">
        <w:rPr>
          <w:sz w:val="20"/>
          <w:szCs w:val="20"/>
        </w:rPr>
        <w:t>, H</w:t>
      </w:r>
      <w:r w:rsidRPr="000F2E89">
        <w:rPr>
          <w:sz w:val="20"/>
          <w:szCs w:val="20"/>
          <w:vertAlign w:val="subscript"/>
        </w:rPr>
        <w:t>1</w:t>
      </w:r>
      <w:r w:rsidRPr="000F2E89">
        <w:rPr>
          <w:sz w:val="20"/>
          <w:szCs w:val="20"/>
        </w:rPr>
        <w:t xml:space="preserve"> = H</w:t>
      </w:r>
      <w:r w:rsidRPr="000F2E89">
        <w:rPr>
          <w:sz w:val="20"/>
          <w:szCs w:val="20"/>
          <w:vertAlign w:val="subscript"/>
        </w:rPr>
        <w:t>2</w:t>
      </w:r>
      <w:r w:rsidRPr="000F2E89">
        <w:rPr>
          <w:sz w:val="20"/>
          <w:szCs w:val="20"/>
        </w:rPr>
        <w:t>, m</w:t>
      </w:r>
      <w:r w:rsidRPr="000F2E89">
        <w:rPr>
          <w:sz w:val="20"/>
          <w:szCs w:val="20"/>
          <w:vertAlign w:val="subscript"/>
        </w:rPr>
        <w:t>1</w:t>
      </w:r>
      <w:r w:rsidRPr="000F2E89">
        <w:rPr>
          <w:sz w:val="20"/>
          <w:szCs w:val="20"/>
        </w:rPr>
        <w:t xml:space="preserve"> = m</w:t>
      </w:r>
      <w:r w:rsidRPr="000F2E89">
        <w:rPr>
          <w:sz w:val="20"/>
          <w:szCs w:val="20"/>
          <w:vertAlign w:val="subscript"/>
        </w:rPr>
        <w:t>2</w:t>
      </w:r>
      <w:r w:rsidRPr="000F2E89">
        <w:rPr>
          <w:sz w:val="20"/>
          <w:szCs w:val="20"/>
        </w:rPr>
        <w:t>, then HS</w:t>
      </w:r>
      <w:r w:rsidRPr="000F2E89">
        <w:rPr>
          <w:sz w:val="20"/>
          <w:szCs w:val="20"/>
          <w:vertAlign w:val="subscript"/>
        </w:rPr>
        <w:t>1</w:t>
      </w:r>
      <w:r w:rsidRPr="000F2E89">
        <w:rPr>
          <w:sz w:val="20"/>
          <w:szCs w:val="20"/>
        </w:rPr>
        <w:t xml:space="preserve"> = HS</w:t>
      </w:r>
      <w:r w:rsidRPr="000F2E89">
        <w:rPr>
          <w:sz w:val="20"/>
          <w:szCs w:val="20"/>
          <w:vertAlign w:val="subscript"/>
        </w:rPr>
        <w:t>2</w:t>
      </w:r>
      <w:r w:rsidRPr="000F2E89">
        <w:rPr>
          <w:sz w:val="20"/>
          <w:szCs w:val="20"/>
        </w:rPr>
        <w:t>, HM</w:t>
      </w:r>
      <w:r w:rsidRPr="000F2E89">
        <w:rPr>
          <w:sz w:val="20"/>
          <w:szCs w:val="20"/>
          <w:vertAlign w:val="subscript"/>
        </w:rPr>
        <w:t>1</w:t>
      </w:r>
      <w:r w:rsidRPr="000F2E89">
        <w:rPr>
          <w:sz w:val="20"/>
          <w:szCs w:val="20"/>
        </w:rPr>
        <w:t xml:space="preserve"> = HM</w:t>
      </w:r>
      <w:r w:rsidRPr="000F2E89">
        <w:rPr>
          <w:sz w:val="20"/>
          <w:szCs w:val="20"/>
          <w:vertAlign w:val="subscript"/>
        </w:rPr>
        <w:t>2</w:t>
      </w:r>
      <w:r w:rsidRPr="000F2E89">
        <w:rPr>
          <w:sz w:val="20"/>
          <w:szCs w:val="20"/>
        </w:rPr>
        <w:t>, and HD</w:t>
      </w:r>
      <w:r w:rsidRPr="000F2E89">
        <w:rPr>
          <w:sz w:val="20"/>
          <w:szCs w:val="20"/>
          <w:vertAlign w:val="subscript"/>
        </w:rPr>
        <w:t>1</w:t>
      </w:r>
      <w:r w:rsidRPr="000F2E89">
        <w:rPr>
          <w:sz w:val="20"/>
          <w:szCs w:val="20"/>
        </w:rPr>
        <w:t xml:space="preserve"> = HD</w:t>
      </w:r>
      <w:r w:rsidRPr="000F2E89">
        <w:rPr>
          <w:sz w:val="20"/>
          <w:szCs w:val="20"/>
          <w:vertAlign w:val="subscript"/>
        </w:rPr>
        <w:t>2</w:t>
      </w:r>
      <w:r w:rsidRPr="000F2E89">
        <w:rPr>
          <w:sz w:val="20"/>
          <w:szCs w:val="20"/>
        </w:rPr>
        <w:t>.  The effect of this simplification is to reduce the system of six differential equations to the following two equations:</w:t>
      </w:r>
    </w:p>
    <w:p w14:paraId="6C7DE3C3" w14:textId="53A19F14" w:rsidR="0029112B" w:rsidRPr="000F2E89" w:rsidRDefault="0029112B" w:rsidP="00B50F1D">
      <w:pPr>
        <w:spacing w:after="200" w:line="276" w:lineRule="auto"/>
        <w:ind w:left="360"/>
        <w:contextualSpacing/>
        <w:rPr>
          <w:sz w:val="20"/>
          <w:szCs w:val="20"/>
        </w:rPr>
      </w:pPr>
      <w:r>
        <w:rPr>
          <w:sz w:val="20"/>
          <w:szCs w:val="20"/>
        </w:rPr>
        <w:t>(</w:t>
      </w:r>
      <w:proofErr w:type="spellStart"/>
      <w:r>
        <w:rPr>
          <w:sz w:val="20"/>
          <w:szCs w:val="20"/>
        </w:rPr>
        <w:t>i</w:t>
      </w:r>
      <w:proofErr w:type="spellEnd"/>
      <w:r>
        <w:rPr>
          <w:sz w:val="20"/>
          <w:szCs w:val="20"/>
        </w:rPr>
        <w:t>)</w:t>
      </w:r>
      <w:r w:rsidRPr="000F2E89">
        <w:rPr>
          <w:sz w:val="20"/>
          <w:szCs w:val="20"/>
        </w:rPr>
        <w:t xml:space="preserve">          </w:t>
      </w:r>
      <w:proofErr w:type="spellStart"/>
      <w:r w:rsidRPr="005A2CC7">
        <w:rPr>
          <w:sz w:val="20"/>
          <w:szCs w:val="20"/>
        </w:rPr>
        <w:t>Ḣ</w:t>
      </w:r>
      <w:r w:rsidRPr="000F2E89">
        <w:rPr>
          <w:sz w:val="20"/>
          <w:szCs w:val="20"/>
        </w:rPr>
        <w:t>S</w:t>
      </w:r>
      <w:r w:rsidRPr="000F2E89">
        <w:rPr>
          <w:sz w:val="20"/>
          <w:szCs w:val="20"/>
          <w:vertAlign w:val="subscript"/>
        </w:rPr>
        <w:t>i</w:t>
      </w:r>
      <w:proofErr w:type="spellEnd"/>
      <w:r w:rsidRPr="000F2E89">
        <w:rPr>
          <w:sz w:val="20"/>
          <w:szCs w:val="20"/>
        </w:rPr>
        <w:t xml:space="preserve"> = -</w:t>
      </w:r>
      <w:proofErr w:type="gramStart"/>
      <w:r w:rsidRPr="000F2E89">
        <w:rPr>
          <w:sz w:val="20"/>
          <w:szCs w:val="20"/>
        </w:rPr>
        <w:t>HS(</w:t>
      </w:r>
      <w:proofErr w:type="gramEnd"/>
      <w:r w:rsidRPr="000F2E89">
        <w:rPr>
          <w:sz w:val="20"/>
          <w:szCs w:val="20"/>
        </w:rPr>
        <w:t xml:space="preserve">2β + m) + βH </w:t>
      </w:r>
      <w:r w:rsidRPr="005A2CC7">
        <w:rPr>
          <w:sz w:val="20"/>
          <w:szCs w:val="20"/>
        </w:rPr>
        <w:t>–</w:t>
      </w:r>
      <w:r w:rsidRPr="000F2E89">
        <w:rPr>
          <w:sz w:val="20"/>
          <w:szCs w:val="20"/>
        </w:rPr>
        <w:t xml:space="preserve"> βHD</w:t>
      </w:r>
    </w:p>
    <w:p w14:paraId="3497A10F" w14:textId="77777777" w:rsidR="0029112B" w:rsidRPr="000F2E89" w:rsidRDefault="0029112B" w:rsidP="00B50F1D">
      <w:pPr>
        <w:spacing w:after="200" w:line="276" w:lineRule="auto"/>
        <w:ind w:left="720"/>
        <w:contextualSpacing/>
        <w:rPr>
          <w:sz w:val="20"/>
          <w:szCs w:val="20"/>
        </w:rPr>
      </w:pPr>
    </w:p>
    <w:p w14:paraId="380A819C" w14:textId="7A60A2D8" w:rsidR="0029112B" w:rsidRPr="000F2E89" w:rsidRDefault="0029112B" w:rsidP="00B50F1D">
      <w:pPr>
        <w:spacing w:after="200" w:line="276" w:lineRule="auto"/>
        <w:ind w:left="360"/>
        <w:contextualSpacing/>
        <w:rPr>
          <w:sz w:val="20"/>
          <w:szCs w:val="20"/>
        </w:rPr>
      </w:pPr>
      <w:r>
        <w:rPr>
          <w:sz w:val="20"/>
          <w:szCs w:val="20"/>
        </w:rPr>
        <w:t xml:space="preserve">(ii)         </w:t>
      </w:r>
      <w:proofErr w:type="spellStart"/>
      <w:r w:rsidRPr="005A2CC7">
        <w:rPr>
          <w:sz w:val="20"/>
          <w:szCs w:val="20"/>
        </w:rPr>
        <w:t>Ḣ</w:t>
      </w:r>
      <w:r w:rsidRPr="000F2E89">
        <w:rPr>
          <w:sz w:val="20"/>
          <w:szCs w:val="20"/>
        </w:rPr>
        <w:t>D</w:t>
      </w:r>
      <w:r w:rsidRPr="000F2E89">
        <w:rPr>
          <w:sz w:val="20"/>
          <w:szCs w:val="20"/>
          <w:vertAlign w:val="subscript"/>
        </w:rPr>
        <w:t>i</w:t>
      </w:r>
      <w:proofErr w:type="spellEnd"/>
      <w:r w:rsidRPr="000F2E89">
        <w:rPr>
          <w:sz w:val="20"/>
          <w:szCs w:val="20"/>
        </w:rPr>
        <w:t xml:space="preserve"> = </w:t>
      </w:r>
      <w:proofErr w:type="spellStart"/>
      <w:proofErr w:type="gramStart"/>
      <w:r w:rsidRPr="000F2E89">
        <w:rPr>
          <w:sz w:val="20"/>
          <w:szCs w:val="20"/>
        </w:rPr>
        <w:t>mHS</w:t>
      </w:r>
      <w:proofErr w:type="spellEnd"/>
      <w:r w:rsidRPr="000F2E89">
        <w:rPr>
          <w:sz w:val="20"/>
          <w:szCs w:val="20"/>
        </w:rPr>
        <w:t>(</w:t>
      </w:r>
      <w:proofErr w:type="gramEnd"/>
      <w:r w:rsidRPr="000F2E89">
        <w:rPr>
          <w:sz w:val="20"/>
          <w:szCs w:val="20"/>
        </w:rPr>
        <w:t xml:space="preserve">1 </w:t>
      </w:r>
      <w:r w:rsidRPr="005A2CC7">
        <w:rPr>
          <w:sz w:val="20"/>
          <w:szCs w:val="20"/>
        </w:rPr>
        <w:t>–</w:t>
      </w:r>
      <w:r w:rsidRPr="000F2E89">
        <w:rPr>
          <w:sz w:val="20"/>
          <w:szCs w:val="20"/>
        </w:rPr>
        <w:t xml:space="preserve"> HD/V)</w:t>
      </w:r>
    </w:p>
    <w:p w14:paraId="061B0A41" w14:textId="77777777" w:rsidR="0029112B" w:rsidRPr="000F2E89" w:rsidRDefault="0029112B" w:rsidP="00B50F1D">
      <w:pPr>
        <w:spacing w:after="200" w:line="276" w:lineRule="auto"/>
        <w:ind w:left="720"/>
        <w:contextualSpacing/>
        <w:rPr>
          <w:sz w:val="20"/>
          <w:szCs w:val="20"/>
        </w:rPr>
      </w:pPr>
    </w:p>
    <w:p w14:paraId="56650527" w14:textId="77777777" w:rsidR="0029112B" w:rsidRPr="000F2E89" w:rsidRDefault="0029112B" w:rsidP="00B50F1D">
      <w:pPr>
        <w:spacing w:after="200" w:line="276" w:lineRule="auto"/>
        <w:ind w:firstLine="360"/>
        <w:rPr>
          <w:sz w:val="20"/>
          <w:szCs w:val="20"/>
        </w:rPr>
      </w:pPr>
      <w:r w:rsidRPr="000F2E89">
        <w:rPr>
          <w:sz w:val="20"/>
          <w:szCs w:val="20"/>
        </w:rPr>
        <w:t>Equations (9) and (10) allow the determination of HS and HD.  The resulting steady state is characterized by:</w:t>
      </w:r>
    </w:p>
    <w:p w14:paraId="7C838314" w14:textId="77777777" w:rsidR="0029112B" w:rsidRPr="000F2E89" w:rsidRDefault="0029112B" w:rsidP="00D3749F">
      <w:pPr>
        <w:pStyle w:val="ListParagraph"/>
        <w:numPr>
          <w:ilvl w:val="0"/>
          <w:numId w:val="2"/>
        </w:numPr>
        <w:spacing w:after="200" w:line="276" w:lineRule="auto"/>
        <w:ind w:left="1080"/>
        <w:rPr>
          <w:rFonts w:ascii="Times New Roman" w:hAnsi="Times New Roman"/>
          <w:sz w:val="20"/>
          <w:szCs w:val="20"/>
        </w:rPr>
      </w:pPr>
      <w:r w:rsidRPr="000F2E89">
        <w:rPr>
          <w:rFonts w:ascii="Times New Roman" w:hAnsi="Times New Roman"/>
          <w:sz w:val="20"/>
          <w:szCs w:val="20"/>
        </w:rPr>
        <w:t>HS = (</w:t>
      </w:r>
      <w:proofErr w:type="gramStart"/>
      <w:r w:rsidRPr="000F2E89">
        <w:rPr>
          <w:rFonts w:ascii="Times New Roman" w:hAnsi="Times New Roman"/>
          <w:sz w:val="20"/>
          <w:szCs w:val="20"/>
        </w:rPr>
        <w:t>β(</w:t>
      </w:r>
      <w:proofErr w:type="gramEnd"/>
      <w:r w:rsidRPr="000F2E89">
        <w:rPr>
          <w:rFonts w:ascii="Times New Roman" w:hAnsi="Times New Roman"/>
          <w:sz w:val="20"/>
          <w:szCs w:val="20"/>
        </w:rPr>
        <w:t xml:space="preserve">H </w:t>
      </w:r>
      <w:r w:rsidRPr="005A2CC7">
        <w:rPr>
          <w:rFonts w:ascii="Times New Roman" w:hAnsi="Times New Roman"/>
          <w:sz w:val="20"/>
          <w:szCs w:val="20"/>
        </w:rPr>
        <w:t>–</w:t>
      </w:r>
      <w:r w:rsidRPr="000F2E89">
        <w:rPr>
          <w:rFonts w:ascii="Times New Roman" w:hAnsi="Times New Roman"/>
          <w:sz w:val="20"/>
          <w:szCs w:val="20"/>
        </w:rPr>
        <w:t xml:space="preserve"> V))/(2β + m)</w:t>
      </w:r>
    </w:p>
    <w:p w14:paraId="5C489545" w14:textId="77777777" w:rsidR="0029112B" w:rsidRPr="000F2E89" w:rsidRDefault="0029112B" w:rsidP="00B50F1D">
      <w:pPr>
        <w:spacing w:after="200" w:line="276" w:lineRule="auto"/>
        <w:rPr>
          <w:sz w:val="20"/>
          <w:szCs w:val="20"/>
        </w:rPr>
      </w:pPr>
      <w:r w:rsidRPr="000F2E89">
        <w:rPr>
          <w:sz w:val="20"/>
          <w:szCs w:val="20"/>
        </w:rPr>
        <w:t>and</w:t>
      </w:r>
    </w:p>
    <w:p w14:paraId="67934D68" w14:textId="77777777" w:rsidR="0029112B" w:rsidRPr="000F2E89" w:rsidRDefault="0029112B" w:rsidP="00D3749F">
      <w:pPr>
        <w:pStyle w:val="ListParagraph"/>
        <w:numPr>
          <w:ilvl w:val="0"/>
          <w:numId w:val="2"/>
        </w:numPr>
        <w:spacing w:after="200" w:line="276" w:lineRule="auto"/>
        <w:ind w:left="1080"/>
        <w:rPr>
          <w:rFonts w:ascii="Times New Roman" w:hAnsi="Times New Roman"/>
          <w:sz w:val="20"/>
          <w:szCs w:val="20"/>
        </w:rPr>
      </w:pPr>
      <w:r w:rsidRPr="000F2E89">
        <w:rPr>
          <w:rFonts w:ascii="Times New Roman" w:hAnsi="Times New Roman"/>
          <w:sz w:val="20"/>
          <w:szCs w:val="20"/>
        </w:rPr>
        <w:t>HD = V.</w:t>
      </w:r>
    </w:p>
    <w:p w14:paraId="190D8AB7" w14:textId="77777777" w:rsidR="0029112B" w:rsidRDefault="0029112B" w:rsidP="00B50F1D">
      <w:pPr>
        <w:spacing w:after="200" w:line="276" w:lineRule="auto"/>
      </w:pPr>
      <w:r w:rsidRPr="000F2E89">
        <w:rPr>
          <w:sz w:val="20"/>
          <w:szCs w:val="20"/>
        </w:rPr>
        <w:t>Equation (</w:t>
      </w:r>
      <w:r>
        <w:rPr>
          <w:sz w:val="20"/>
          <w:szCs w:val="20"/>
        </w:rPr>
        <w:t>iii</w:t>
      </w:r>
      <w:r w:rsidRPr="000F2E89">
        <w:rPr>
          <w:sz w:val="20"/>
          <w:szCs w:val="20"/>
        </w:rPr>
        <w:t>) captures mismatched households looking to buy a house, while equation (</w:t>
      </w:r>
      <w:r>
        <w:rPr>
          <w:sz w:val="20"/>
          <w:szCs w:val="20"/>
        </w:rPr>
        <w:t>iv</w:t>
      </w:r>
      <w:r w:rsidRPr="000F2E89">
        <w:rPr>
          <w:sz w:val="20"/>
          <w:szCs w:val="20"/>
        </w:rPr>
        <w:t>) captures matched households who have a (vacant) house to sell.</w:t>
      </w:r>
      <w:r w:rsidRPr="000F2E89">
        <w:rPr>
          <w:b/>
          <w:sz w:val="20"/>
          <w:szCs w:val="20"/>
        </w:rPr>
        <w:t xml:space="preserve"> </w:t>
      </w:r>
      <w:r>
        <w:rPr>
          <w:sz w:val="20"/>
          <w:szCs w:val="20"/>
        </w:rPr>
        <w:t>In our adaptation, we retain the generalization that there can be two types, i and j, in our model and analysis.</w:t>
      </w:r>
    </w:p>
  </w:footnote>
  <w:footnote w:id="10">
    <w:p w14:paraId="378F5297" w14:textId="77777777" w:rsidR="0029112B" w:rsidRDefault="0029112B" w:rsidP="00B50F1D">
      <w:pPr>
        <w:pStyle w:val="FootnoteText1"/>
      </w:pPr>
      <w:r>
        <w:rPr>
          <w:rStyle w:val="FootnoteReference"/>
        </w:rPr>
        <w:footnoteRef/>
      </w:r>
      <w:r>
        <w:t xml:space="preserve"> For an alternative housing market model using a search-and-matching approach, see </w:t>
      </w:r>
      <w:proofErr w:type="spellStart"/>
      <w:r>
        <w:t>Lisi</w:t>
      </w:r>
      <w:proofErr w:type="spellEnd"/>
      <w:r>
        <w:t xml:space="preserve"> (2015).  This model, </w:t>
      </w:r>
      <w:proofErr w:type="gramStart"/>
      <w:r>
        <w:t>similar to</w:t>
      </w:r>
      <w:proofErr w:type="gramEnd"/>
      <w:r>
        <w:t xml:space="preserve"> our model, highlights the existence of vacancies; however, in contrast to our model, it does not address interregional effects.</w:t>
      </w:r>
    </w:p>
  </w:footnote>
  <w:footnote w:id="11">
    <w:p w14:paraId="106048F8" w14:textId="3FE8CD22" w:rsidR="0029112B" w:rsidRPr="00B11008" w:rsidRDefault="0029112B" w:rsidP="00B50F1D">
      <w:pPr>
        <w:pStyle w:val="FootnoteText"/>
        <w:rPr>
          <w:rFonts w:ascii="Times New Roman" w:hAnsi="Times New Roman"/>
        </w:rPr>
      </w:pPr>
      <w:r w:rsidRPr="00B11008">
        <w:rPr>
          <w:rStyle w:val="FootnoteReference"/>
          <w:rFonts w:ascii="Times New Roman" w:hAnsi="Times New Roman"/>
        </w:rPr>
        <w:footnoteRef/>
      </w:r>
      <w:r w:rsidRPr="00B11008">
        <w:rPr>
          <w:rFonts w:ascii="Times New Roman" w:hAnsi="Times New Roman"/>
        </w:rPr>
        <w:t xml:space="preserve"> Wheaton (1990) drops the subscripts to indicate that the economy (i.e., one region) is in steady state. We are retaining the subscripts here to allow for multiple regions, each of which is taking the other regions’ variables as exogenous. Without keeping these subscripts, it would be as if we were saying there was one large homogeneous region in the country, which is not consistent with the </w:t>
      </w:r>
      <w:r>
        <w:rPr>
          <w:rFonts w:ascii="Times New Roman" w:hAnsi="Times New Roman"/>
        </w:rPr>
        <w:t xml:space="preserve">regional </w:t>
      </w:r>
      <w:r w:rsidRPr="00B11008">
        <w:rPr>
          <w:rFonts w:ascii="Times New Roman" w:hAnsi="Times New Roman"/>
        </w:rPr>
        <w:t xml:space="preserve">problem we are studying. In other words, these subscripts are a driver for our hypothesis that vacancies differ and are interdependent across regions. </w:t>
      </w:r>
    </w:p>
  </w:footnote>
  <w:footnote w:id="12">
    <w:p w14:paraId="4D2B2C26" w14:textId="68543DD7" w:rsidR="0029112B" w:rsidRPr="00D3749F" w:rsidRDefault="0029112B">
      <w:pPr>
        <w:pStyle w:val="FootnoteText"/>
        <w:rPr>
          <w:rFonts w:asciiTheme="minorHAnsi" w:hAnsiTheme="minorHAnsi" w:cstheme="minorHAnsi"/>
        </w:rPr>
      </w:pPr>
      <w:r w:rsidRPr="00D3749F">
        <w:rPr>
          <w:rStyle w:val="FootnoteReference"/>
          <w:rFonts w:asciiTheme="minorHAnsi" w:hAnsiTheme="minorHAnsi" w:cstheme="minorHAnsi"/>
        </w:rPr>
        <w:footnoteRef/>
      </w:r>
      <w:r w:rsidRPr="00D3749F">
        <w:rPr>
          <w:rFonts w:asciiTheme="minorHAnsi" w:hAnsiTheme="minorHAnsi" w:cstheme="minorHAnsi"/>
        </w:rPr>
        <w:t xml:space="preserve"> For each term in brackets, the denominators are identical and are a negative value. The numerator for the first term in brackets is indeterminant because (dropping subscripts) </w:t>
      </w:r>
      <m:oMath>
        <m:r>
          <w:rPr>
            <w:rFonts w:ascii="Cambria Math" w:hAnsi="Cambria Math" w:cstheme="minorHAnsi"/>
          </w:rPr>
          <m:t>mq</m:t>
        </m:r>
      </m:oMath>
      <w:r w:rsidRPr="00D3749F">
        <w:rPr>
          <w:rFonts w:asciiTheme="minorHAnsi" w:hAnsiTheme="minorHAnsi" w:cstheme="minorHAnsi"/>
        </w:rPr>
        <w:t xml:space="preserve"> is positive, but the other terms sum to a negative number. Empirically, we find the first term to be positive. The other 3 numerators are negative, so each of the remaining terms in brackets is positive.</w:t>
      </w:r>
    </w:p>
  </w:footnote>
  <w:footnote w:id="13">
    <w:p w14:paraId="362EE945" w14:textId="71276E0E" w:rsidR="0029112B" w:rsidRDefault="0029112B">
      <w:pPr>
        <w:pStyle w:val="FootnoteText"/>
      </w:pPr>
      <w:r w:rsidRPr="00D3749F">
        <w:rPr>
          <w:rStyle w:val="FootnoteReference"/>
          <w:rFonts w:asciiTheme="minorHAnsi" w:hAnsiTheme="minorHAnsi" w:cstheme="minorHAnsi"/>
        </w:rPr>
        <w:footnoteRef/>
      </w:r>
      <w:r w:rsidRPr="00D3749F">
        <w:rPr>
          <w:rFonts w:asciiTheme="minorHAnsi" w:hAnsiTheme="minorHAnsi" w:cstheme="minorHAnsi"/>
        </w:rPr>
        <w:t xml:space="preserve"> Note that we only include the structural equation for the vacancy rate since our research question focuses on how this variable responds to migration flows (similarly, our empirical results for the MS-VAR only show the response of the vacancy rate to shocks in migration flows). The full set of structural equations is available from the authors upon request.</w:t>
      </w:r>
    </w:p>
  </w:footnote>
  <w:footnote w:id="14">
    <w:p w14:paraId="58DC0AF7" w14:textId="77777777" w:rsidR="0029112B" w:rsidRPr="002913E5" w:rsidRDefault="0029112B" w:rsidP="00B50F1D">
      <w:pPr>
        <w:pStyle w:val="FootnoteText"/>
        <w:rPr>
          <w:rFonts w:ascii="Times New Roman" w:hAnsi="Times New Roman"/>
        </w:rPr>
      </w:pPr>
      <w:r w:rsidRPr="002913E5">
        <w:rPr>
          <w:rStyle w:val="FootnoteReference"/>
          <w:rFonts w:ascii="Times New Roman" w:hAnsi="Times New Roman"/>
        </w:rPr>
        <w:footnoteRef/>
      </w:r>
      <w:r w:rsidRPr="002913E5">
        <w:rPr>
          <w:rFonts w:ascii="Times New Roman" w:hAnsi="Times New Roman"/>
        </w:rPr>
        <w:t xml:space="preserve"> We consider three model fit statistics from the literature: Akaike Information Criteria (AIC), Bayesian Information Criterion (BIC), and Deviance Information Criterion (DIC). The first two are standard in both Frequentist and Bayesian approaches, while DIC is applicable when using Bayesian estimation methods.</w:t>
      </w:r>
    </w:p>
  </w:footnote>
  <w:footnote w:id="15">
    <w:p w14:paraId="0C9D7A67" w14:textId="77777777" w:rsidR="0029112B" w:rsidRPr="002913E5" w:rsidRDefault="0029112B" w:rsidP="00B50F1D">
      <w:pPr>
        <w:pStyle w:val="FootnoteText"/>
        <w:rPr>
          <w:rFonts w:ascii="Times New Roman" w:hAnsi="Times New Roman"/>
        </w:rPr>
      </w:pPr>
      <w:r w:rsidRPr="002913E5">
        <w:rPr>
          <w:rStyle w:val="FootnoteReference"/>
          <w:rFonts w:ascii="Times New Roman" w:hAnsi="Times New Roman"/>
        </w:rPr>
        <w:footnoteRef/>
      </w:r>
      <w:r w:rsidRPr="002913E5">
        <w:rPr>
          <w:rFonts w:ascii="Times New Roman" w:hAnsi="Times New Roman"/>
        </w:rPr>
        <w:t xml:space="preserve"> The finding of a regime with a higher mean and volatility of the vacancy rate is somewhat </w:t>
      </w:r>
      <w:proofErr w:type="gramStart"/>
      <w:r w:rsidRPr="002913E5">
        <w:rPr>
          <w:rFonts w:ascii="Times New Roman" w:hAnsi="Times New Roman"/>
        </w:rPr>
        <w:t>similar to</w:t>
      </w:r>
      <w:proofErr w:type="gramEnd"/>
      <w:r w:rsidRPr="002913E5">
        <w:rPr>
          <w:rFonts w:ascii="Times New Roman" w:hAnsi="Times New Roman"/>
        </w:rPr>
        <w:t xml:space="preserve"> the finding of Kim and Nelson (1999) as it relates to the business cycle. They find that during unstable times (i.e., recessions) the mean GDP growth rate is </w:t>
      </w:r>
      <w:proofErr w:type="gramStart"/>
      <w:r w:rsidRPr="002913E5">
        <w:rPr>
          <w:rFonts w:ascii="Times New Roman" w:hAnsi="Times New Roman"/>
        </w:rPr>
        <w:t>lower</w:t>
      </w:r>
      <w:proofErr w:type="gramEnd"/>
      <w:r w:rsidRPr="002913E5">
        <w:rPr>
          <w:rFonts w:ascii="Times New Roman" w:hAnsi="Times New Roman"/>
        </w:rPr>
        <w:t xml:space="preserve"> and the volatility is higher.</w:t>
      </w:r>
    </w:p>
  </w:footnote>
  <w:footnote w:id="16">
    <w:p w14:paraId="106D7EA3" w14:textId="2D24CCAA" w:rsidR="0029112B" w:rsidRDefault="0029112B" w:rsidP="00B50F1D">
      <w:pPr>
        <w:pStyle w:val="FootnoteText1"/>
      </w:pPr>
      <w:r>
        <w:rPr>
          <w:rStyle w:val="FootnoteReference"/>
        </w:rPr>
        <w:footnoteRef/>
      </w:r>
      <w:r>
        <w:t xml:space="preserve"> The inclusion of autoregressive variables tends to produce smoother regime changes.  Models without autoregressive variables tend to generate abrupt switches.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7422A"/>
    <w:multiLevelType w:val="hybridMultilevel"/>
    <w:tmpl w:val="F19687C2"/>
    <w:lvl w:ilvl="0" w:tplc="69A087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B70B38"/>
    <w:multiLevelType w:val="hybridMultilevel"/>
    <w:tmpl w:val="89B20410"/>
    <w:lvl w:ilvl="0" w:tplc="2FD67CE2">
      <w:start w:val="3"/>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15:restartNumberingAfterBreak="0">
    <w:nsid w:val="1DFD1C5B"/>
    <w:multiLevelType w:val="hybridMultilevel"/>
    <w:tmpl w:val="747C3308"/>
    <w:lvl w:ilvl="0" w:tplc="69A087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4C7254"/>
    <w:multiLevelType w:val="hybridMultilevel"/>
    <w:tmpl w:val="737273D2"/>
    <w:lvl w:ilvl="0" w:tplc="69A087C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AB5574"/>
    <w:multiLevelType w:val="hybridMultilevel"/>
    <w:tmpl w:val="C078518E"/>
    <w:lvl w:ilvl="0" w:tplc="69A087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103721"/>
    <w:multiLevelType w:val="multilevel"/>
    <w:tmpl w:val="6BD8BB5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 w15:restartNumberingAfterBreak="0">
    <w:nsid w:val="44CF08FB"/>
    <w:multiLevelType w:val="hybridMultilevel"/>
    <w:tmpl w:val="FBDCE2A4"/>
    <w:lvl w:ilvl="0" w:tplc="B4629936">
      <w:start w:val="1"/>
      <w:numFmt w:val="decimal"/>
      <w:lvlText w:val="(%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2"/>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F1D"/>
    <w:rsid w:val="000005CA"/>
    <w:rsid w:val="00005A2D"/>
    <w:rsid w:val="0000700B"/>
    <w:rsid w:val="00021311"/>
    <w:rsid w:val="00032CA6"/>
    <w:rsid w:val="00043FB6"/>
    <w:rsid w:val="0005286E"/>
    <w:rsid w:val="00054567"/>
    <w:rsid w:val="00057117"/>
    <w:rsid w:val="00057569"/>
    <w:rsid w:val="00065C64"/>
    <w:rsid w:val="00073A00"/>
    <w:rsid w:val="00076AA5"/>
    <w:rsid w:val="00084965"/>
    <w:rsid w:val="00091F49"/>
    <w:rsid w:val="000B6162"/>
    <w:rsid w:val="000B64AA"/>
    <w:rsid w:val="000D4D3C"/>
    <w:rsid w:val="00101EB9"/>
    <w:rsid w:val="00115B08"/>
    <w:rsid w:val="0013325F"/>
    <w:rsid w:val="00141A42"/>
    <w:rsid w:val="00143312"/>
    <w:rsid w:val="0014342D"/>
    <w:rsid w:val="00151681"/>
    <w:rsid w:val="00161461"/>
    <w:rsid w:val="00173A25"/>
    <w:rsid w:val="00173ABB"/>
    <w:rsid w:val="00175AAE"/>
    <w:rsid w:val="00184F5B"/>
    <w:rsid w:val="00185C82"/>
    <w:rsid w:val="001A2D31"/>
    <w:rsid w:val="001A3D66"/>
    <w:rsid w:val="001B056F"/>
    <w:rsid w:val="001B0B7F"/>
    <w:rsid w:val="001B0EA2"/>
    <w:rsid w:val="001C2357"/>
    <w:rsid w:val="001C4DD8"/>
    <w:rsid w:val="001E7B5D"/>
    <w:rsid w:val="00232122"/>
    <w:rsid w:val="00261BB5"/>
    <w:rsid w:val="00271834"/>
    <w:rsid w:val="00272FB1"/>
    <w:rsid w:val="0028167C"/>
    <w:rsid w:val="0029112B"/>
    <w:rsid w:val="00295D16"/>
    <w:rsid w:val="002B0FEC"/>
    <w:rsid w:val="002B6B33"/>
    <w:rsid w:val="002C3006"/>
    <w:rsid w:val="002C3C26"/>
    <w:rsid w:val="002C4E98"/>
    <w:rsid w:val="002E4A59"/>
    <w:rsid w:val="002E51BC"/>
    <w:rsid w:val="002F2ED6"/>
    <w:rsid w:val="00304DD2"/>
    <w:rsid w:val="00330608"/>
    <w:rsid w:val="003363D8"/>
    <w:rsid w:val="00343125"/>
    <w:rsid w:val="00352767"/>
    <w:rsid w:val="00357089"/>
    <w:rsid w:val="00357111"/>
    <w:rsid w:val="00363CE9"/>
    <w:rsid w:val="00382C4C"/>
    <w:rsid w:val="00387C76"/>
    <w:rsid w:val="003901B1"/>
    <w:rsid w:val="003902F7"/>
    <w:rsid w:val="003A291C"/>
    <w:rsid w:val="003B12F3"/>
    <w:rsid w:val="003B562D"/>
    <w:rsid w:val="003B6F79"/>
    <w:rsid w:val="003D439A"/>
    <w:rsid w:val="003E39FA"/>
    <w:rsid w:val="00426BCD"/>
    <w:rsid w:val="004471BC"/>
    <w:rsid w:val="004511EE"/>
    <w:rsid w:val="00464B89"/>
    <w:rsid w:val="00466BF9"/>
    <w:rsid w:val="004675D0"/>
    <w:rsid w:val="00470353"/>
    <w:rsid w:val="0048336E"/>
    <w:rsid w:val="00486F20"/>
    <w:rsid w:val="004A248C"/>
    <w:rsid w:val="004B2556"/>
    <w:rsid w:val="004C2CC8"/>
    <w:rsid w:val="004C67A2"/>
    <w:rsid w:val="004D3BF5"/>
    <w:rsid w:val="004D4EE6"/>
    <w:rsid w:val="004E1133"/>
    <w:rsid w:val="004F0889"/>
    <w:rsid w:val="004F257D"/>
    <w:rsid w:val="004F73E4"/>
    <w:rsid w:val="0050145E"/>
    <w:rsid w:val="00515542"/>
    <w:rsid w:val="005330BA"/>
    <w:rsid w:val="005424C8"/>
    <w:rsid w:val="0054329E"/>
    <w:rsid w:val="0055329E"/>
    <w:rsid w:val="00555C49"/>
    <w:rsid w:val="00557D12"/>
    <w:rsid w:val="00573E8A"/>
    <w:rsid w:val="00586BBD"/>
    <w:rsid w:val="00594777"/>
    <w:rsid w:val="005A1551"/>
    <w:rsid w:val="005A1C69"/>
    <w:rsid w:val="005B6ECA"/>
    <w:rsid w:val="005D3868"/>
    <w:rsid w:val="005D3E3E"/>
    <w:rsid w:val="005D6315"/>
    <w:rsid w:val="005D6EE1"/>
    <w:rsid w:val="006036DE"/>
    <w:rsid w:val="00603DEB"/>
    <w:rsid w:val="0060702A"/>
    <w:rsid w:val="00631BC2"/>
    <w:rsid w:val="006353C2"/>
    <w:rsid w:val="00654A09"/>
    <w:rsid w:val="00655585"/>
    <w:rsid w:val="0067197B"/>
    <w:rsid w:val="006800C3"/>
    <w:rsid w:val="00681989"/>
    <w:rsid w:val="00686E4E"/>
    <w:rsid w:val="00691378"/>
    <w:rsid w:val="00692A44"/>
    <w:rsid w:val="006A0888"/>
    <w:rsid w:val="006A0899"/>
    <w:rsid w:val="006A0D6D"/>
    <w:rsid w:val="006B2426"/>
    <w:rsid w:val="006C21D3"/>
    <w:rsid w:val="006D66EA"/>
    <w:rsid w:val="006E0831"/>
    <w:rsid w:val="006E1678"/>
    <w:rsid w:val="006F52CA"/>
    <w:rsid w:val="00722803"/>
    <w:rsid w:val="0072778B"/>
    <w:rsid w:val="00732D92"/>
    <w:rsid w:val="0075400A"/>
    <w:rsid w:val="00763DB3"/>
    <w:rsid w:val="00765316"/>
    <w:rsid w:val="00765A7A"/>
    <w:rsid w:val="00774600"/>
    <w:rsid w:val="007769D5"/>
    <w:rsid w:val="0078076C"/>
    <w:rsid w:val="00783916"/>
    <w:rsid w:val="00784B7D"/>
    <w:rsid w:val="007A17F7"/>
    <w:rsid w:val="007B3580"/>
    <w:rsid w:val="007C774B"/>
    <w:rsid w:val="007D31D3"/>
    <w:rsid w:val="007E2A5F"/>
    <w:rsid w:val="007E5C15"/>
    <w:rsid w:val="007F1F08"/>
    <w:rsid w:val="007F523F"/>
    <w:rsid w:val="007F5C24"/>
    <w:rsid w:val="007F750B"/>
    <w:rsid w:val="00814123"/>
    <w:rsid w:val="0082207B"/>
    <w:rsid w:val="00832F68"/>
    <w:rsid w:val="008372D7"/>
    <w:rsid w:val="0085514C"/>
    <w:rsid w:val="00855EBF"/>
    <w:rsid w:val="008623B2"/>
    <w:rsid w:val="00863D96"/>
    <w:rsid w:val="0088059B"/>
    <w:rsid w:val="008838C7"/>
    <w:rsid w:val="00893FA7"/>
    <w:rsid w:val="008A3D03"/>
    <w:rsid w:val="008B24A3"/>
    <w:rsid w:val="008B3B25"/>
    <w:rsid w:val="008B49C1"/>
    <w:rsid w:val="008C096A"/>
    <w:rsid w:val="008C12B1"/>
    <w:rsid w:val="008E16E0"/>
    <w:rsid w:val="008E3B00"/>
    <w:rsid w:val="008F0695"/>
    <w:rsid w:val="008F456D"/>
    <w:rsid w:val="00907EE5"/>
    <w:rsid w:val="009108E7"/>
    <w:rsid w:val="00915D62"/>
    <w:rsid w:val="00916B6F"/>
    <w:rsid w:val="0091710E"/>
    <w:rsid w:val="00921539"/>
    <w:rsid w:val="009216E2"/>
    <w:rsid w:val="0093478A"/>
    <w:rsid w:val="00940173"/>
    <w:rsid w:val="00955258"/>
    <w:rsid w:val="00966A0E"/>
    <w:rsid w:val="0098591B"/>
    <w:rsid w:val="009A393F"/>
    <w:rsid w:val="009B06B0"/>
    <w:rsid w:val="009B1AD3"/>
    <w:rsid w:val="009C1BDF"/>
    <w:rsid w:val="009C6D80"/>
    <w:rsid w:val="009C710A"/>
    <w:rsid w:val="009D5049"/>
    <w:rsid w:val="009F5F12"/>
    <w:rsid w:val="00A0795D"/>
    <w:rsid w:val="00A17DD1"/>
    <w:rsid w:val="00A220E9"/>
    <w:rsid w:val="00A42AD1"/>
    <w:rsid w:val="00A57369"/>
    <w:rsid w:val="00A65C48"/>
    <w:rsid w:val="00A771E6"/>
    <w:rsid w:val="00A82ECA"/>
    <w:rsid w:val="00A943AE"/>
    <w:rsid w:val="00AA29E2"/>
    <w:rsid w:val="00AA7A29"/>
    <w:rsid w:val="00AA7B8A"/>
    <w:rsid w:val="00AB79B2"/>
    <w:rsid w:val="00AC60B0"/>
    <w:rsid w:val="00AD3814"/>
    <w:rsid w:val="00AE5FDD"/>
    <w:rsid w:val="00B12F8A"/>
    <w:rsid w:val="00B20C96"/>
    <w:rsid w:val="00B4516E"/>
    <w:rsid w:val="00B45674"/>
    <w:rsid w:val="00B50037"/>
    <w:rsid w:val="00B50F1D"/>
    <w:rsid w:val="00B67F3F"/>
    <w:rsid w:val="00B77A4A"/>
    <w:rsid w:val="00B832A1"/>
    <w:rsid w:val="00B9077D"/>
    <w:rsid w:val="00B919DB"/>
    <w:rsid w:val="00B96CEC"/>
    <w:rsid w:val="00BA5751"/>
    <w:rsid w:val="00BA5F6C"/>
    <w:rsid w:val="00BB468B"/>
    <w:rsid w:val="00BB4C88"/>
    <w:rsid w:val="00BE1F6C"/>
    <w:rsid w:val="00BE3BFA"/>
    <w:rsid w:val="00BE6E38"/>
    <w:rsid w:val="00C0525E"/>
    <w:rsid w:val="00C153E7"/>
    <w:rsid w:val="00C20D13"/>
    <w:rsid w:val="00C22BA0"/>
    <w:rsid w:val="00C44DA7"/>
    <w:rsid w:val="00C52936"/>
    <w:rsid w:val="00C539E0"/>
    <w:rsid w:val="00C55D06"/>
    <w:rsid w:val="00C75540"/>
    <w:rsid w:val="00C82A58"/>
    <w:rsid w:val="00C873C3"/>
    <w:rsid w:val="00C91444"/>
    <w:rsid w:val="00C92557"/>
    <w:rsid w:val="00C92C65"/>
    <w:rsid w:val="00C94F38"/>
    <w:rsid w:val="00CA7B0B"/>
    <w:rsid w:val="00CB08E6"/>
    <w:rsid w:val="00CB2C49"/>
    <w:rsid w:val="00CD7036"/>
    <w:rsid w:val="00CE652A"/>
    <w:rsid w:val="00CE7244"/>
    <w:rsid w:val="00CF4AB6"/>
    <w:rsid w:val="00CF7A01"/>
    <w:rsid w:val="00D1788D"/>
    <w:rsid w:val="00D232BF"/>
    <w:rsid w:val="00D27EB4"/>
    <w:rsid w:val="00D32304"/>
    <w:rsid w:val="00D3749F"/>
    <w:rsid w:val="00D44378"/>
    <w:rsid w:val="00D447E9"/>
    <w:rsid w:val="00D556DC"/>
    <w:rsid w:val="00D82B64"/>
    <w:rsid w:val="00D87120"/>
    <w:rsid w:val="00DA026D"/>
    <w:rsid w:val="00DA2DED"/>
    <w:rsid w:val="00DF2181"/>
    <w:rsid w:val="00E07FA9"/>
    <w:rsid w:val="00E11BA4"/>
    <w:rsid w:val="00E20EB6"/>
    <w:rsid w:val="00E22FB0"/>
    <w:rsid w:val="00E24E45"/>
    <w:rsid w:val="00E25EAD"/>
    <w:rsid w:val="00E31CEE"/>
    <w:rsid w:val="00E42411"/>
    <w:rsid w:val="00E42FAF"/>
    <w:rsid w:val="00E444BC"/>
    <w:rsid w:val="00E60BFD"/>
    <w:rsid w:val="00E77369"/>
    <w:rsid w:val="00E86AC4"/>
    <w:rsid w:val="00E95447"/>
    <w:rsid w:val="00E966D4"/>
    <w:rsid w:val="00E968DD"/>
    <w:rsid w:val="00E96C7A"/>
    <w:rsid w:val="00EB02ED"/>
    <w:rsid w:val="00ED0A7D"/>
    <w:rsid w:val="00ED4FBE"/>
    <w:rsid w:val="00EE0B4C"/>
    <w:rsid w:val="00EF157E"/>
    <w:rsid w:val="00EF5CF1"/>
    <w:rsid w:val="00F24981"/>
    <w:rsid w:val="00F35E95"/>
    <w:rsid w:val="00F35F0B"/>
    <w:rsid w:val="00F36059"/>
    <w:rsid w:val="00F54A4B"/>
    <w:rsid w:val="00F5580D"/>
    <w:rsid w:val="00F63E82"/>
    <w:rsid w:val="00F64403"/>
    <w:rsid w:val="00F66C89"/>
    <w:rsid w:val="00F74312"/>
    <w:rsid w:val="00F74EA5"/>
    <w:rsid w:val="00F773A3"/>
    <w:rsid w:val="00F84BD8"/>
    <w:rsid w:val="00F84FE7"/>
    <w:rsid w:val="00F90B3C"/>
    <w:rsid w:val="00F92182"/>
    <w:rsid w:val="00F938E4"/>
    <w:rsid w:val="00F965BC"/>
    <w:rsid w:val="00FA77C2"/>
    <w:rsid w:val="00FB6EE4"/>
    <w:rsid w:val="00FC39AE"/>
    <w:rsid w:val="00FC405E"/>
    <w:rsid w:val="00FC5AC6"/>
    <w:rsid w:val="00FD65EE"/>
    <w:rsid w:val="00FF0C17"/>
    <w:rsid w:val="00FF1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B7899"/>
  <w15:docId w15:val="{E49D0260-7475-40CE-AB29-84CFFDF9C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F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B50F1D"/>
  </w:style>
  <w:style w:type="paragraph" w:customStyle="1" w:styleId="FootnoteText1">
    <w:name w:val="Footnote Text1"/>
    <w:basedOn w:val="Normal"/>
    <w:next w:val="FootnoteText"/>
    <w:link w:val="FootnoteTextChar"/>
    <w:uiPriority w:val="99"/>
    <w:unhideWhenUsed/>
    <w:rsid w:val="00B50F1D"/>
    <w:pPr>
      <w:spacing w:after="0" w:line="240" w:lineRule="auto"/>
    </w:pPr>
    <w:rPr>
      <w:rFonts w:eastAsia="Times New Roman"/>
      <w:sz w:val="20"/>
      <w:szCs w:val="20"/>
    </w:rPr>
  </w:style>
  <w:style w:type="character" w:customStyle="1" w:styleId="FootnoteTextChar">
    <w:name w:val="Footnote Text Char"/>
    <w:link w:val="FootnoteText1"/>
    <w:uiPriority w:val="99"/>
    <w:locked/>
    <w:rsid w:val="00B50F1D"/>
    <w:rPr>
      <w:rFonts w:eastAsia="Times New Roman"/>
      <w:sz w:val="20"/>
      <w:szCs w:val="20"/>
    </w:rPr>
  </w:style>
  <w:style w:type="character" w:styleId="FootnoteReference">
    <w:name w:val="footnote reference"/>
    <w:uiPriority w:val="99"/>
    <w:semiHidden/>
    <w:unhideWhenUsed/>
    <w:rsid w:val="00B50F1D"/>
    <w:rPr>
      <w:rFonts w:cs="Times New Roman"/>
      <w:vertAlign w:val="superscript"/>
    </w:rPr>
  </w:style>
  <w:style w:type="paragraph" w:styleId="ListParagraph">
    <w:name w:val="List Paragraph"/>
    <w:basedOn w:val="Normal"/>
    <w:uiPriority w:val="34"/>
    <w:qFormat/>
    <w:rsid w:val="00B50F1D"/>
    <w:pPr>
      <w:ind w:left="720"/>
      <w:contextualSpacing/>
    </w:pPr>
    <w:rPr>
      <w:rFonts w:ascii="Calibri" w:eastAsia="Times New Roman" w:hAnsi="Calibri"/>
    </w:rPr>
  </w:style>
  <w:style w:type="paragraph" w:styleId="FootnoteText">
    <w:name w:val="footnote text"/>
    <w:basedOn w:val="Normal"/>
    <w:link w:val="FootnoteTextChar1"/>
    <w:uiPriority w:val="99"/>
    <w:semiHidden/>
    <w:unhideWhenUsed/>
    <w:rsid w:val="00B50F1D"/>
    <w:pPr>
      <w:spacing w:after="0" w:line="240" w:lineRule="auto"/>
    </w:pPr>
    <w:rPr>
      <w:rFonts w:ascii="Calibri" w:eastAsia="Times New Roman" w:hAnsi="Calibri"/>
      <w:sz w:val="20"/>
      <w:szCs w:val="20"/>
    </w:rPr>
  </w:style>
  <w:style w:type="character" w:customStyle="1" w:styleId="FootnoteTextChar1">
    <w:name w:val="Footnote Text Char1"/>
    <w:basedOn w:val="DefaultParagraphFont"/>
    <w:link w:val="FootnoteText"/>
    <w:uiPriority w:val="99"/>
    <w:semiHidden/>
    <w:rsid w:val="00B50F1D"/>
    <w:rPr>
      <w:rFonts w:ascii="Calibri" w:eastAsia="Times New Roman" w:hAnsi="Calibri"/>
      <w:sz w:val="20"/>
      <w:szCs w:val="20"/>
    </w:rPr>
  </w:style>
  <w:style w:type="paragraph" w:styleId="PlainText">
    <w:name w:val="Plain Text"/>
    <w:basedOn w:val="Normal"/>
    <w:link w:val="PlainTextChar"/>
    <w:uiPriority w:val="99"/>
    <w:semiHidden/>
    <w:unhideWhenUsed/>
    <w:rsid w:val="00B50F1D"/>
    <w:pPr>
      <w:spacing w:after="0" w:line="240" w:lineRule="auto"/>
    </w:pPr>
    <w:rPr>
      <w:rFonts w:ascii="Calibri" w:eastAsia="Times New Roman" w:hAnsi="Calibri" w:cs="Consolas"/>
      <w:szCs w:val="21"/>
    </w:rPr>
  </w:style>
  <w:style w:type="character" w:customStyle="1" w:styleId="PlainTextChar">
    <w:name w:val="Plain Text Char"/>
    <w:basedOn w:val="DefaultParagraphFont"/>
    <w:link w:val="PlainText"/>
    <w:uiPriority w:val="99"/>
    <w:semiHidden/>
    <w:rsid w:val="00B50F1D"/>
    <w:rPr>
      <w:rFonts w:ascii="Calibri" w:eastAsia="Times New Roman" w:hAnsi="Calibri" w:cs="Consolas"/>
      <w:szCs w:val="21"/>
    </w:rPr>
  </w:style>
  <w:style w:type="paragraph" w:customStyle="1" w:styleId="BalloonText1">
    <w:name w:val="Balloon Text1"/>
    <w:basedOn w:val="Normal"/>
    <w:next w:val="BalloonText"/>
    <w:link w:val="BalloonTextChar"/>
    <w:uiPriority w:val="99"/>
    <w:semiHidden/>
    <w:unhideWhenUsed/>
    <w:rsid w:val="00B50F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B50F1D"/>
    <w:rPr>
      <w:rFonts w:ascii="Segoe UI" w:hAnsi="Segoe UI" w:cs="Segoe UI"/>
      <w:sz w:val="18"/>
      <w:szCs w:val="18"/>
    </w:rPr>
  </w:style>
  <w:style w:type="paragraph" w:customStyle="1" w:styleId="Header1">
    <w:name w:val="Header1"/>
    <w:basedOn w:val="Normal"/>
    <w:next w:val="Header"/>
    <w:link w:val="HeaderChar"/>
    <w:uiPriority w:val="99"/>
    <w:unhideWhenUsed/>
    <w:rsid w:val="00B50F1D"/>
    <w:pPr>
      <w:tabs>
        <w:tab w:val="center" w:pos="4680"/>
        <w:tab w:val="right" w:pos="9360"/>
      </w:tabs>
      <w:spacing w:after="0" w:line="240" w:lineRule="auto"/>
    </w:pPr>
    <w:rPr>
      <w:rFonts w:eastAsia="Times New Roman"/>
    </w:rPr>
  </w:style>
  <w:style w:type="character" w:customStyle="1" w:styleId="HeaderChar">
    <w:name w:val="Header Char"/>
    <w:basedOn w:val="DefaultParagraphFont"/>
    <w:link w:val="Header1"/>
    <w:uiPriority w:val="99"/>
    <w:rsid w:val="00B50F1D"/>
    <w:rPr>
      <w:rFonts w:eastAsia="Times New Roman" w:cs="Times New Roman"/>
    </w:rPr>
  </w:style>
  <w:style w:type="paragraph" w:customStyle="1" w:styleId="Footer1">
    <w:name w:val="Footer1"/>
    <w:basedOn w:val="Normal"/>
    <w:next w:val="Footer"/>
    <w:link w:val="FooterChar"/>
    <w:uiPriority w:val="99"/>
    <w:unhideWhenUsed/>
    <w:rsid w:val="00B50F1D"/>
    <w:pPr>
      <w:tabs>
        <w:tab w:val="center" w:pos="4680"/>
        <w:tab w:val="right" w:pos="9360"/>
      </w:tabs>
      <w:spacing w:after="0" w:line="240" w:lineRule="auto"/>
    </w:pPr>
    <w:rPr>
      <w:rFonts w:eastAsia="Times New Roman"/>
    </w:rPr>
  </w:style>
  <w:style w:type="character" w:customStyle="1" w:styleId="FooterChar">
    <w:name w:val="Footer Char"/>
    <w:basedOn w:val="DefaultParagraphFont"/>
    <w:link w:val="Footer1"/>
    <w:uiPriority w:val="99"/>
    <w:rsid w:val="00B50F1D"/>
    <w:rPr>
      <w:rFonts w:eastAsia="Times New Roman" w:cs="Times New Roman"/>
    </w:rPr>
  </w:style>
  <w:style w:type="character" w:styleId="PlaceholderText">
    <w:name w:val="Placeholder Text"/>
    <w:basedOn w:val="DefaultParagraphFont"/>
    <w:uiPriority w:val="99"/>
    <w:semiHidden/>
    <w:rsid w:val="00B50F1D"/>
    <w:rPr>
      <w:color w:val="808080"/>
    </w:rPr>
  </w:style>
  <w:style w:type="character" w:styleId="CommentReference">
    <w:name w:val="annotation reference"/>
    <w:basedOn w:val="DefaultParagraphFont"/>
    <w:uiPriority w:val="99"/>
    <w:semiHidden/>
    <w:unhideWhenUsed/>
    <w:rsid w:val="00B50F1D"/>
    <w:rPr>
      <w:sz w:val="16"/>
      <w:szCs w:val="16"/>
    </w:rPr>
  </w:style>
  <w:style w:type="paragraph" w:customStyle="1" w:styleId="CommentText1">
    <w:name w:val="Comment Text1"/>
    <w:basedOn w:val="Normal"/>
    <w:next w:val="CommentText"/>
    <w:link w:val="CommentTextChar"/>
    <w:uiPriority w:val="99"/>
    <w:unhideWhenUsed/>
    <w:rsid w:val="00B50F1D"/>
    <w:pPr>
      <w:spacing w:line="240" w:lineRule="auto"/>
    </w:pPr>
    <w:rPr>
      <w:sz w:val="20"/>
      <w:szCs w:val="20"/>
    </w:rPr>
  </w:style>
  <w:style w:type="character" w:customStyle="1" w:styleId="CommentTextChar">
    <w:name w:val="Comment Text Char"/>
    <w:basedOn w:val="DefaultParagraphFont"/>
    <w:link w:val="CommentText1"/>
    <w:uiPriority w:val="99"/>
    <w:rsid w:val="00B50F1D"/>
    <w:rPr>
      <w:sz w:val="20"/>
      <w:szCs w:val="20"/>
    </w:rPr>
  </w:style>
  <w:style w:type="paragraph" w:customStyle="1" w:styleId="CommentSubject1">
    <w:name w:val="Comment Subject1"/>
    <w:basedOn w:val="CommentText"/>
    <w:next w:val="CommentText"/>
    <w:uiPriority w:val="99"/>
    <w:semiHidden/>
    <w:unhideWhenUsed/>
    <w:rsid w:val="00B50F1D"/>
    <w:rPr>
      <w:rFonts w:ascii="Calibri" w:hAnsi="Calibri"/>
      <w:b/>
      <w:bCs/>
    </w:rPr>
  </w:style>
  <w:style w:type="character" w:customStyle="1" w:styleId="CommentSubjectChar">
    <w:name w:val="Comment Subject Char"/>
    <w:basedOn w:val="CommentTextChar"/>
    <w:link w:val="CommentSubject"/>
    <w:uiPriority w:val="99"/>
    <w:semiHidden/>
    <w:rsid w:val="00B50F1D"/>
    <w:rPr>
      <w:b/>
      <w:bCs/>
      <w:sz w:val="20"/>
      <w:szCs w:val="20"/>
    </w:rPr>
  </w:style>
  <w:style w:type="table" w:customStyle="1" w:styleId="TableGrid1">
    <w:name w:val="Table Grid1"/>
    <w:basedOn w:val="TableNormal"/>
    <w:next w:val="TableGrid"/>
    <w:uiPriority w:val="39"/>
    <w:rsid w:val="00B50F1D"/>
    <w:pPr>
      <w:spacing w:after="0" w:line="240" w:lineRule="auto"/>
    </w:pPr>
    <w:rPr>
      <w:rFonts w:ascii="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B50F1D"/>
    <w:rPr>
      <w:color w:val="0563C1"/>
      <w:u w:val="single"/>
    </w:rPr>
  </w:style>
  <w:style w:type="paragraph" w:styleId="BalloonText">
    <w:name w:val="Balloon Text"/>
    <w:basedOn w:val="Normal"/>
    <w:link w:val="BalloonTextChar1"/>
    <w:uiPriority w:val="99"/>
    <w:semiHidden/>
    <w:unhideWhenUsed/>
    <w:rsid w:val="00B50F1D"/>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B50F1D"/>
    <w:rPr>
      <w:rFonts w:ascii="Segoe UI" w:hAnsi="Segoe UI" w:cs="Segoe UI"/>
      <w:sz w:val="18"/>
      <w:szCs w:val="18"/>
    </w:rPr>
  </w:style>
  <w:style w:type="paragraph" w:styleId="Header">
    <w:name w:val="header"/>
    <w:basedOn w:val="Normal"/>
    <w:link w:val="HeaderChar1"/>
    <w:uiPriority w:val="99"/>
    <w:semiHidden/>
    <w:unhideWhenUsed/>
    <w:rsid w:val="00B50F1D"/>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B50F1D"/>
  </w:style>
  <w:style w:type="paragraph" w:styleId="Footer">
    <w:name w:val="footer"/>
    <w:basedOn w:val="Normal"/>
    <w:link w:val="FooterChar1"/>
    <w:uiPriority w:val="99"/>
    <w:semiHidden/>
    <w:unhideWhenUsed/>
    <w:rsid w:val="00B50F1D"/>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B50F1D"/>
  </w:style>
  <w:style w:type="paragraph" w:styleId="CommentText">
    <w:name w:val="annotation text"/>
    <w:basedOn w:val="Normal"/>
    <w:link w:val="CommentTextChar1"/>
    <w:uiPriority w:val="99"/>
    <w:semiHidden/>
    <w:unhideWhenUsed/>
    <w:rsid w:val="00B50F1D"/>
    <w:pPr>
      <w:spacing w:line="240" w:lineRule="auto"/>
    </w:pPr>
    <w:rPr>
      <w:sz w:val="20"/>
      <w:szCs w:val="20"/>
    </w:rPr>
  </w:style>
  <w:style w:type="character" w:customStyle="1" w:styleId="CommentTextChar1">
    <w:name w:val="Comment Text Char1"/>
    <w:basedOn w:val="DefaultParagraphFont"/>
    <w:link w:val="CommentText"/>
    <w:uiPriority w:val="99"/>
    <w:semiHidden/>
    <w:rsid w:val="00B50F1D"/>
    <w:rPr>
      <w:sz w:val="20"/>
      <w:szCs w:val="20"/>
    </w:rPr>
  </w:style>
  <w:style w:type="paragraph" w:styleId="CommentSubject">
    <w:name w:val="annotation subject"/>
    <w:basedOn w:val="CommentText"/>
    <w:next w:val="CommentText"/>
    <w:link w:val="CommentSubjectChar"/>
    <w:uiPriority w:val="99"/>
    <w:semiHidden/>
    <w:unhideWhenUsed/>
    <w:rsid w:val="00B50F1D"/>
    <w:rPr>
      <w:b/>
      <w:bCs/>
    </w:rPr>
  </w:style>
  <w:style w:type="character" w:customStyle="1" w:styleId="CommentSubjectChar1">
    <w:name w:val="Comment Subject Char1"/>
    <w:basedOn w:val="CommentTextChar1"/>
    <w:uiPriority w:val="99"/>
    <w:semiHidden/>
    <w:rsid w:val="00B50F1D"/>
    <w:rPr>
      <w:b/>
      <w:bCs/>
      <w:sz w:val="20"/>
      <w:szCs w:val="20"/>
    </w:rPr>
  </w:style>
  <w:style w:type="table" w:styleId="TableGrid">
    <w:name w:val="Table Grid"/>
    <w:basedOn w:val="TableNormal"/>
    <w:uiPriority w:val="39"/>
    <w:rsid w:val="00B50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50F1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005092">
      <w:bodyDiv w:val="1"/>
      <w:marLeft w:val="0"/>
      <w:marRight w:val="0"/>
      <w:marTop w:val="0"/>
      <w:marBottom w:val="0"/>
      <w:divBdr>
        <w:top w:val="none" w:sz="0" w:space="0" w:color="auto"/>
        <w:left w:val="none" w:sz="0" w:space="0" w:color="auto"/>
        <w:bottom w:val="none" w:sz="0" w:space="0" w:color="auto"/>
        <w:right w:val="none" w:sz="0" w:space="0" w:color="auto"/>
      </w:divBdr>
      <w:divsChild>
        <w:div w:id="1769160969">
          <w:marLeft w:val="480"/>
          <w:marRight w:val="0"/>
          <w:marTop w:val="0"/>
          <w:marBottom w:val="0"/>
          <w:divBdr>
            <w:top w:val="none" w:sz="0" w:space="0" w:color="auto"/>
            <w:left w:val="none" w:sz="0" w:space="0" w:color="auto"/>
            <w:bottom w:val="none" w:sz="0" w:space="0" w:color="auto"/>
            <w:right w:val="none" w:sz="0" w:space="0" w:color="auto"/>
          </w:divBdr>
          <w:divsChild>
            <w:div w:id="29132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852706">
      <w:bodyDiv w:val="1"/>
      <w:marLeft w:val="0"/>
      <w:marRight w:val="0"/>
      <w:marTop w:val="0"/>
      <w:marBottom w:val="0"/>
      <w:divBdr>
        <w:top w:val="none" w:sz="0" w:space="0" w:color="auto"/>
        <w:left w:val="none" w:sz="0" w:space="0" w:color="auto"/>
        <w:bottom w:val="none" w:sz="0" w:space="0" w:color="auto"/>
        <w:right w:val="none" w:sz="0" w:space="0" w:color="auto"/>
      </w:divBdr>
      <w:divsChild>
        <w:div w:id="755050593">
          <w:marLeft w:val="480"/>
          <w:marRight w:val="0"/>
          <w:marTop w:val="0"/>
          <w:marBottom w:val="0"/>
          <w:divBdr>
            <w:top w:val="none" w:sz="0" w:space="0" w:color="auto"/>
            <w:left w:val="none" w:sz="0" w:space="0" w:color="auto"/>
            <w:bottom w:val="none" w:sz="0" w:space="0" w:color="auto"/>
            <w:right w:val="none" w:sz="0" w:space="0" w:color="auto"/>
          </w:divBdr>
          <w:divsChild>
            <w:div w:id="207619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34952">
      <w:bodyDiv w:val="1"/>
      <w:marLeft w:val="0"/>
      <w:marRight w:val="0"/>
      <w:marTop w:val="0"/>
      <w:marBottom w:val="0"/>
      <w:divBdr>
        <w:top w:val="none" w:sz="0" w:space="0" w:color="auto"/>
        <w:left w:val="none" w:sz="0" w:space="0" w:color="auto"/>
        <w:bottom w:val="none" w:sz="0" w:space="0" w:color="auto"/>
        <w:right w:val="none" w:sz="0" w:space="0" w:color="auto"/>
      </w:divBdr>
    </w:div>
    <w:div w:id="815032946">
      <w:bodyDiv w:val="1"/>
      <w:marLeft w:val="0"/>
      <w:marRight w:val="0"/>
      <w:marTop w:val="0"/>
      <w:marBottom w:val="0"/>
      <w:divBdr>
        <w:top w:val="none" w:sz="0" w:space="0" w:color="auto"/>
        <w:left w:val="none" w:sz="0" w:space="0" w:color="auto"/>
        <w:bottom w:val="none" w:sz="0" w:space="0" w:color="auto"/>
        <w:right w:val="none" w:sz="0" w:space="0" w:color="auto"/>
      </w:divBdr>
      <w:divsChild>
        <w:div w:id="772357843">
          <w:marLeft w:val="480"/>
          <w:marRight w:val="0"/>
          <w:marTop w:val="0"/>
          <w:marBottom w:val="0"/>
          <w:divBdr>
            <w:top w:val="none" w:sz="0" w:space="0" w:color="auto"/>
            <w:left w:val="none" w:sz="0" w:space="0" w:color="auto"/>
            <w:bottom w:val="none" w:sz="0" w:space="0" w:color="auto"/>
            <w:right w:val="none" w:sz="0" w:space="0" w:color="auto"/>
          </w:divBdr>
          <w:divsChild>
            <w:div w:id="28790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91887">
      <w:bodyDiv w:val="1"/>
      <w:marLeft w:val="0"/>
      <w:marRight w:val="0"/>
      <w:marTop w:val="0"/>
      <w:marBottom w:val="0"/>
      <w:divBdr>
        <w:top w:val="none" w:sz="0" w:space="0" w:color="auto"/>
        <w:left w:val="none" w:sz="0" w:space="0" w:color="auto"/>
        <w:bottom w:val="none" w:sz="0" w:space="0" w:color="auto"/>
        <w:right w:val="none" w:sz="0" w:space="0" w:color="auto"/>
      </w:divBdr>
      <w:divsChild>
        <w:div w:id="1433433264">
          <w:marLeft w:val="480"/>
          <w:marRight w:val="0"/>
          <w:marTop w:val="0"/>
          <w:marBottom w:val="0"/>
          <w:divBdr>
            <w:top w:val="none" w:sz="0" w:space="0" w:color="auto"/>
            <w:left w:val="none" w:sz="0" w:space="0" w:color="auto"/>
            <w:bottom w:val="none" w:sz="0" w:space="0" w:color="auto"/>
            <w:right w:val="none" w:sz="0" w:space="0" w:color="auto"/>
          </w:divBdr>
          <w:divsChild>
            <w:div w:id="205372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37259">
      <w:bodyDiv w:val="1"/>
      <w:marLeft w:val="0"/>
      <w:marRight w:val="0"/>
      <w:marTop w:val="0"/>
      <w:marBottom w:val="0"/>
      <w:divBdr>
        <w:top w:val="none" w:sz="0" w:space="0" w:color="auto"/>
        <w:left w:val="none" w:sz="0" w:space="0" w:color="auto"/>
        <w:bottom w:val="none" w:sz="0" w:space="0" w:color="auto"/>
        <w:right w:val="none" w:sz="0" w:space="0" w:color="auto"/>
      </w:divBdr>
      <w:divsChild>
        <w:div w:id="821702405">
          <w:marLeft w:val="480"/>
          <w:marRight w:val="0"/>
          <w:marTop w:val="0"/>
          <w:marBottom w:val="0"/>
          <w:divBdr>
            <w:top w:val="none" w:sz="0" w:space="0" w:color="auto"/>
            <w:left w:val="none" w:sz="0" w:space="0" w:color="auto"/>
            <w:bottom w:val="none" w:sz="0" w:space="0" w:color="auto"/>
            <w:right w:val="none" w:sz="0" w:space="0" w:color="auto"/>
          </w:divBdr>
          <w:divsChild>
            <w:div w:id="160946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40115">
      <w:bodyDiv w:val="1"/>
      <w:marLeft w:val="0"/>
      <w:marRight w:val="0"/>
      <w:marTop w:val="0"/>
      <w:marBottom w:val="0"/>
      <w:divBdr>
        <w:top w:val="none" w:sz="0" w:space="0" w:color="auto"/>
        <w:left w:val="none" w:sz="0" w:space="0" w:color="auto"/>
        <w:bottom w:val="none" w:sz="0" w:space="0" w:color="auto"/>
        <w:right w:val="none" w:sz="0" w:space="0" w:color="auto"/>
      </w:divBdr>
      <w:divsChild>
        <w:div w:id="249508190">
          <w:marLeft w:val="480"/>
          <w:marRight w:val="0"/>
          <w:marTop w:val="0"/>
          <w:marBottom w:val="0"/>
          <w:divBdr>
            <w:top w:val="none" w:sz="0" w:space="0" w:color="auto"/>
            <w:left w:val="none" w:sz="0" w:space="0" w:color="auto"/>
            <w:bottom w:val="none" w:sz="0" w:space="0" w:color="auto"/>
            <w:right w:val="none" w:sz="0" w:space="0" w:color="auto"/>
          </w:divBdr>
          <w:divsChild>
            <w:div w:id="54742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wmf"/><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hyperlink" Target="mailto:soquesd@uncw.edu"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hyperlink" Target="mailto:Jeffrey.Cohen@business.uconn.ed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oleObject" Target="embeddings/oleObject1.bin"/><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9BA9A-D4B6-44BB-BD06-C4E7616AB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60</Pages>
  <Words>14867</Words>
  <Characters>84742</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UNC Wilmington</Company>
  <LinksUpToDate>false</LinksUpToDate>
  <CharactersWithSpaces>99411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F. Soques</dc:creator>
  <cp:lastModifiedBy>jeffrey cohen</cp:lastModifiedBy>
  <cp:revision>31</cp:revision>
  <cp:lastPrinted>2020-10-15T11:55:00Z</cp:lastPrinted>
  <dcterms:created xsi:type="dcterms:W3CDTF">2020-10-15T18:53:00Z</dcterms:created>
  <dcterms:modified xsi:type="dcterms:W3CDTF">2020-10-15T19:17:00Z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42cb32b4-6e95-47ad-bd63-374c6aa33ec0</vt:lpwstr>
  </property>
</Properties>
</file>