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7C5" w:rsidRDefault="000E67C5" w:rsidP="001F4448">
      <w:pPr>
        <w:spacing w:after="0"/>
        <w:jc w:val="center"/>
        <w:rPr>
          <w:sz w:val="40"/>
          <w:szCs w:val="40"/>
        </w:rPr>
      </w:pPr>
    </w:p>
    <w:p w:rsidR="00BB011B" w:rsidRDefault="009A5472" w:rsidP="001F4448">
      <w:pPr>
        <w:spacing w:after="0"/>
        <w:jc w:val="center"/>
        <w:rPr>
          <w:sz w:val="40"/>
          <w:szCs w:val="40"/>
        </w:rPr>
      </w:pPr>
      <w:r>
        <w:rPr>
          <w:sz w:val="40"/>
          <w:szCs w:val="40"/>
        </w:rPr>
        <w:t xml:space="preserve">Do Corporate Managers </w:t>
      </w:r>
      <w:r w:rsidR="00972DB0">
        <w:rPr>
          <w:sz w:val="40"/>
          <w:szCs w:val="40"/>
        </w:rPr>
        <w:t xml:space="preserve">Skimp </w:t>
      </w:r>
      <w:r w:rsidR="00D6464B">
        <w:rPr>
          <w:sz w:val="40"/>
          <w:szCs w:val="40"/>
        </w:rPr>
        <w:t xml:space="preserve">on </w:t>
      </w:r>
      <w:r w:rsidR="00972DB0">
        <w:rPr>
          <w:sz w:val="40"/>
          <w:szCs w:val="40"/>
        </w:rPr>
        <w:t>Shareholders’ Dividends to Protect</w:t>
      </w:r>
      <w:r>
        <w:rPr>
          <w:sz w:val="40"/>
          <w:szCs w:val="40"/>
        </w:rPr>
        <w:t xml:space="preserve"> their </w:t>
      </w:r>
      <w:r w:rsidR="00D6464B">
        <w:rPr>
          <w:sz w:val="40"/>
          <w:szCs w:val="40"/>
        </w:rPr>
        <w:t>O</w:t>
      </w:r>
      <w:r>
        <w:rPr>
          <w:sz w:val="40"/>
          <w:szCs w:val="40"/>
        </w:rPr>
        <w:t xml:space="preserve">wn </w:t>
      </w:r>
      <w:r w:rsidR="00972DB0">
        <w:rPr>
          <w:sz w:val="40"/>
          <w:szCs w:val="40"/>
        </w:rPr>
        <w:t>Retirement Funds</w:t>
      </w:r>
      <w:r>
        <w:rPr>
          <w:sz w:val="40"/>
          <w:szCs w:val="40"/>
        </w:rPr>
        <w:t>?</w:t>
      </w:r>
    </w:p>
    <w:p w:rsidR="0037707C" w:rsidRDefault="0037707C" w:rsidP="0037707C">
      <w:pPr>
        <w:jc w:val="center"/>
      </w:pPr>
    </w:p>
    <w:p w:rsidR="000E67C5" w:rsidRDefault="00947255" w:rsidP="00B70A15">
      <w:pPr>
        <w:jc w:val="center"/>
        <w:rPr>
          <w:sz w:val="32"/>
          <w:szCs w:val="32"/>
        </w:rPr>
      </w:pPr>
      <w:r w:rsidRPr="00947255">
        <w:rPr>
          <w:sz w:val="32"/>
          <w:szCs w:val="32"/>
        </w:rPr>
        <w:t>Assaf</w:t>
      </w:r>
      <w:r w:rsidR="00972DB0">
        <w:rPr>
          <w:sz w:val="32"/>
          <w:szCs w:val="32"/>
        </w:rPr>
        <w:t xml:space="preserve"> Eisdorfer*</w:t>
      </w:r>
      <w:r w:rsidR="00FA74D5">
        <w:rPr>
          <w:sz w:val="32"/>
          <w:szCs w:val="32"/>
        </w:rPr>
        <w:t xml:space="preserve">  </w:t>
      </w:r>
      <w:r w:rsidRPr="00947255">
        <w:rPr>
          <w:sz w:val="32"/>
          <w:szCs w:val="32"/>
        </w:rPr>
        <w:t xml:space="preserve"> </w:t>
      </w:r>
      <w:r w:rsidR="00FA74D5">
        <w:rPr>
          <w:sz w:val="32"/>
          <w:szCs w:val="32"/>
        </w:rPr>
        <w:t xml:space="preserve"> </w:t>
      </w:r>
      <w:r w:rsidRPr="00947255">
        <w:rPr>
          <w:sz w:val="32"/>
          <w:szCs w:val="32"/>
        </w:rPr>
        <w:t>Carmelo Giaccotto</w:t>
      </w:r>
      <w:r w:rsidR="00FA74D5">
        <w:rPr>
          <w:sz w:val="32"/>
          <w:szCs w:val="32"/>
        </w:rPr>
        <w:t xml:space="preserve">  </w:t>
      </w:r>
      <w:r w:rsidRPr="00947255">
        <w:rPr>
          <w:sz w:val="32"/>
          <w:szCs w:val="32"/>
        </w:rPr>
        <w:t xml:space="preserve"> </w:t>
      </w:r>
      <w:r w:rsidR="00FA74D5">
        <w:rPr>
          <w:sz w:val="32"/>
          <w:szCs w:val="32"/>
        </w:rPr>
        <w:t xml:space="preserve"> </w:t>
      </w:r>
      <w:r w:rsidRPr="00947255">
        <w:rPr>
          <w:sz w:val="32"/>
          <w:szCs w:val="32"/>
        </w:rPr>
        <w:t xml:space="preserve">Reilly </w:t>
      </w:r>
      <w:r w:rsidR="00972DB0">
        <w:rPr>
          <w:sz w:val="32"/>
          <w:szCs w:val="32"/>
        </w:rPr>
        <w:t>White</w:t>
      </w:r>
    </w:p>
    <w:p w:rsidR="0037707C" w:rsidRDefault="005E5CBB" w:rsidP="00B70A15">
      <w:pPr>
        <w:jc w:val="center"/>
      </w:pPr>
      <w:r>
        <w:rPr>
          <w:sz w:val="28"/>
          <w:szCs w:val="28"/>
        </w:rPr>
        <w:t>October</w:t>
      </w:r>
      <w:r w:rsidR="00972DB0">
        <w:rPr>
          <w:sz w:val="28"/>
          <w:szCs w:val="28"/>
        </w:rPr>
        <w:t xml:space="preserve"> </w:t>
      </w:r>
      <w:r w:rsidR="004C0ADC">
        <w:rPr>
          <w:sz w:val="28"/>
          <w:szCs w:val="28"/>
        </w:rPr>
        <w:t>2013</w:t>
      </w:r>
    </w:p>
    <w:p w:rsidR="0037707C" w:rsidRDefault="0037707C" w:rsidP="0037707C"/>
    <w:p w:rsidR="0037707C" w:rsidRDefault="0037707C" w:rsidP="0037707C">
      <w:pPr>
        <w:pStyle w:val="Title"/>
        <w:rPr>
          <w:sz w:val="24"/>
          <w:szCs w:val="24"/>
        </w:rPr>
      </w:pPr>
      <w:r>
        <w:rPr>
          <w:sz w:val="24"/>
          <w:szCs w:val="24"/>
        </w:rPr>
        <w:t>ABSTRACT</w:t>
      </w:r>
    </w:p>
    <w:p w:rsidR="007C1A15" w:rsidRDefault="00B14962">
      <w:pPr>
        <w:spacing w:before="120"/>
        <w:jc w:val="both"/>
        <w:rPr>
          <w:rFonts w:ascii="Times New Roman" w:hAnsi="Times New Roman"/>
          <w:sz w:val="24"/>
          <w:szCs w:val="24"/>
        </w:rPr>
      </w:pPr>
      <w:r>
        <w:rPr>
          <w:rFonts w:ascii="Times New Roman" w:hAnsi="Times New Roman"/>
          <w:sz w:val="24"/>
          <w:szCs w:val="24"/>
        </w:rPr>
        <w:t>We argue that m</w:t>
      </w:r>
      <w:r w:rsidR="0037707C">
        <w:rPr>
          <w:rFonts w:ascii="Times New Roman" w:hAnsi="Times New Roman"/>
          <w:sz w:val="24"/>
          <w:szCs w:val="24"/>
        </w:rPr>
        <w:t xml:space="preserve">anagers with high pension holdings </w:t>
      </w:r>
      <w:r w:rsidR="006E0E6C">
        <w:rPr>
          <w:rFonts w:ascii="Times New Roman" w:hAnsi="Times New Roman"/>
          <w:sz w:val="24"/>
          <w:szCs w:val="24"/>
        </w:rPr>
        <w:t>are</w:t>
      </w:r>
      <w:r w:rsidR="0037707C">
        <w:rPr>
          <w:rFonts w:ascii="Times New Roman" w:hAnsi="Times New Roman"/>
          <w:sz w:val="24"/>
          <w:szCs w:val="24"/>
        </w:rPr>
        <w:t xml:space="preserve"> </w:t>
      </w:r>
      <w:r w:rsidR="00B77902">
        <w:rPr>
          <w:rFonts w:ascii="Times New Roman" w:hAnsi="Times New Roman"/>
          <w:sz w:val="24"/>
          <w:szCs w:val="24"/>
        </w:rPr>
        <w:t>less likely</w:t>
      </w:r>
      <w:r w:rsidR="0037707C">
        <w:rPr>
          <w:rFonts w:ascii="Times New Roman" w:hAnsi="Times New Roman"/>
          <w:sz w:val="24"/>
          <w:szCs w:val="24"/>
        </w:rPr>
        <w:t xml:space="preserve"> </w:t>
      </w:r>
      <w:r w:rsidR="00B77902">
        <w:rPr>
          <w:rFonts w:ascii="Times New Roman" w:hAnsi="Times New Roman"/>
          <w:sz w:val="24"/>
          <w:szCs w:val="24"/>
        </w:rPr>
        <w:t>to ad</w:t>
      </w:r>
      <w:r w:rsidR="00724466">
        <w:rPr>
          <w:rFonts w:ascii="Times New Roman" w:hAnsi="Times New Roman"/>
          <w:sz w:val="24"/>
          <w:szCs w:val="24"/>
        </w:rPr>
        <w:t>o</w:t>
      </w:r>
      <w:r w:rsidR="00B77902">
        <w:rPr>
          <w:rFonts w:ascii="Times New Roman" w:hAnsi="Times New Roman"/>
          <w:sz w:val="24"/>
          <w:szCs w:val="24"/>
        </w:rPr>
        <w:t xml:space="preserve">pt a </w:t>
      </w:r>
      <w:r w:rsidR="0037707C">
        <w:rPr>
          <w:rFonts w:ascii="Times New Roman" w:hAnsi="Times New Roman"/>
          <w:sz w:val="24"/>
          <w:szCs w:val="24"/>
        </w:rPr>
        <w:t>high dividend policy that can risk the</w:t>
      </w:r>
      <w:r w:rsidR="00353693">
        <w:rPr>
          <w:rFonts w:ascii="Times New Roman" w:hAnsi="Times New Roman"/>
          <w:sz w:val="24"/>
          <w:szCs w:val="24"/>
        </w:rPr>
        <w:t>ir</w:t>
      </w:r>
      <w:r w:rsidR="00F86549">
        <w:rPr>
          <w:rFonts w:ascii="Times New Roman" w:hAnsi="Times New Roman"/>
          <w:sz w:val="24"/>
          <w:szCs w:val="24"/>
        </w:rPr>
        <w:t xml:space="preserve"> </w:t>
      </w:r>
      <w:r w:rsidR="00CF5594">
        <w:rPr>
          <w:rFonts w:ascii="Times New Roman" w:hAnsi="Times New Roman"/>
          <w:sz w:val="24"/>
          <w:szCs w:val="24"/>
        </w:rPr>
        <w:t xml:space="preserve">future </w:t>
      </w:r>
      <w:r w:rsidR="0037707C">
        <w:rPr>
          <w:rFonts w:ascii="Times New Roman" w:hAnsi="Times New Roman"/>
          <w:sz w:val="24"/>
          <w:szCs w:val="24"/>
        </w:rPr>
        <w:t>pension payouts. Using a hand-collected actuarial pension data</w:t>
      </w:r>
      <w:r w:rsidR="00F86549">
        <w:rPr>
          <w:rFonts w:ascii="Times New Roman" w:hAnsi="Times New Roman"/>
          <w:sz w:val="24"/>
          <w:szCs w:val="24"/>
        </w:rPr>
        <w:t>set</w:t>
      </w:r>
      <w:r w:rsidR="0037707C">
        <w:rPr>
          <w:rFonts w:ascii="Times New Roman" w:hAnsi="Times New Roman"/>
          <w:sz w:val="24"/>
          <w:szCs w:val="24"/>
        </w:rPr>
        <w:t xml:space="preserve"> we show that (</w:t>
      </w:r>
      <w:proofErr w:type="spellStart"/>
      <w:r w:rsidR="0037707C">
        <w:rPr>
          <w:rFonts w:ascii="Times New Roman" w:hAnsi="Times New Roman"/>
          <w:sz w:val="24"/>
          <w:szCs w:val="24"/>
        </w:rPr>
        <w:t>i</w:t>
      </w:r>
      <w:proofErr w:type="spellEnd"/>
      <w:r w:rsidR="0037707C">
        <w:rPr>
          <w:rFonts w:ascii="Times New Roman" w:hAnsi="Times New Roman"/>
          <w:sz w:val="24"/>
          <w:szCs w:val="24"/>
        </w:rPr>
        <w:t xml:space="preserve">) dividend </w:t>
      </w:r>
      <w:r>
        <w:rPr>
          <w:rFonts w:ascii="Times New Roman" w:hAnsi="Times New Roman"/>
          <w:sz w:val="24"/>
          <w:szCs w:val="24"/>
        </w:rPr>
        <w:t>payments</w:t>
      </w:r>
      <w:r w:rsidR="0037707C">
        <w:rPr>
          <w:rFonts w:ascii="Times New Roman" w:hAnsi="Times New Roman"/>
          <w:sz w:val="24"/>
          <w:szCs w:val="24"/>
        </w:rPr>
        <w:t xml:space="preserve"> are significantly lower when manager compensation relies more </w:t>
      </w:r>
      <w:r w:rsidR="00F86549">
        <w:rPr>
          <w:rFonts w:ascii="Times New Roman" w:hAnsi="Times New Roman"/>
          <w:sz w:val="24"/>
          <w:szCs w:val="24"/>
        </w:rPr>
        <w:t xml:space="preserve">heavily </w:t>
      </w:r>
      <w:r w:rsidR="0037707C">
        <w:rPr>
          <w:rFonts w:ascii="Times New Roman" w:hAnsi="Times New Roman"/>
          <w:sz w:val="24"/>
          <w:szCs w:val="24"/>
        </w:rPr>
        <w:t xml:space="preserve">on pension payouts; (ii) given a </w:t>
      </w:r>
      <w:r w:rsidR="003D61B7">
        <w:rPr>
          <w:rFonts w:ascii="Times New Roman" w:hAnsi="Times New Roman"/>
          <w:sz w:val="24"/>
          <w:szCs w:val="24"/>
        </w:rPr>
        <w:t>desirable</w:t>
      </w:r>
      <w:r w:rsidR="0037707C">
        <w:rPr>
          <w:rFonts w:ascii="Times New Roman" w:hAnsi="Times New Roman"/>
          <w:sz w:val="24"/>
          <w:szCs w:val="24"/>
        </w:rPr>
        <w:t xml:space="preserve"> payout policy, managers </w:t>
      </w:r>
      <w:r w:rsidR="0049038D">
        <w:rPr>
          <w:rFonts w:ascii="Times New Roman" w:hAnsi="Times New Roman"/>
          <w:sz w:val="24"/>
          <w:szCs w:val="24"/>
        </w:rPr>
        <w:t>with</w:t>
      </w:r>
      <w:r w:rsidR="003D61B7">
        <w:rPr>
          <w:rFonts w:ascii="Times New Roman" w:hAnsi="Times New Roman"/>
          <w:sz w:val="24"/>
          <w:szCs w:val="24"/>
        </w:rPr>
        <w:t xml:space="preserve"> large pension </w:t>
      </w:r>
      <w:r w:rsidR="0049038D">
        <w:rPr>
          <w:rFonts w:ascii="Times New Roman" w:hAnsi="Times New Roman"/>
          <w:sz w:val="24"/>
          <w:szCs w:val="24"/>
        </w:rPr>
        <w:t>plans</w:t>
      </w:r>
      <w:r w:rsidR="003D61B7">
        <w:rPr>
          <w:rFonts w:ascii="Times New Roman" w:hAnsi="Times New Roman"/>
          <w:sz w:val="24"/>
          <w:szCs w:val="24"/>
        </w:rPr>
        <w:t xml:space="preserve"> </w:t>
      </w:r>
      <w:r w:rsidR="0037707C">
        <w:rPr>
          <w:rFonts w:ascii="Times New Roman" w:hAnsi="Times New Roman"/>
          <w:sz w:val="24"/>
          <w:szCs w:val="24"/>
        </w:rPr>
        <w:t>prefer the form of stock repurchase</w:t>
      </w:r>
      <w:r w:rsidR="00EA212B">
        <w:rPr>
          <w:rFonts w:ascii="Times New Roman" w:hAnsi="Times New Roman"/>
          <w:sz w:val="24"/>
          <w:szCs w:val="24"/>
        </w:rPr>
        <w:t>s</w:t>
      </w:r>
      <w:r w:rsidR="0037707C">
        <w:rPr>
          <w:rFonts w:ascii="Times New Roman" w:hAnsi="Times New Roman"/>
          <w:sz w:val="24"/>
          <w:szCs w:val="24"/>
        </w:rPr>
        <w:t xml:space="preserve"> over cash dividend distribution</w:t>
      </w:r>
      <w:r w:rsidR="00EA212B">
        <w:rPr>
          <w:rFonts w:ascii="Times New Roman" w:hAnsi="Times New Roman"/>
          <w:sz w:val="24"/>
          <w:szCs w:val="24"/>
        </w:rPr>
        <w:t>s</w:t>
      </w:r>
      <w:r w:rsidR="0037707C">
        <w:rPr>
          <w:rFonts w:ascii="Times New Roman" w:hAnsi="Times New Roman"/>
          <w:sz w:val="24"/>
          <w:szCs w:val="24"/>
        </w:rPr>
        <w:t xml:space="preserve">; and (iii) the negative effect of pension on dividend is significantly weaker when pensions are protected in a pre-funding rabbi trust. </w:t>
      </w:r>
      <w:r w:rsidR="009C7416" w:rsidRPr="009C7416">
        <w:rPr>
          <w:rFonts w:ascii="Times New Roman" w:hAnsi="Times New Roman"/>
          <w:sz w:val="24"/>
          <w:szCs w:val="24"/>
        </w:rPr>
        <w:t xml:space="preserve">We show further that this agency behavior </w:t>
      </w:r>
      <w:r w:rsidR="00CF591C">
        <w:rPr>
          <w:rFonts w:ascii="Times New Roman" w:hAnsi="Times New Roman"/>
          <w:sz w:val="24"/>
          <w:szCs w:val="24"/>
        </w:rPr>
        <w:t>reduces</w:t>
      </w:r>
      <w:r w:rsidR="009C7416" w:rsidRPr="009C7416">
        <w:rPr>
          <w:rFonts w:ascii="Times New Roman" w:hAnsi="Times New Roman"/>
          <w:sz w:val="24"/>
          <w:szCs w:val="24"/>
        </w:rPr>
        <w:t xml:space="preserve"> firm performance.</w:t>
      </w:r>
      <w:r w:rsidR="0037707C">
        <w:rPr>
          <w:rFonts w:ascii="Times New Roman" w:hAnsi="Times New Roman"/>
          <w:sz w:val="24"/>
          <w:szCs w:val="24"/>
        </w:rPr>
        <w:t xml:space="preserve"> </w:t>
      </w:r>
    </w:p>
    <w:p w:rsidR="0037707C" w:rsidRDefault="0037707C" w:rsidP="0037707C">
      <w:pPr>
        <w:pStyle w:val="BodyText"/>
        <w:ind w:right="180"/>
      </w:pPr>
      <w:r w:rsidRPr="00C931CF">
        <w:t xml:space="preserve">Keywords: </w:t>
      </w:r>
      <w:r>
        <w:t>Executive compensation</w:t>
      </w:r>
      <w:r w:rsidRPr="00C931CF">
        <w:t>;</w:t>
      </w:r>
      <w:r>
        <w:t xml:space="preserve"> Dividend policy; Agency theory</w:t>
      </w:r>
    </w:p>
    <w:p w:rsidR="000E67C5" w:rsidRDefault="000E67C5" w:rsidP="008849DA">
      <w:pPr>
        <w:autoSpaceDE w:val="0"/>
        <w:autoSpaceDN w:val="0"/>
        <w:adjustRightInd w:val="0"/>
        <w:spacing w:line="240" w:lineRule="auto"/>
        <w:jc w:val="both"/>
        <w:rPr>
          <w:rFonts w:ascii="Times New Roman" w:eastAsia="Arial Unicode MS" w:hAnsi="Times New Roman" w:cs="Times New Roman"/>
          <w:sz w:val="24"/>
          <w:szCs w:val="24"/>
          <w:bdr w:val="none" w:sz="0" w:space="0" w:color="auto" w:frame="1"/>
          <w:vertAlign w:val="superscript"/>
        </w:rPr>
      </w:pPr>
    </w:p>
    <w:p w:rsidR="000E67C5" w:rsidRDefault="000E67C5" w:rsidP="008849DA">
      <w:pPr>
        <w:autoSpaceDE w:val="0"/>
        <w:autoSpaceDN w:val="0"/>
        <w:adjustRightInd w:val="0"/>
        <w:spacing w:line="240" w:lineRule="auto"/>
        <w:jc w:val="both"/>
        <w:rPr>
          <w:rFonts w:ascii="Times New Roman" w:eastAsia="Arial Unicode MS" w:hAnsi="Times New Roman" w:cs="Times New Roman"/>
          <w:sz w:val="24"/>
          <w:szCs w:val="24"/>
          <w:bdr w:val="none" w:sz="0" w:space="0" w:color="auto" w:frame="1"/>
          <w:vertAlign w:val="superscript"/>
        </w:rPr>
      </w:pPr>
    </w:p>
    <w:p w:rsidR="000E67C5" w:rsidRDefault="000E67C5" w:rsidP="008849DA">
      <w:pPr>
        <w:autoSpaceDE w:val="0"/>
        <w:autoSpaceDN w:val="0"/>
        <w:adjustRightInd w:val="0"/>
        <w:spacing w:line="240" w:lineRule="auto"/>
        <w:jc w:val="both"/>
        <w:rPr>
          <w:rFonts w:ascii="Times New Roman" w:eastAsia="Arial Unicode MS" w:hAnsi="Times New Roman" w:cs="Times New Roman"/>
          <w:sz w:val="24"/>
          <w:szCs w:val="24"/>
          <w:bdr w:val="none" w:sz="0" w:space="0" w:color="auto" w:frame="1"/>
          <w:vertAlign w:val="superscript"/>
        </w:rPr>
      </w:pPr>
    </w:p>
    <w:p w:rsidR="00897CBE" w:rsidRDefault="00897CBE" w:rsidP="008849DA">
      <w:pPr>
        <w:autoSpaceDE w:val="0"/>
        <w:autoSpaceDN w:val="0"/>
        <w:adjustRightInd w:val="0"/>
        <w:spacing w:line="240" w:lineRule="auto"/>
        <w:jc w:val="both"/>
        <w:rPr>
          <w:rFonts w:ascii="Times New Roman" w:eastAsia="Arial Unicode MS" w:hAnsi="Times New Roman" w:cs="Times New Roman"/>
          <w:sz w:val="24"/>
          <w:szCs w:val="24"/>
          <w:bdr w:val="none" w:sz="0" w:space="0" w:color="auto" w:frame="1"/>
          <w:vertAlign w:val="superscript"/>
        </w:rPr>
      </w:pPr>
    </w:p>
    <w:p w:rsidR="008849DA" w:rsidRPr="005E1F89" w:rsidRDefault="00ED1546" w:rsidP="008849DA">
      <w:pPr>
        <w:autoSpaceDE w:val="0"/>
        <w:autoSpaceDN w:val="0"/>
        <w:adjustRightInd w:val="0"/>
        <w:spacing w:line="240" w:lineRule="auto"/>
        <w:jc w:val="both"/>
        <w:rPr>
          <w:rFonts w:ascii="Times New Roman" w:eastAsia="Times New Roman" w:hAnsi="Times New Roman" w:cs="Times New Roman"/>
          <w:sz w:val="24"/>
          <w:szCs w:val="24"/>
        </w:rPr>
      </w:pPr>
      <w:r w:rsidRPr="005E1F89">
        <w:rPr>
          <w:rFonts w:ascii="Times New Roman" w:eastAsia="Arial Unicode MS" w:hAnsi="Times New Roman" w:cs="Times New Roman"/>
          <w:sz w:val="24"/>
          <w:szCs w:val="24"/>
          <w:bdr w:val="none" w:sz="0" w:space="0" w:color="auto" w:frame="1"/>
          <w:vertAlign w:val="superscript"/>
        </w:rPr>
        <w:t>*</w:t>
      </w:r>
      <w:r w:rsidRPr="005E1F89">
        <w:rPr>
          <w:rFonts w:ascii="Times New Roman" w:hAnsi="Times New Roman" w:cs="Times New Roman"/>
          <w:sz w:val="24"/>
          <w:szCs w:val="24"/>
        </w:rPr>
        <w:t xml:space="preserve">Corresponding author. </w:t>
      </w:r>
      <w:r w:rsidR="00972DB0" w:rsidRPr="005E1F89">
        <w:rPr>
          <w:rFonts w:ascii="Times New Roman" w:hAnsi="Times New Roman" w:cs="Times New Roman"/>
          <w:sz w:val="24"/>
          <w:szCs w:val="24"/>
        </w:rPr>
        <w:t xml:space="preserve">Assaf Eisdorfer is from </w:t>
      </w:r>
      <w:r w:rsidR="005E1F89">
        <w:rPr>
          <w:rFonts w:ascii="Times New Roman" w:hAnsi="Times New Roman" w:cs="Times New Roman"/>
          <w:sz w:val="24"/>
          <w:szCs w:val="24"/>
        </w:rPr>
        <w:t xml:space="preserve">the </w:t>
      </w:r>
      <w:r w:rsidR="00972DB0" w:rsidRPr="005E1F89">
        <w:rPr>
          <w:rFonts w:ascii="Times New Roman" w:hAnsi="Times New Roman" w:cs="Times New Roman"/>
          <w:sz w:val="24"/>
          <w:szCs w:val="24"/>
        </w:rPr>
        <w:t xml:space="preserve">University of Connecticut, email: </w:t>
      </w:r>
      <w:hyperlink r:id="rId8" w:history="1">
        <w:r w:rsidR="005E1F89" w:rsidRPr="005E1F89">
          <w:rPr>
            <w:rStyle w:val="Hyperlink"/>
            <w:rFonts w:ascii="Times New Roman" w:hAnsi="Times New Roman" w:cs="Times New Roman"/>
            <w:color w:val="auto"/>
            <w:sz w:val="24"/>
            <w:szCs w:val="24"/>
            <w:u w:val="none"/>
          </w:rPr>
          <w:t>Assaf.Eisdorfer@business.uconn.edu</w:t>
        </w:r>
      </w:hyperlink>
      <w:r w:rsidR="00FA74D5" w:rsidRPr="005E1F89">
        <w:rPr>
          <w:rFonts w:ascii="Times New Roman" w:hAnsi="Times New Roman" w:cs="Times New Roman"/>
          <w:sz w:val="24"/>
          <w:szCs w:val="24"/>
        </w:rPr>
        <w:t>;</w:t>
      </w:r>
      <w:r w:rsidR="005E1F89" w:rsidRPr="005E1F89">
        <w:rPr>
          <w:rFonts w:ascii="Times New Roman" w:hAnsi="Times New Roman" w:cs="Times New Roman"/>
          <w:sz w:val="24"/>
          <w:szCs w:val="24"/>
        </w:rPr>
        <w:t xml:space="preserve"> </w:t>
      </w:r>
      <w:r w:rsidR="00FA74D5" w:rsidRPr="005E1F89">
        <w:rPr>
          <w:rFonts w:ascii="Times New Roman" w:hAnsi="Times New Roman" w:cs="Times New Roman"/>
          <w:sz w:val="24"/>
          <w:szCs w:val="24"/>
        </w:rPr>
        <w:t xml:space="preserve">Carmelo Giaccotto is from </w:t>
      </w:r>
      <w:r w:rsidR="005E1F89">
        <w:rPr>
          <w:rFonts w:ascii="Times New Roman" w:hAnsi="Times New Roman" w:cs="Times New Roman"/>
          <w:sz w:val="24"/>
          <w:szCs w:val="24"/>
        </w:rPr>
        <w:t xml:space="preserve">the </w:t>
      </w:r>
      <w:r w:rsidR="00FA74D5" w:rsidRPr="005E1F89">
        <w:rPr>
          <w:rFonts w:ascii="Times New Roman" w:hAnsi="Times New Roman" w:cs="Times New Roman"/>
          <w:sz w:val="24"/>
          <w:szCs w:val="24"/>
        </w:rPr>
        <w:t xml:space="preserve">University of Connecticut, email: </w:t>
      </w:r>
      <w:hyperlink r:id="rId9" w:history="1">
        <w:r w:rsidR="005E1F89" w:rsidRPr="005E1F89">
          <w:rPr>
            <w:rStyle w:val="Hyperlink"/>
            <w:rFonts w:ascii="Times New Roman" w:hAnsi="Times New Roman" w:cs="Times New Roman"/>
            <w:color w:val="auto"/>
            <w:sz w:val="24"/>
            <w:szCs w:val="24"/>
            <w:u w:val="none"/>
          </w:rPr>
          <w:t>Carmelo.Giaccotto@business.uconn.edu</w:t>
        </w:r>
      </w:hyperlink>
      <w:r w:rsidR="00FA74D5" w:rsidRPr="005E1F89">
        <w:rPr>
          <w:rFonts w:ascii="Times New Roman" w:hAnsi="Times New Roman" w:cs="Times New Roman"/>
          <w:sz w:val="24"/>
          <w:szCs w:val="24"/>
        </w:rPr>
        <w:t>;</w:t>
      </w:r>
      <w:r w:rsidR="005E1F89" w:rsidRPr="005E1F89">
        <w:rPr>
          <w:rFonts w:ascii="Times New Roman" w:hAnsi="Times New Roman" w:cs="Times New Roman"/>
          <w:sz w:val="24"/>
          <w:szCs w:val="24"/>
        </w:rPr>
        <w:t xml:space="preserve"> </w:t>
      </w:r>
      <w:r w:rsidR="00FA74D5" w:rsidRPr="005E1F89">
        <w:rPr>
          <w:rFonts w:ascii="Times New Roman" w:hAnsi="Times New Roman" w:cs="Times New Roman"/>
          <w:sz w:val="24"/>
          <w:szCs w:val="24"/>
        </w:rPr>
        <w:t xml:space="preserve">Reilly White is from the University of New Mexico, email: </w:t>
      </w:r>
      <w:hyperlink r:id="rId10" w:history="1">
        <w:r w:rsidR="005E1F89" w:rsidRPr="005E1F89">
          <w:rPr>
            <w:rStyle w:val="Hyperlink"/>
            <w:rFonts w:ascii="Times New Roman" w:hAnsi="Times New Roman" w:cs="Times New Roman"/>
            <w:color w:val="auto"/>
            <w:sz w:val="24"/>
            <w:szCs w:val="24"/>
            <w:u w:val="none"/>
          </w:rPr>
          <w:t>ReillyWhite@unm.edu</w:t>
        </w:r>
      </w:hyperlink>
      <w:r w:rsidR="00FA74D5" w:rsidRPr="005E1F89">
        <w:rPr>
          <w:rFonts w:ascii="Times New Roman" w:hAnsi="Times New Roman" w:cs="Times New Roman"/>
          <w:sz w:val="24"/>
          <w:szCs w:val="24"/>
        </w:rPr>
        <w:t>.</w:t>
      </w:r>
    </w:p>
    <w:p w:rsidR="00BB011B" w:rsidRDefault="00ED1546" w:rsidP="009E18AC">
      <w:pPr>
        <w:autoSpaceDE w:val="0"/>
        <w:autoSpaceDN w:val="0"/>
        <w:adjustRightInd w:val="0"/>
        <w:spacing w:line="240" w:lineRule="auto"/>
        <w:jc w:val="both"/>
        <w:rPr>
          <w:rFonts w:ascii="Times New Roman" w:eastAsia="Times New Roman" w:hAnsi="Times New Roman" w:cs="Times New Roman"/>
          <w:sz w:val="24"/>
          <w:szCs w:val="24"/>
        </w:rPr>
      </w:pPr>
      <w:r w:rsidRPr="005E1F89">
        <w:rPr>
          <w:rFonts w:ascii="Times New Roman" w:eastAsia="Times New Roman" w:hAnsi="Times New Roman" w:cs="Times New Roman"/>
          <w:sz w:val="24"/>
          <w:szCs w:val="24"/>
        </w:rPr>
        <w:t xml:space="preserve">We thank </w:t>
      </w:r>
      <w:r w:rsidR="00FA74D5" w:rsidRPr="005E1F89">
        <w:rPr>
          <w:rFonts w:ascii="Times New Roman" w:eastAsia="Times New Roman" w:hAnsi="Times New Roman" w:cs="Times New Roman"/>
          <w:sz w:val="24"/>
          <w:szCs w:val="24"/>
        </w:rPr>
        <w:t xml:space="preserve">Leslie </w:t>
      </w:r>
      <w:proofErr w:type="spellStart"/>
      <w:r w:rsidR="00FA74D5" w:rsidRPr="005E1F89">
        <w:rPr>
          <w:rFonts w:ascii="Times New Roman" w:eastAsia="Times New Roman" w:hAnsi="Times New Roman" w:cs="Times New Roman"/>
          <w:sz w:val="24"/>
          <w:szCs w:val="24"/>
        </w:rPr>
        <w:t>Boni</w:t>
      </w:r>
      <w:proofErr w:type="spellEnd"/>
      <w:r w:rsidR="00FA74D5" w:rsidRPr="005E1F89">
        <w:rPr>
          <w:rFonts w:ascii="Times New Roman" w:eastAsia="Times New Roman" w:hAnsi="Times New Roman" w:cs="Times New Roman"/>
          <w:sz w:val="24"/>
          <w:szCs w:val="24"/>
        </w:rPr>
        <w:t xml:space="preserve">, </w:t>
      </w:r>
      <w:proofErr w:type="spellStart"/>
      <w:r w:rsidR="00FA74D5" w:rsidRPr="005E1F89">
        <w:rPr>
          <w:rFonts w:ascii="Times New Roman" w:eastAsia="Times New Roman" w:hAnsi="Times New Roman" w:cs="Times New Roman"/>
          <w:sz w:val="24"/>
          <w:szCs w:val="24"/>
        </w:rPr>
        <w:t>Hsuan</w:t>
      </w:r>
      <w:proofErr w:type="spellEnd"/>
      <w:r w:rsidR="00FA74D5" w:rsidRPr="005E1F89">
        <w:rPr>
          <w:rFonts w:ascii="Times New Roman" w:eastAsia="Times New Roman" w:hAnsi="Times New Roman" w:cs="Times New Roman"/>
          <w:sz w:val="24"/>
          <w:szCs w:val="24"/>
        </w:rPr>
        <w:t xml:space="preserve">-Chi Chen, </w:t>
      </w:r>
      <w:r w:rsidRPr="005E1F89">
        <w:rPr>
          <w:rFonts w:ascii="Times New Roman" w:eastAsia="Times New Roman" w:hAnsi="Times New Roman" w:cs="Times New Roman"/>
          <w:sz w:val="24"/>
          <w:szCs w:val="24"/>
        </w:rPr>
        <w:t>Chinmoy Ghosh, John Harding, Po-</w:t>
      </w:r>
      <w:proofErr w:type="spellStart"/>
      <w:r w:rsidRPr="005E1F89">
        <w:rPr>
          <w:rFonts w:ascii="Times New Roman" w:eastAsia="Times New Roman" w:hAnsi="Times New Roman" w:cs="Times New Roman"/>
          <w:sz w:val="24"/>
          <w:szCs w:val="24"/>
        </w:rPr>
        <w:t>Hsuan</w:t>
      </w:r>
      <w:proofErr w:type="spellEnd"/>
      <w:r w:rsidRPr="005E1F89">
        <w:rPr>
          <w:rFonts w:ascii="Times New Roman" w:eastAsia="Times New Roman" w:hAnsi="Times New Roman" w:cs="Times New Roman"/>
          <w:sz w:val="24"/>
          <w:szCs w:val="24"/>
        </w:rPr>
        <w:t xml:space="preserve"> Hsu, T</w:t>
      </w:r>
      <w:r w:rsidR="00FA74D5" w:rsidRPr="005E1F89">
        <w:rPr>
          <w:rFonts w:ascii="Times New Roman" w:eastAsia="Times New Roman" w:hAnsi="Times New Roman" w:cs="Times New Roman"/>
          <w:sz w:val="24"/>
          <w:szCs w:val="24"/>
        </w:rPr>
        <w:t>h</w:t>
      </w:r>
      <w:r w:rsidRPr="005E1F89">
        <w:rPr>
          <w:rFonts w:ascii="Times New Roman" w:eastAsia="Times New Roman" w:hAnsi="Times New Roman" w:cs="Times New Roman"/>
          <w:sz w:val="24"/>
          <w:szCs w:val="24"/>
        </w:rPr>
        <w:t>om</w:t>
      </w:r>
      <w:r w:rsidR="00FA74D5" w:rsidRPr="005E1F89">
        <w:rPr>
          <w:rFonts w:ascii="Times New Roman" w:eastAsia="Times New Roman" w:hAnsi="Times New Roman" w:cs="Times New Roman"/>
          <w:sz w:val="24"/>
          <w:szCs w:val="24"/>
        </w:rPr>
        <w:t>as</w:t>
      </w:r>
      <w:r w:rsidRPr="005E1F89">
        <w:rPr>
          <w:rFonts w:ascii="Times New Roman" w:eastAsia="Times New Roman" w:hAnsi="Times New Roman" w:cs="Times New Roman"/>
          <w:sz w:val="24"/>
          <w:szCs w:val="24"/>
        </w:rPr>
        <w:t xml:space="preserve"> O’Brien, </w:t>
      </w:r>
      <w:proofErr w:type="gramStart"/>
      <w:r w:rsidRPr="005E1F89">
        <w:rPr>
          <w:rFonts w:ascii="Times New Roman" w:eastAsia="Times New Roman" w:hAnsi="Times New Roman" w:cs="Times New Roman"/>
          <w:sz w:val="24"/>
          <w:szCs w:val="24"/>
        </w:rPr>
        <w:t>Jim</w:t>
      </w:r>
      <w:proofErr w:type="gramEnd"/>
      <w:r w:rsidRPr="005E1F89">
        <w:rPr>
          <w:rFonts w:ascii="Times New Roman" w:eastAsia="Times New Roman" w:hAnsi="Times New Roman" w:cs="Times New Roman"/>
          <w:sz w:val="24"/>
          <w:szCs w:val="24"/>
        </w:rPr>
        <w:t xml:space="preserve"> Sfiridis, participants at the finance seminar series at the University of Connecticut</w:t>
      </w:r>
      <w:r w:rsidR="00FA74D5" w:rsidRPr="005E1F89">
        <w:rPr>
          <w:rFonts w:ascii="Times New Roman" w:eastAsia="Times New Roman" w:hAnsi="Times New Roman" w:cs="Times New Roman"/>
          <w:sz w:val="24"/>
          <w:szCs w:val="24"/>
        </w:rPr>
        <w:t xml:space="preserve">, the University of New Mexico, Loyola University </w:t>
      </w:r>
      <w:r w:rsidR="00373479">
        <w:rPr>
          <w:rFonts w:ascii="Times New Roman" w:eastAsia="Times New Roman" w:hAnsi="Times New Roman" w:cs="Times New Roman"/>
          <w:sz w:val="24"/>
          <w:szCs w:val="24"/>
        </w:rPr>
        <w:t xml:space="preserve">of </w:t>
      </w:r>
      <w:r w:rsidR="00FA74D5" w:rsidRPr="005E1F89">
        <w:rPr>
          <w:rFonts w:ascii="Times New Roman" w:eastAsia="Times New Roman" w:hAnsi="Times New Roman" w:cs="Times New Roman"/>
          <w:sz w:val="24"/>
          <w:szCs w:val="24"/>
        </w:rPr>
        <w:t xml:space="preserve">New Orleans, and the </w:t>
      </w:r>
      <w:r w:rsidR="005E1F89" w:rsidRPr="005E1F89">
        <w:rPr>
          <w:rFonts w:ascii="Times New Roman" w:eastAsia="Times New Roman" w:hAnsi="Times New Roman" w:cs="Times New Roman"/>
          <w:sz w:val="24"/>
          <w:szCs w:val="24"/>
        </w:rPr>
        <w:t xml:space="preserve">audience at the </w:t>
      </w:r>
      <w:r w:rsidR="00FA74D5" w:rsidRPr="005E1F89">
        <w:rPr>
          <w:rFonts w:ascii="Times New Roman" w:eastAsia="Times New Roman" w:hAnsi="Times New Roman" w:cs="Times New Roman"/>
          <w:sz w:val="24"/>
          <w:szCs w:val="24"/>
        </w:rPr>
        <w:t xml:space="preserve">FMA 2012 annual meeting </w:t>
      </w:r>
      <w:r w:rsidRPr="005E1F89">
        <w:rPr>
          <w:rFonts w:ascii="Times New Roman" w:eastAsia="Times New Roman" w:hAnsi="Times New Roman" w:cs="Times New Roman"/>
          <w:sz w:val="24"/>
          <w:szCs w:val="24"/>
        </w:rPr>
        <w:t xml:space="preserve">for valuable comments. </w:t>
      </w:r>
    </w:p>
    <w:p w:rsidR="00BC5F91" w:rsidRDefault="00BC5F91" w:rsidP="00633CE5">
      <w:pPr>
        <w:spacing w:after="0" w:line="480" w:lineRule="auto"/>
        <w:ind w:left="360" w:hanging="360"/>
        <w:jc w:val="both"/>
        <w:rPr>
          <w:sz w:val="32"/>
          <w:szCs w:val="32"/>
        </w:rPr>
      </w:pPr>
    </w:p>
    <w:p w:rsidR="0037707C" w:rsidRPr="00EA1E99" w:rsidRDefault="0037707C" w:rsidP="00633CE5">
      <w:pPr>
        <w:spacing w:after="0" w:line="480" w:lineRule="auto"/>
        <w:ind w:left="360" w:hanging="360"/>
        <w:jc w:val="both"/>
        <w:rPr>
          <w:sz w:val="32"/>
          <w:szCs w:val="32"/>
        </w:rPr>
      </w:pPr>
      <w:r>
        <w:rPr>
          <w:sz w:val="32"/>
          <w:szCs w:val="32"/>
        </w:rPr>
        <w:lastRenderedPageBreak/>
        <w:t>1. Introduction</w:t>
      </w:r>
      <w:r w:rsidRPr="00275F54">
        <w:rPr>
          <w:sz w:val="32"/>
          <w:szCs w:val="32"/>
        </w:rPr>
        <w:t xml:space="preserve"> </w:t>
      </w:r>
    </w:p>
    <w:p w:rsidR="0037707C" w:rsidRDefault="0037707C" w:rsidP="00633CE5">
      <w:pPr>
        <w:spacing w:after="0" w:line="480" w:lineRule="auto"/>
        <w:jc w:val="both"/>
        <w:rPr>
          <w:rFonts w:ascii="Times New Roman" w:hAnsi="Times New Roman"/>
          <w:sz w:val="24"/>
          <w:szCs w:val="24"/>
        </w:rPr>
      </w:pPr>
      <w:r>
        <w:rPr>
          <w:rFonts w:ascii="Times New Roman" w:hAnsi="Times New Roman"/>
          <w:sz w:val="24"/>
          <w:szCs w:val="24"/>
        </w:rPr>
        <w:t xml:space="preserve">Corporate managers are assumed to represent the </w:t>
      </w:r>
      <w:r w:rsidR="00214136">
        <w:rPr>
          <w:rFonts w:ascii="Times New Roman" w:hAnsi="Times New Roman"/>
          <w:sz w:val="24"/>
          <w:szCs w:val="24"/>
        </w:rPr>
        <w:t xml:space="preserve">interests of </w:t>
      </w:r>
      <w:r>
        <w:rPr>
          <w:rFonts w:ascii="Times New Roman" w:hAnsi="Times New Roman"/>
          <w:sz w:val="24"/>
          <w:szCs w:val="24"/>
        </w:rPr>
        <w:t xml:space="preserve">shareholders, and thus </w:t>
      </w:r>
      <w:r w:rsidRPr="00A72D99">
        <w:rPr>
          <w:rFonts w:ascii="Times New Roman" w:hAnsi="Times New Roman"/>
          <w:sz w:val="24"/>
          <w:szCs w:val="24"/>
        </w:rPr>
        <w:t xml:space="preserve">should take actions that </w:t>
      </w:r>
      <w:r>
        <w:rPr>
          <w:rFonts w:ascii="Times New Roman" w:hAnsi="Times New Roman"/>
          <w:sz w:val="24"/>
          <w:szCs w:val="24"/>
        </w:rPr>
        <w:t>maximize</w:t>
      </w:r>
      <w:r w:rsidRPr="00A72D99">
        <w:rPr>
          <w:rFonts w:ascii="Times New Roman" w:hAnsi="Times New Roman"/>
          <w:sz w:val="24"/>
          <w:szCs w:val="24"/>
        </w:rPr>
        <w:t xml:space="preserve"> the value of equity</w:t>
      </w:r>
      <w:r>
        <w:rPr>
          <w:rFonts w:ascii="Times New Roman" w:hAnsi="Times New Roman"/>
          <w:sz w:val="24"/>
          <w:szCs w:val="24"/>
        </w:rPr>
        <w:t xml:space="preserve">. Yet, managers often have their own incentives that </w:t>
      </w:r>
      <w:r w:rsidR="009E18AC">
        <w:rPr>
          <w:rFonts w:ascii="Times New Roman" w:hAnsi="Times New Roman"/>
          <w:sz w:val="24"/>
          <w:szCs w:val="24"/>
        </w:rPr>
        <w:t xml:space="preserve">may not be perfectly </w:t>
      </w:r>
      <w:r>
        <w:rPr>
          <w:rFonts w:ascii="Times New Roman" w:hAnsi="Times New Roman"/>
          <w:sz w:val="24"/>
          <w:szCs w:val="24"/>
        </w:rPr>
        <w:t xml:space="preserve">aligned with shareholders' interests. These include reputation concerns </w:t>
      </w:r>
      <w:r w:rsidRPr="00E800ED">
        <w:rPr>
          <w:rFonts w:ascii="Times New Roman" w:hAnsi="Times New Roman"/>
          <w:sz w:val="24"/>
          <w:szCs w:val="24"/>
        </w:rPr>
        <w:t>(Narayanan (1985)),</w:t>
      </w:r>
      <w:r>
        <w:rPr>
          <w:rFonts w:ascii="Times New Roman" w:hAnsi="Times New Roman"/>
          <w:sz w:val="24"/>
          <w:szCs w:val="24"/>
        </w:rPr>
        <w:t xml:space="preserve"> </w:t>
      </w:r>
      <w:r w:rsidRPr="00E800ED">
        <w:rPr>
          <w:rFonts w:ascii="Times New Roman" w:hAnsi="Times New Roman"/>
          <w:sz w:val="24"/>
          <w:szCs w:val="24"/>
        </w:rPr>
        <w:t xml:space="preserve">empire-building interests </w:t>
      </w:r>
      <w:r>
        <w:rPr>
          <w:rFonts w:ascii="Times New Roman" w:hAnsi="Times New Roman"/>
          <w:sz w:val="24"/>
          <w:szCs w:val="24"/>
        </w:rPr>
        <w:t>(</w:t>
      </w:r>
      <w:r w:rsidRPr="00E800ED">
        <w:rPr>
          <w:rFonts w:ascii="Times New Roman" w:hAnsi="Times New Roman"/>
          <w:sz w:val="24"/>
          <w:szCs w:val="24"/>
        </w:rPr>
        <w:t>Jensen’s (1986))</w:t>
      </w:r>
      <w:r>
        <w:rPr>
          <w:rFonts w:ascii="Times New Roman" w:hAnsi="Times New Roman"/>
          <w:sz w:val="24"/>
          <w:szCs w:val="24"/>
        </w:rPr>
        <w:t xml:space="preserve">, </w:t>
      </w:r>
      <w:r w:rsidR="009B5CFA">
        <w:rPr>
          <w:rFonts w:ascii="Times New Roman" w:hAnsi="Times New Roman"/>
          <w:sz w:val="24"/>
          <w:szCs w:val="24"/>
        </w:rPr>
        <w:t xml:space="preserve">and </w:t>
      </w:r>
      <w:r>
        <w:rPr>
          <w:rFonts w:ascii="Times New Roman" w:hAnsi="Times New Roman"/>
          <w:sz w:val="24"/>
          <w:szCs w:val="24"/>
        </w:rPr>
        <w:t xml:space="preserve">risk-aversion due </w:t>
      </w:r>
      <w:r w:rsidRPr="005A354D">
        <w:rPr>
          <w:rFonts w:ascii="Times New Roman" w:hAnsi="Times New Roman"/>
          <w:sz w:val="24"/>
          <w:szCs w:val="24"/>
        </w:rPr>
        <w:t>to undiversified wealth and huma</w:t>
      </w:r>
      <w:r>
        <w:rPr>
          <w:rFonts w:ascii="Times New Roman" w:hAnsi="Times New Roman"/>
          <w:sz w:val="24"/>
          <w:szCs w:val="24"/>
        </w:rPr>
        <w:t xml:space="preserve">n capital invested in the firm </w:t>
      </w:r>
      <w:r w:rsidRPr="005A354D">
        <w:rPr>
          <w:rFonts w:ascii="Times New Roman" w:hAnsi="Times New Roman"/>
          <w:sz w:val="24"/>
          <w:szCs w:val="24"/>
        </w:rPr>
        <w:t>(</w:t>
      </w:r>
      <w:r>
        <w:rPr>
          <w:rFonts w:ascii="Times New Roman" w:hAnsi="Times New Roman"/>
          <w:sz w:val="24"/>
          <w:szCs w:val="24"/>
        </w:rPr>
        <w:t xml:space="preserve">Jensen and </w:t>
      </w:r>
      <w:proofErr w:type="spellStart"/>
      <w:r>
        <w:rPr>
          <w:rFonts w:ascii="Times New Roman" w:hAnsi="Times New Roman"/>
          <w:sz w:val="24"/>
          <w:szCs w:val="24"/>
        </w:rPr>
        <w:t>Meckling</w:t>
      </w:r>
      <w:proofErr w:type="spellEnd"/>
      <w:r>
        <w:rPr>
          <w:rFonts w:ascii="Times New Roman" w:hAnsi="Times New Roman"/>
          <w:sz w:val="24"/>
          <w:szCs w:val="24"/>
        </w:rPr>
        <w:t xml:space="preserve"> (1976); </w:t>
      </w:r>
      <w:proofErr w:type="spellStart"/>
      <w:r>
        <w:rPr>
          <w:rFonts w:ascii="Times New Roman" w:hAnsi="Times New Roman"/>
          <w:sz w:val="24"/>
          <w:szCs w:val="24"/>
        </w:rPr>
        <w:t>Treynor</w:t>
      </w:r>
      <w:proofErr w:type="spellEnd"/>
      <w:r>
        <w:rPr>
          <w:rFonts w:ascii="Times New Roman" w:hAnsi="Times New Roman"/>
          <w:sz w:val="24"/>
          <w:szCs w:val="24"/>
        </w:rPr>
        <w:t xml:space="preserve"> and Black (1976);</w:t>
      </w:r>
      <w:r w:rsidRPr="005A354D">
        <w:rPr>
          <w:rFonts w:ascii="Times New Roman" w:hAnsi="Times New Roman"/>
          <w:sz w:val="24"/>
          <w:szCs w:val="24"/>
        </w:rPr>
        <w:t xml:space="preserve"> </w:t>
      </w:r>
      <w:proofErr w:type="spellStart"/>
      <w:r w:rsidRPr="005A354D">
        <w:rPr>
          <w:rFonts w:ascii="Times New Roman" w:hAnsi="Times New Roman"/>
          <w:sz w:val="24"/>
          <w:szCs w:val="24"/>
        </w:rPr>
        <w:t>Parrino</w:t>
      </w:r>
      <w:proofErr w:type="spellEnd"/>
      <w:r w:rsidRPr="005A354D">
        <w:rPr>
          <w:rFonts w:ascii="Times New Roman" w:hAnsi="Times New Roman"/>
          <w:sz w:val="24"/>
          <w:szCs w:val="24"/>
        </w:rPr>
        <w:t xml:space="preserve">, </w:t>
      </w:r>
      <w:proofErr w:type="spellStart"/>
      <w:r w:rsidRPr="005A354D">
        <w:rPr>
          <w:rFonts w:ascii="Times New Roman" w:hAnsi="Times New Roman"/>
          <w:sz w:val="24"/>
          <w:szCs w:val="24"/>
        </w:rPr>
        <w:t>Poteshman</w:t>
      </w:r>
      <w:proofErr w:type="spellEnd"/>
      <w:r w:rsidRPr="005A354D">
        <w:rPr>
          <w:rFonts w:ascii="Times New Roman" w:hAnsi="Times New Roman"/>
          <w:sz w:val="24"/>
          <w:szCs w:val="24"/>
        </w:rPr>
        <w:t xml:space="preserve">, and </w:t>
      </w:r>
      <w:proofErr w:type="spellStart"/>
      <w:r w:rsidRPr="005A354D">
        <w:rPr>
          <w:rFonts w:ascii="Times New Roman" w:hAnsi="Times New Roman"/>
          <w:sz w:val="24"/>
          <w:szCs w:val="24"/>
        </w:rPr>
        <w:t>Weisbach</w:t>
      </w:r>
      <w:proofErr w:type="spellEnd"/>
      <w:r w:rsidRPr="005A354D">
        <w:rPr>
          <w:rFonts w:ascii="Times New Roman" w:hAnsi="Times New Roman"/>
          <w:sz w:val="24"/>
          <w:szCs w:val="24"/>
        </w:rPr>
        <w:t xml:space="preserve"> (2005))</w:t>
      </w:r>
      <w:r w:rsidR="00214136">
        <w:rPr>
          <w:rFonts w:ascii="Times New Roman" w:hAnsi="Times New Roman"/>
          <w:sz w:val="24"/>
          <w:szCs w:val="24"/>
        </w:rPr>
        <w:t>. There exist also</w:t>
      </w:r>
      <w:r>
        <w:rPr>
          <w:rFonts w:ascii="Times New Roman" w:hAnsi="Times New Roman"/>
          <w:sz w:val="24"/>
          <w:szCs w:val="24"/>
        </w:rPr>
        <w:t xml:space="preserve"> compensation-based incentives: </w:t>
      </w:r>
      <w:r w:rsidRPr="00E800ED">
        <w:rPr>
          <w:rFonts w:ascii="Times New Roman" w:hAnsi="Times New Roman"/>
          <w:sz w:val="24"/>
          <w:szCs w:val="24"/>
        </w:rPr>
        <w:t>meeting short-term bonus targets (</w:t>
      </w:r>
      <w:proofErr w:type="spellStart"/>
      <w:r w:rsidRPr="00E800ED">
        <w:rPr>
          <w:rFonts w:ascii="Times New Roman" w:hAnsi="Times New Roman"/>
          <w:sz w:val="24"/>
          <w:szCs w:val="24"/>
        </w:rPr>
        <w:t>Waegelein</w:t>
      </w:r>
      <w:proofErr w:type="spellEnd"/>
      <w:r w:rsidRPr="00E800ED">
        <w:rPr>
          <w:rFonts w:ascii="Times New Roman" w:hAnsi="Times New Roman"/>
          <w:sz w:val="24"/>
          <w:szCs w:val="24"/>
        </w:rPr>
        <w:t xml:space="preserve"> (1988))</w:t>
      </w:r>
      <w:r>
        <w:rPr>
          <w:rFonts w:ascii="Times New Roman" w:hAnsi="Times New Roman"/>
          <w:sz w:val="24"/>
          <w:szCs w:val="24"/>
        </w:rPr>
        <w:t xml:space="preserve">, </w:t>
      </w:r>
      <w:r w:rsidRPr="005A354D">
        <w:rPr>
          <w:rFonts w:ascii="Times New Roman" w:hAnsi="Times New Roman"/>
          <w:sz w:val="24"/>
          <w:szCs w:val="24"/>
        </w:rPr>
        <w:t xml:space="preserve">risk-taking incentives </w:t>
      </w:r>
      <w:r>
        <w:rPr>
          <w:rFonts w:ascii="Times New Roman" w:hAnsi="Times New Roman"/>
          <w:sz w:val="24"/>
          <w:szCs w:val="24"/>
        </w:rPr>
        <w:t xml:space="preserve">due to large </w:t>
      </w:r>
      <w:r w:rsidRPr="005A354D">
        <w:rPr>
          <w:rFonts w:ascii="Times New Roman" w:hAnsi="Times New Roman"/>
          <w:sz w:val="24"/>
          <w:szCs w:val="24"/>
        </w:rPr>
        <w:t>stock-options holdings (Co</w:t>
      </w:r>
      <w:r>
        <w:rPr>
          <w:rFonts w:ascii="Times New Roman" w:hAnsi="Times New Roman"/>
          <w:sz w:val="24"/>
          <w:szCs w:val="24"/>
        </w:rPr>
        <w:t xml:space="preserve">les, Daniel, and Naveen (2006)), and </w:t>
      </w:r>
      <w:r w:rsidRPr="00196A27">
        <w:rPr>
          <w:rFonts w:ascii="Times New Roman" w:hAnsi="Times New Roman"/>
          <w:sz w:val="24"/>
          <w:szCs w:val="24"/>
        </w:rPr>
        <w:t>lower</w:t>
      </w:r>
      <w:r>
        <w:rPr>
          <w:rFonts w:ascii="Times New Roman" w:hAnsi="Times New Roman"/>
          <w:sz w:val="24"/>
          <w:szCs w:val="24"/>
        </w:rPr>
        <w:t>ing</w:t>
      </w:r>
      <w:r w:rsidRPr="00196A27">
        <w:rPr>
          <w:rFonts w:ascii="Times New Roman" w:hAnsi="Times New Roman"/>
          <w:sz w:val="24"/>
          <w:szCs w:val="24"/>
        </w:rPr>
        <w:t xml:space="preserve"> the likelihood of default that risks pension payouts</w:t>
      </w:r>
      <w:r>
        <w:rPr>
          <w:rFonts w:ascii="Times New Roman" w:hAnsi="Times New Roman"/>
          <w:sz w:val="24"/>
          <w:szCs w:val="24"/>
        </w:rPr>
        <w:t xml:space="preserve"> (</w:t>
      </w:r>
      <w:proofErr w:type="spellStart"/>
      <w:r>
        <w:rPr>
          <w:rFonts w:ascii="Times New Roman" w:hAnsi="Times New Roman"/>
          <w:sz w:val="24"/>
          <w:szCs w:val="24"/>
        </w:rPr>
        <w:t>Sundaram</w:t>
      </w:r>
      <w:proofErr w:type="spellEnd"/>
      <w:r>
        <w:rPr>
          <w:rFonts w:ascii="Times New Roman" w:hAnsi="Times New Roman"/>
          <w:sz w:val="24"/>
          <w:szCs w:val="24"/>
        </w:rPr>
        <w:t xml:space="preserve"> and </w:t>
      </w:r>
      <w:proofErr w:type="spellStart"/>
      <w:r>
        <w:rPr>
          <w:rFonts w:ascii="Times New Roman" w:hAnsi="Times New Roman"/>
          <w:sz w:val="24"/>
          <w:szCs w:val="24"/>
        </w:rPr>
        <w:t>Yermack</w:t>
      </w:r>
      <w:proofErr w:type="spellEnd"/>
      <w:r>
        <w:rPr>
          <w:rFonts w:ascii="Times New Roman" w:hAnsi="Times New Roman"/>
          <w:sz w:val="24"/>
          <w:szCs w:val="24"/>
        </w:rPr>
        <w:t xml:space="preserve"> (2007)). </w:t>
      </w:r>
    </w:p>
    <w:p w:rsidR="0037707C" w:rsidRDefault="0037707C" w:rsidP="0011392D">
      <w:pPr>
        <w:spacing w:before="240" w:after="0" w:line="480" w:lineRule="auto"/>
        <w:ind w:firstLine="360"/>
        <w:jc w:val="both"/>
        <w:rPr>
          <w:rFonts w:ascii="Times New Roman" w:hAnsi="Times New Roman"/>
          <w:sz w:val="24"/>
          <w:szCs w:val="24"/>
        </w:rPr>
      </w:pPr>
      <w:r>
        <w:rPr>
          <w:rFonts w:ascii="Times New Roman" w:hAnsi="Times New Roman"/>
          <w:sz w:val="24"/>
          <w:szCs w:val="24"/>
        </w:rPr>
        <w:t xml:space="preserve">We investigate how compensation-based considerations, particularly the </w:t>
      </w:r>
      <w:r w:rsidR="00AC3EAB">
        <w:rPr>
          <w:rFonts w:ascii="Times New Roman" w:hAnsi="Times New Roman"/>
          <w:sz w:val="24"/>
          <w:szCs w:val="24"/>
        </w:rPr>
        <w:t xml:space="preserve">size </w:t>
      </w:r>
      <w:r>
        <w:rPr>
          <w:rFonts w:ascii="Times New Roman" w:hAnsi="Times New Roman"/>
          <w:sz w:val="24"/>
          <w:szCs w:val="24"/>
        </w:rPr>
        <w:t xml:space="preserve">of pension plans, affect the firm's current dividend policy. </w:t>
      </w:r>
      <w:r w:rsidR="00FF0875">
        <w:rPr>
          <w:rFonts w:ascii="Times New Roman" w:hAnsi="Times New Roman"/>
          <w:sz w:val="24"/>
          <w:szCs w:val="24"/>
        </w:rPr>
        <w:t>In general, t</w:t>
      </w:r>
      <w:r w:rsidR="00AC3EAB">
        <w:rPr>
          <w:rFonts w:ascii="Times New Roman" w:hAnsi="Times New Roman"/>
          <w:sz w:val="24"/>
          <w:szCs w:val="24"/>
        </w:rPr>
        <w:t>he l</w:t>
      </w:r>
      <w:r>
        <w:rPr>
          <w:rFonts w:ascii="Times New Roman" w:hAnsi="Times New Roman"/>
          <w:sz w:val="24"/>
          <w:szCs w:val="24"/>
        </w:rPr>
        <w:t>iterature suggests that managers who are heavily compensated with debt-based instruments</w:t>
      </w:r>
      <w:r w:rsidR="00FF0875">
        <w:rPr>
          <w:rFonts w:ascii="Times New Roman" w:hAnsi="Times New Roman"/>
          <w:sz w:val="24"/>
          <w:szCs w:val="24"/>
        </w:rPr>
        <w:t>,</w:t>
      </w:r>
      <w:r>
        <w:rPr>
          <w:rFonts w:ascii="Times New Roman" w:hAnsi="Times New Roman"/>
          <w:sz w:val="24"/>
          <w:szCs w:val="24"/>
        </w:rPr>
        <w:t xml:space="preserve"> such as pensions</w:t>
      </w:r>
      <w:r w:rsidR="00FF0875">
        <w:rPr>
          <w:rFonts w:ascii="Times New Roman" w:hAnsi="Times New Roman"/>
          <w:sz w:val="24"/>
          <w:szCs w:val="24"/>
        </w:rPr>
        <w:t>,</w:t>
      </w:r>
      <w:r>
        <w:rPr>
          <w:rFonts w:ascii="Times New Roman" w:hAnsi="Times New Roman"/>
          <w:sz w:val="24"/>
          <w:szCs w:val="24"/>
        </w:rPr>
        <w:t xml:space="preserve"> </w:t>
      </w:r>
      <w:r w:rsidR="00E07D2D">
        <w:rPr>
          <w:rFonts w:ascii="Times New Roman" w:hAnsi="Times New Roman"/>
          <w:sz w:val="24"/>
          <w:szCs w:val="24"/>
        </w:rPr>
        <w:t xml:space="preserve">tend to manage the firm </w:t>
      </w:r>
      <w:r>
        <w:rPr>
          <w:rFonts w:ascii="Times New Roman" w:hAnsi="Times New Roman"/>
          <w:sz w:val="24"/>
          <w:szCs w:val="24"/>
        </w:rPr>
        <w:t>more conservatively</w:t>
      </w:r>
      <w:r w:rsidR="00E07D2D">
        <w:rPr>
          <w:rFonts w:ascii="Times New Roman" w:hAnsi="Times New Roman"/>
          <w:sz w:val="24"/>
          <w:szCs w:val="24"/>
        </w:rPr>
        <w:t xml:space="preserve"> because </w:t>
      </w:r>
      <w:r w:rsidR="00C76152">
        <w:rPr>
          <w:rFonts w:ascii="Times New Roman" w:hAnsi="Times New Roman"/>
          <w:sz w:val="24"/>
          <w:szCs w:val="24"/>
        </w:rPr>
        <w:t xml:space="preserve">they </w:t>
      </w:r>
      <w:r w:rsidR="00E07D2D">
        <w:rPr>
          <w:rFonts w:ascii="Times New Roman" w:hAnsi="Times New Roman"/>
          <w:sz w:val="24"/>
          <w:szCs w:val="24"/>
        </w:rPr>
        <w:t>are exposed to default risk</w:t>
      </w:r>
      <w:r w:rsidR="00AC3EAB">
        <w:rPr>
          <w:rFonts w:ascii="Times New Roman" w:hAnsi="Times New Roman"/>
          <w:sz w:val="24"/>
          <w:szCs w:val="24"/>
        </w:rPr>
        <w:t xml:space="preserve"> (</w:t>
      </w:r>
      <w:proofErr w:type="spellStart"/>
      <w:r>
        <w:rPr>
          <w:rFonts w:ascii="Times New Roman" w:hAnsi="Times New Roman"/>
          <w:sz w:val="24"/>
          <w:szCs w:val="24"/>
        </w:rPr>
        <w:t>Sundaram</w:t>
      </w:r>
      <w:proofErr w:type="spellEnd"/>
      <w:r>
        <w:rPr>
          <w:rFonts w:ascii="Times New Roman" w:hAnsi="Times New Roman"/>
          <w:sz w:val="24"/>
          <w:szCs w:val="24"/>
        </w:rPr>
        <w:t xml:space="preserve"> and </w:t>
      </w:r>
      <w:proofErr w:type="spellStart"/>
      <w:r>
        <w:rPr>
          <w:rFonts w:ascii="Times New Roman" w:hAnsi="Times New Roman"/>
          <w:sz w:val="24"/>
          <w:szCs w:val="24"/>
        </w:rPr>
        <w:t>Yermack</w:t>
      </w:r>
      <w:proofErr w:type="spellEnd"/>
      <w:r>
        <w:rPr>
          <w:rFonts w:ascii="Times New Roman" w:hAnsi="Times New Roman"/>
          <w:sz w:val="24"/>
          <w:szCs w:val="24"/>
        </w:rPr>
        <w:t xml:space="preserve"> (2007) and </w:t>
      </w:r>
      <w:proofErr w:type="spellStart"/>
      <w:r w:rsidR="009B25E8" w:rsidRPr="009B25E8">
        <w:rPr>
          <w:rFonts w:ascii="Times New Roman" w:hAnsi="Times New Roman"/>
          <w:sz w:val="24"/>
          <w:szCs w:val="24"/>
        </w:rPr>
        <w:t>Cassell</w:t>
      </w:r>
      <w:proofErr w:type="spellEnd"/>
      <w:r w:rsidR="009B25E8" w:rsidRPr="009B25E8">
        <w:rPr>
          <w:rFonts w:ascii="Times New Roman" w:hAnsi="Times New Roman"/>
          <w:sz w:val="24"/>
          <w:szCs w:val="24"/>
        </w:rPr>
        <w:t xml:space="preserve">, Huang, Sanchez, </w:t>
      </w:r>
      <w:r w:rsidR="002C0D7E">
        <w:rPr>
          <w:rFonts w:ascii="Times New Roman" w:hAnsi="Times New Roman"/>
          <w:sz w:val="24"/>
          <w:szCs w:val="24"/>
        </w:rPr>
        <w:t>and Stuart (</w:t>
      </w:r>
      <w:r w:rsidR="009B25E8" w:rsidRPr="009B25E8">
        <w:rPr>
          <w:rFonts w:ascii="Times New Roman" w:hAnsi="Times New Roman"/>
          <w:sz w:val="24"/>
          <w:szCs w:val="24"/>
        </w:rPr>
        <w:t>2012</w:t>
      </w:r>
      <w:r w:rsidR="009B25E8">
        <w:rPr>
          <w:rFonts w:ascii="Times New Roman" w:hAnsi="Times New Roman"/>
          <w:sz w:val="24"/>
          <w:szCs w:val="24"/>
        </w:rPr>
        <w:t>)</w:t>
      </w:r>
      <w:r w:rsidR="002C0D7E">
        <w:rPr>
          <w:rFonts w:ascii="Times New Roman" w:hAnsi="Times New Roman"/>
          <w:sz w:val="24"/>
          <w:szCs w:val="24"/>
        </w:rPr>
        <w:t>)</w:t>
      </w:r>
      <w:r>
        <w:rPr>
          <w:rFonts w:ascii="Times New Roman" w:hAnsi="Times New Roman"/>
          <w:sz w:val="24"/>
          <w:szCs w:val="24"/>
        </w:rPr>
        <w:t>. While these studies focus on the default risk as a tool to protect future pension payouts, we analyze the cash-flow policy</w:t>
      </w:r>
      <w:r w:rsidR="001E4BCC">
        <w:rPr>
          <w:rFonts w:ascii="Times New Roman" w:hAnsi="Times New Roman"/>
          <w:sz w:val="24"/>
          <w:szCs w:val="24"/>
        </w:rPr>
        <w:t xml:space="preserve"> effects</w:t>
      </w:r>
      <w:r>
        <w:rPr>
          <w:rFonts w:ascii="Times New Roman" w:hAnsi="Times New Roman"/>
          <w:sz w:val="24"/>
          <w:szCs w:val="24"/>
        </w:rPr>
        <w:t xml:space="preserve">. </w:t>
      </w:r>
      <w:r w:rsidRPr="0017405F">
        <w:rPr>
          <w:rFonts w:ascii="Times New Roman" w:hAnsi="Times New Roman"/>
          <w:sz w:val="24"/>
          <w:szCs w:val="24"/>
        </w:rPr>
        <w:t>We argue that managers with high pension holdings will be reluc</w:t>
      </w:r>
      <w:r>
        <w:rPr>
          <w:rFonts w:ascii="Times New Roman" w:hAnsi="Times New Roman"/>
          <w:sz w:val="24"/>
          <w:szCs w:val="24"/>
        </w:rPr>
        <w:t xml:space="preserve">tant to adopt </w:t>
      </w:r>
      <w:r w:rsidR="002C0D7E">
        <w:rPr>
          <w:rFonts w:ascii="Times New Roman" w:hAnsi="Times New Roman"/>
          <w:sz w:val="24"/>
          <w:szCs w:val="24"/>
        </w:rPr>
        <w:t xml:space="preserve">a </w:t>
      </w:r>
      <w:r>
        <w:rPr>
          <w:rFonts w:ascii="Times New Roman" w:hAnsi="Times New Roman"/>
          <w:sz w:val="24"/>
          <w:szCs w:val="24"/>
        </w:rPr>
        <w:t>high dividend policy</w:t>
      </w:r>
      <w:r w:rsidR="00E07D2D">
        <w:rPr>
          <w:rFonts w:ascii="Times New Roman" w:hAnsi="Times New Roman"/>
          <w:sz w:val="24"/>
          <w:szCs w:val="24"/>
        </w:rPr>
        <w:t xml:space="preserve"> because this </w:t>
      </w:r>
      <w:r>
        <w:rPr>
          <w:rFonts w:ascii="Times New Roman" w:hAnsi="Times New Roman"/>
          <w:sz w:val="24"/>
          <w:szCs w:val="24"/>
        </w:rPr>
        <w:t xml:space="preserve">essentially commits </w:t>
      </w:r>
      <w:r w:rsidR="00E07D2D">
        <w:rPr>
          <w:rFonts w:ascii="Times New Roman" w:hAnsi="Times New Roman"/>
          <w:sz w:val="24"/>
          <w:szCs w:val="24"/>
        </w:rPr>
        <w:t xml:space="preserve">the firm </w:t>
      </w:r>
      <w:r>
        <w:rPr>
          <w:rFonts w:ascii="Times New Roman" w:hAnsi="Times New Roman"/>
          <w:sz w:val="24"/>
          <w:szCs w:val="24"/>
        </w:rPr>
        <w:t xml:space="preserve">to </w:t>
      </w:r>
      <w:r w:rsidR="00DC260C">
        <w:rPr>
          <w:rFonts w:ascii="Times New Roman" w:hAnsi="Times New Roman"/>
          <w:sz w:val="24"/>
          <w:szCs w:val="24"/>
        </w:rPr>
        <w:t xml:space="preserve">a constant or growing level of dividends </w:t>
      </w:r>
      <w:r w:rsidR="00AC3EAB">
        <w:rPr>
          <w:rFonts w:ascii="Times New Roman" w:hAnsi="Times New Roman"/>
          <w:sz w:val="24"/>
          <w:szCs w:val="24"/>
        </w:rPr>
        <w:t>for the foreseeable future</w:t>
      </w:r>
      <w:r w:rsidR="002C0D7E">
        <w:rPr>
          <w:rFonts w:ascii="Times New Roman" w:hAnsi="Times New Roman"/>
          <w:sz w:val="24"/>
          <w:szCs w:val="24"/>
        </w:rPr>
        <w:t xml:space="preserve">. </w:t>
      </w:r>
      <w:r w:rsidR="00883F91">
        <w:rPr>
          <w:rFonts w:ascii="Times New Roman" w:hAnsi="Times New Roman"/>
          <w:sz w:val="24"/>
          <w:szCs w:val="24"/>
        </w:rPr>
        <w:t>Managers know, and the</w:t>
      </w:r>
      <w:r w:rsidR="002C0D7E">
        <w:rPr>
          <w:rFonts w:ascii="Times New Roman" w:hAnsi="Times New Roman"/>
          <w:sz w:val="24"/>
          <w:szCs w:val="24"/>
        </w:rPr>
        <w:t xml:space="preserve"> literature </w:t>
      </w:r>
      <w:r w:rsidR="00883F91">
        <w:rPr>
          <w:rFonts w:ascii="Times New Roman" w:hAnsi="Times New Roman"/>
          <w:sz w:val="24"/>
          <w:szCs w:val="24"/>
        </w:rPr>
        <w:t>confirms,</w:t>
      </w:r>
      <w:r w:rsidR="002C0D7E">
        <w:rPr>
          <w:rFonts w:ascii="Times New Roman" w:hAnsi="Times New Roman"/>
          <w:sz w:val="24"/>
          <w:szCs w:val="24"/>
        </w:rPr>
        <w:t xml:space="preserve"> that </w:t>
      </w:r>
      <w:r w:rsidR="00883F91">
        <w:rPr>
          <w:rFonts w:ascii="Times New Roman" w:hAnsi="Times New Roman"/>
          <w:sz w:val="24"/>
          <w:szCs w:val="24"/>
        </w:rPr>
        <w:t xml:space="preserve">once a firm starts paying dividends, </w:t>
      </w:r>
      <w:r>
        <w:rPr>
          <w:rFonts w:ascii="Times New Roman" w:hAnsi="Times New Roman"/>
          <w:sz w:val="24"/>
          <w:szCs w:val="24"/>
        </w:rPr>
        <w:t xml:space="preserve">cutting or omitting </w:t>
      </w:r>
      <w:r w:rsidR="00883F91">
        <w:rPr>
          <w:rFonts w:ascii="Times New Roman" w:hAnsi="Times New Roman"/>
          <w:sz w:val="24"/>
          <w:szCs w:val="24"/>
        </w:rPr>
        <w:t xml:space="preserve">those </w:t>
      </w:r>
      <w:r>
        <w:rPr>
          <w:rFonts w:ascii="Times New Roman" w:hAnsi="Times New Roman"/>
          <w:sz w:val="24"/>
          <w:szCs w:val="24"/>
        </w:rPr>
        <w:t xml:space="preserve">dividends will have negative consequences in terms of both </w:t>
      </w:r>
      <w:r w:rsidR="001E4BCC">
        <w:rPr>
          <w:rFonts w:ascii="Times New Roman" w:hAnsi="Times New Roman"/>
          <w:sz w:val="24"/>
          <w:szCs w:val="24"/>
        </w:rPr>
        <w:t xml:space="preserve">the </w:t>
      </w:r>
      <w:r>
        <w:rPr>
          <w:rFonts w:ascii="Times New Roman" w:hAnsi="Times New Roman"/>
          <w:sz w:val="24"/>
          <w:szCs w:val="24"/>
        </w:rPr>
        <w:t>stock price and the reputation of the managers (see, e.g.,</w:t>
      </w:r>
      <w:r w:rsidR="0088310E">
        <w:rPr>
          <w:rFonts w:ascii="Times New Roman" w:hAnsi="Times New Roman"/>
          <w:sz w:val="24"/>
          <w:szCs w:val="24"/>
        </w:rPr>
        <w:t xml:space="preserve"> </w:t>
      </w:r>
      <w:proofErr w:type="spellStart"/>
      <w:r w:rsidR="0088310E">
        <w:rPr>
          <w:rFonts w:ascii="Times New Roman" w:hAnsi="Times New Roman"/>
          <w:sz w:val="24"/>
          <w:szCs w:val="24"/>
        </w:rPr>
        <w:t>Michaely</w:t>
      </w:r>
      <w:proofErr w:type="spellEnd"/>
      <w:r w:rsidR="0088310E">
        <w:rPr>
          <w:rFonts w:ascii="Times New Roman" w:hAnsi="Times New Roman"/>
          <w:sz w:val="24"/>
          <w:szCs w:val="24"/>
        </w:rPr>
        <w:t xml:space="preserve">, </w:t>
      </w:r>
      <w:proofErr w:type="spellStart"/>
      <w:r w:rsidRPr="0059543E">
        <w:rPr>
          <w:rFonts w:ascii="Times New Roman" w:hAnsi="Times New Roman"/>
          <w:sz w:val="24"/>
          <w:szCs w:val="24"/>
        </w:rPr>
        <w:t>Thaler</w:t>
      </w:r>
      <w:proofErr w:type="spellEnd"/>
      <w:r w:rsidRPr="0059543E">
        <w:rPr>
          <w:rFonts w:ascii="Times New Roman" w:hAnsi="Times New Roman"/>
          <w:sz w:val="24"/>
          <w:szCs w:val="24"/>
        </w:rPr>
        <w:t xml:space="preserve"> and Womack (1995)</w:t>
      </w:r>
      <w:r>
        <w:rPr>
          <w:rFonts w:ascii="Times New Roman" w:hAnsi="Times New Roman"/>
          <w:sz w:val="24"/>
          <w:szCs w:val="24"/>
        </w:rPr>
        <w:t xml:space="preserve">). Thus, </w:t>
      </w:r>
      <w:r w:rsidR="003E112F" w:rsidRPr="003E112F">
        <w:rPr>
          <w:rFonts w:ascii="Times New Roman" w:hAnsi="Times New Roman" w:cs="Times New Roman"/>
          <w:sz w:val="24"/>
          <w:szCs w:val="24"/>
        </w:rPr>
        <w:t>m</w:t>
      </w:r>
      <w:r w:rsidR="0023178B" w:rsidRPr="00F26908">
        <w:rPr>
          <w:rFonts w:ascii="Times New Roman" w:hAnsi="Times New Roman" w:cs="Times New Roman"/>
          <w:sz w:val="24"/>
          <w:szCs w:val="24"/>
          <w:lang w:val="en-CA"/>
        </w:rPr>
        <w:fldChar w:fldCharType="begin"/>
      </w:r>
      <w:r w:rsidR="00F26908" w:rsidRPr="00F26908">
        <w:rPr>
          <w:rFonts w:ascii="Times New Roman" w:hAnsi="Times New Roman" w:cs="Times New Roman"/>
          <w:sz w:val="24"/>
          <w:szCs w:val="24"/>
          <w:lang w:val="en-CA"/>
        </w:rPr>
        <w:instrText xml:space="preserve"> SEQ CHAPTER \h \r 1</w:instrText>
      </w:r>
      <w:r w:rsidR="0023178B" w:rsidRPr="00F26908">
        <w:rPr>
          <w:rFonts w:ascii="Times New Roman" w:hAnsi="Times New Roman" w:cs="Times New Roman"/>
          <w:sz w:val="24"/>
          <w:szCs w:val="24"/>
          <w:lang w:val="en-CA"/>
        </w:rPr>
        <w:fldChar w:fldCharType="end"/>
      </w:r>
      <w:r w:rsidR="00F26908" w:rsidRPr="00F26908">
        <w:rPr>
          <w:rFonts w:ascii="Times New Roman" w:hAnsi="Times New Roman" w:cs="Times New Roman"/>
          <w:sz w:val="24"/>
          <w:szCs w:val="24"/>
        </w:rPr>
        <w:t xml:space="preserve">anagers may be hesitant to commit the firm to </w:t>
      </w:r>
      <w:r w:rsidR="009B3545">
        <w:rPr>
          <w:rFonts w:ascii="Times New Roman" w:hAnsi="Times New Roman" w:cs="Times New Roman"/>
          <w:sz w:val="24"/>
          <w:szCs w:val="24"/>
        </w:rPr>
        <w:t xml:space="preserve">large </w:t>
      </w:r>
      <w:r w:rsidR="00F26908" w:rsidRPr="00F26908">
        <w:rPr>
          <w:rFonts w:ascii="Times New Roman" w:hAnsi="Times New Roman" w:cs="Times New Roman"/>
          <w:sz w:val="24"/>
          <w:szCs w:val="24"/>
        </w:rPr>
        <w:t xml:space="preserve">cash distributions that might </w:t>
      </w:r>
      <w:r w:rsidR="00CE4066">
        <w:rPr>
          <w:rFonts w:ascii="Times New Roman" w:hAnsi="Times New Roman" w:cs="Times New Roman"/>
          <w:sz w:val="24"/>
          <w:szCs w:val="24"/>
        </w:rPr>
        <w:t>leave</w:t>
      </w:r>
      <w:r w:rsidR="00F26908" w:rsidRPr="00F26908">
        <w:rPr>
          <w:rFonts w:ascii="Times New Roman" w:hAnsi="Times New Roman" w:cs="Times New Roman"/>
          <w:sz w:val="24"/>
          <w:szCs w:val="24"/>
        </w:rPr>
        <w:t xml:space="preserve"> fewer funds available for future pension payouts.</w:t>
      </w:r>
      <w:r w:rsidR="003E112F">
        <w:rPr>
          <w:sz w:val="24"/>
          <w:szCs w:val="24"/>
        </w:rPr>
        <w:t xml:space="preserve"> </w:t>
      </w:r>
      <w:r w:rsidR="00C3115D">
        <w:rPr>
          <w:rFonts w:ascii="Times New Roman" w:hAnsi="Times New Roman" w:cs="Times New Roman"/>
          <w:sz w:val="24"/>
          <w:szCs w:val="24"/>
        </w:rPr>
        <w:t xml:space="preserve">Instead managers can elect to either </w:t>
      </w:r>
      <w:r>
        <w:rPr>
          <w:rFonts w:ascii="Times New Roman" w:hAnsi="Times New Roman"/>
          <w:sz w:val="24"/>
          <w:szCs w:val="24"/>
        </w:rPr>
        <w:t>keep funds in the firm or distribut</w:t>
      </w:r>
      <w:r w:rsidR="00C3115D">
        <w:rPr>
          <w:rFonts w:ascii="Times New Roman" w:hAnsi="Times New Roman"/>
          <w:sz w:val="24"/>
          <w:szCs w:val="24"/>
        </w:rPr>
        <w:t>e</w:t>
      </w:r>
      <w:r>
        <w:rPr>
          <w:rFonts w:ascii="Times New Roman" w:hAnsi="Times New Roman"/>
          <w:sz w:val="24"/>
          <w:szCs w:val="24"/>
        </w:rPr>
        <w:t xml:space="preserve"> cash to </w:t>
      </w:r>
      <w:r>
        <w:rPr>
          <w:rFonts w:ascii="Times New Roman" w:hAnsi="Times New Roman"/>
          <w:sz w:val="24"/>
          <w:szCs w:val="24"/>
        </w:rPr>
        <w:lastRenderedPageBreak/>
        <w:t xml:space="preserve">shareholders </w:t>
      </w:r>
      <w:r w:rsidR="003E112F">
        <w:rPr>
          <w:rFonts w:ascii="Times New Roman" w:hAnsi="Times New Roman"/>
          <w:sz w:val="24"/>
          <w:szCs w:val="24"/>
        </w:rPr>
        <w:t>in the form of stock buybacks</w:t>
      </w:r>
      <w:r w:rsidR="002855E3">
        <w:rPr>
          <w:rFonts w:ascii="Times New Roman" w:hAnsi="Times New Roman"/>
          <w:sz w:val="24"/>
          <w:szCs w:val="24"/>
        </w:rPr>
        <w:t>. T</w:t>
      </w:r>
      <w:r w:rsidR="006101B7">
        <w:rPr>
          <w:rFonts w:ascii="Times New Roman" w:hAnsi="Times New Roman"/>
          <w:sz w:val="24"/>
          <w:szCs w:val="24"/>
        </w:rPr>
        <w:t xml:space="preserve">he benefits of these options </w:t>
      </w:r>
      <w:r w:rsidR="002855E3">
        <w:rPr>
          <w:rFonts w:ascii="Times New Roman" w:hAnsi="Times New Roman"/>
          <w:sz w:val="24"/>
          <w:szCs w:val="24"/>
        </w:rPr>
        <w:t>are clear</w:t>
      </w:r>
      <w:r w:rsidR="00C76152">
        <w:rPr>
          <w:rFonts w:ascii="Times New Roman" w:hAnsi="Times New Roman"/>
          <w:sz w:val="24"/>
          <w:szCs w:val="24"/>
        </w:rPr>
        <w:t xml:space="preserve"> </w:t>
      </w:r>
      <w:r w:rsidR="006101B7">
        <w:rPr>
          <w:rFonts w:ascii="Times New Roman" w:hAnsi="Times New Roman"/>
          <w:sz w:val="24"/>
          <w:szCs w:val="24"/>
        </w:rPr>
        <w:t>a</w:t>
      </w:r>
      <w:r w:rsidR="002855E3">
        <w:rPr>
          <w:rFonts w:ascii="Times New Roman" w:hAnsi="Times New Roman"/>
          <w:sz w:val="24"/>
          <w:szCs w:val="24"/>
        </w:rPr>
        <w:t xml:space="preserve">s </w:t>
      </w:r>
      <w:r w:rsidR="006101B7">
        <w:rPr>
          <w:rFonts w:ascii="Times New Roman" w:hAnsi="Times New Roman"/>
          <w:sz w:val="24"/>
          <w:szCs w:val="24"/>
        </w:rPr>
        <w:t xml:space="preserve">they </w:t>
      </w:r>
      <w:r>
        <w:rPr>
          <w:rFonts w:ascii="Times New Roman" w:hAnsi="Times New Roman"/>
          <w:sz w:val="24"/>
          <w:szCs w:val="24"/>
        </w:rPr>
        <w:t xml:space="preserve">do not commit the firm to </w:t>
      </w:r>
      <w:r w:rsidR="003E112F">
        <w:rPr>
          <w:rFonts w:ascii="Times New Roman" w:hAnsi="Times New Roman"/>
          <w:sz w:val="24"/>
          <w:szCs w:val="24"/>
        </w:rPr>
        <w:t xml:space="preserve">permanent </w:t>
      </w:r>
      <w:r>
        <w:rPr>
          <w:rFonts w:ascii="Times New Roman" w:hAnsi="Times New Roman"/>
          <w:sz w:val="24"/>
          <w:szCs w:val="24"/>
        </w:rPr>
        <w:t xml:space="preserve">future cash payouts. </w:t>
      </w:r>
    </w:p>
    <w:p w:rsidR="0037707C" w:rsidRDefault="0037707C" w:rsidP="00EA15FD">
      <w:pPr>
        <w:spacing w:before="240" w:after="0" w:line="480" w:lineRule="auto"/>
        <w:ind w:firstLine="360"/>
        <w:jc w:val="both"/>
        <w:rPr>
          <w:rFonts w:ascii="Times New Roman" w:hAnsi="Times New Roman"/>
          <w:sz w:val="24"/>
          <w:szCs w:val="24"/>
        </w:rPr>
      </w:pPr>
      <w:r>
        <w:rPr>
          <w:rFonts w:ascii="Times New Roman" w:hAnsi="Times New Roman"/>
          <w:sz w:val="24"/>
          <w:szCs w:val="24"/>
        </w:rPr>
        <w:t>To estimate the present value of pension</w:t>
      </w:r>
      <w:r w:rsidR="00B1196F">
        <w:rPr>
          <w:rFonts w:ascii="Times New Roman" w:hAnsi="Times New Roman"/>
          <w:sz w:val="24"/>
          <w:szCs w:val="24"/>
        </w:rPr>
        <w:t>s</w:t>
      </w:r>
      <w:r>
        <w:rPr>
          <w:rFonts w:ascii="Times New Roman" w:hAnsi="Times New Roman"/>
          <w:sz w:val="24"/>
          <w:szCs w:val="24"/>
        </w:rPr>
        <w:t xml:space="preserve"> we manually collected data on pension plans </w:t>
      </w:r>
      <w:r w:rsidRPr="001A36AB">
        <w:rPr>
          <w:rFonts w:ascii="Times New Roman" w:hAnsi="Times New Roman"/>
          <w:sz w:val="24"/>
          <w:szCs w:val="24"/>
        </w:rPr>
        <w:t>for 2</w:t>
      </w:r>
      <w:r>
        <w:rPr>
          <w:rFonts w:ascii="Times New Roman" w:hAnsi="Times New Roman"/>
          <w:sz w:val="24"/>
          <w:szCs w:val="24"/>
        </w:rPr>
        <w:t>72</w:t>
      </w:r>
      <w:r w:rsidRPr="001A36AB">
        <w:rPr>
          <w:rFonts w:ascii="Times New Roman" w:hAnsi="Times New Roman"/>
          <w:sz w:val="24"/>
          <w:szCs w:val="24"/>
        </w:rPr>
        <w:t xml:space="preserve"> of the largest firms listed on the U.S. stock exchanges over a ten-year period between 2000 and 2009</w:t>
      </w:r>
      <w:r>
        <w:rPr>
          <w:rFonts w:ascii="Times New Roman" w:hAnsi="Times New Roman"/>
          <w:sz w:val="24"/>
          <w:szCs w:val="24"/>
        </w:rPr>
        <w:t xml:space="preserve">. </w:t>
      </w:r>
      <w:r w:rsidRPr="00803660">
        <w:rPr>
          <w:rFonts w:ascii="Times New Roman" w:hAnsi="Times New Roman"/>
          <w:sz w:val="24"/>
          <w:szCs w:val="24"/>
        </w:rPr>
        <w:t>Instead of a CEO-only database used in previous studies, all firm exec</w:t>
      </w:r>
      <w:r w:rsidR="00F66E43">
        <w:rPr>
          <w:rFonts w:ascii="Times New Roman" w:hAnsi="Times New Roman"/>
          <w:sz w:val="24"/>
          <w:szCs w:val="24"/>
        </w:rPr>
        <w:t>utives (typically five per firm-</w:t>
      </w:r>
      <w:r w:rsidRPr="00803660">
        <w:rPr>
          <w:rFonts w:ascii="Times New Roman" w:hAnsi="Times New Roman"/>
          <w:sz w:val="24"/>
          <w:szCs w:val="24"/>
        </w:rPr>
        <w:t xml:space="preserve">year) are used to compute </w:t>
      </w:r>
      <w:r>
        <w:rPr>
          <w:rFonts w:ascii="Times New Roman" w:hAnsi="Times New Roman"/>
          <w:sz w:val="24"/>
          <w:szCs w:val="24"/>
        </w:rPr>
        <w:t xml:space="preserve">compensation leverage and </w:t>
      </w:r>
      <w:r w:rsidRPr="00803660">
        <w:rPr>
          <w:rFonts w:ascii="Times New Roman" w:hAnsi="Times New Roman"/>
          <w:sz w:val="24"/>
          <w:szCs w:val="24"/>
        </w:rPr>
        <w:t xml:space="preserve">inside debt </w:t>
      </w:r>
      <w:r>
        <w:rPr>
          <w:rFonts w:ascii="Times New Roman" w:hAnsi="Times New Roman"/>
          <w:sz w:val="24"/>
          <w:szCs w:val="24"/>
        </w:rPr>
        <w:t xml:space="preserve">ratios </w:t>
      </w:r>
      <w:r w:rsidRPr="00803660">
        <w:rPr>
          <w:rFonts w:ascii="Times New Roman" w:hAnsi="Times New Roman"/>
          <w:sz w:val="24"/>
          <w:szCs w:val="24"/>
        </w:rPr>
        <w:t>in this study</w:t>
      </w:r>
      <w:r>
        <w:rPr>
          <w:rFonts w:ascii="Times New Roman" w:hAnsi="Times New Roman"/>
          <w:sz w:val="24"/>
          <w:szCs w:val="24"/>
        </w:rPr>
        <w:t xml:space="preserve">. </w:t>
      </w:r>
      <w:r w:rsidR="00B70A15" w:rsidRPr="00F26908">
        <w:rPr>
          <w:rFonts w:ascii="Times New Roman" w:hAnsi="Times New Roman" w:cs="Times New Roman"/>
          <w:sz w:val="24"/>
          <w:szCs w:val="24"/>
        </w:rPr>
        <w:t xml:space="preserve">We consider two alternative ways to measure the importance of pensions. First is the present value of the manager’s pension divided by the sum of this present value and the values of stocks and stock-options held by the manager (this ratio is typically referred to as 'compensation leverage'). The second is the pension’s present value divided by the book value of the firm's total assets. The first </w:t>
      </w:r>
      <w:r w:rsidR="009B3545">
        <w:rPr>
          <w:rFonts w:ascii="Times New Roman" w:hAnsi="Times New Roman" w:cs="Times New Roman"/>
          <w:sz w:val="24"/>
          <w:szCs w:val="24"/>
        </w:rPr>
        <w:t xml:space="preserve">measure </w:t>
      </w:r>
      <w:r w:rsidR="00B70A15" w:rsidRPr="00F26908">
        <w:rPr>
          <w:rFonts w:ascii="Times New Roman" w:hAnsi="Times New Roman" w:cs="Times New Roman"/>
          <w:sz w:val="24"/>
          <w:szCs w:val="24"/>
        </w:rPr>
        <w:t>is designed to capture the relative importance of pensions in the manager's compensation package, while the second captures the magnitude of the firm's inside debt.</w:t>
      </w:r>
      <w:r w:rsidR="00B70A15" w:rsidRPr="00D51D46">
        <w:rPr>
          <w:rFonts w:ascii="Times New Roman" w:hAnsi="Times New Roman" w:cs="Times New Roman"/>
          <w:sz w:val="24"/>
          <w:szCs w:val="24"/>
        </w:rPr>
        <w:t xml:space="preserve"> </w:t>
      </w:r>
      <w:r w:rsidR="0023178B" w:rsidRPr="00F26908">
        <w:rPr>
          <w:rFonts w:ascii="Times New Roman" w:hAnsi="Times New Roman" w:cs="Times New Roman"/>
          <w:sz w:val="24"/>
          <w:szCs w:val="24"/>
          <w:lang w:val="en-CA"/>
        </w:rPr>
        <w:fldChar w:fldCharType="begin"/>
      </w:r>
      <w:r w:rsidR="00B70A15" w:rsidRPr="00F26908">
        <w:rPr>
          <w:rFonts w:ascii="Times New Roman" w:hAnsi="Times New Roman" w:cs="Times New Roman"/>
          <w:sz w:val="24"/>
          <w:szCs w:val="24"/>
          <w:lang w:val="en-CA"/>
        </w:rPr>
        <w:instrText xml:space="preserve"> SEQ CHAPTER \h \r 1</w:instrText>
      </w:r>
      <w:r w:rsidR="0023178B" w:rsidRPr="00F26908">
        <w:rPr>
          <w:rFonts w:ascii="Times New Roman" w:hAnsi="Times New Roman" w:cs="Times New Roman"/>
          <w:sz w:val="24"/>
          <w:szCs w:val="24"/>
          <w:lang w:val="en-CA"/>
        </w:rPr>
        <w:fldChar w:fldCharType="end"/>
      </w:r>
      <w:r w:rsidR="00B70A15" w:rsidRPr="00F26908">
        <w:rPr>
          <w:rFonts w:ascii="Times New Roman" w:hAnsi="Times New Roman" w:cs="Times New Roman"/>
          <w:sz w:val="24"/>
          <w:szCs w:val="24"/>
        </w:rPr>
        <w:t>We also apply two measures for the level of dividends. First is the dividend yield defined as the annual dividend per share divided by the stock price</w:t>
      </w:r>
      <w:r w:rsidR="00B70A15">
        <w:rPr>
          <w:rFonts w:ascii="Times New Roman" w:hAnsi="Times New Roman" w:cs="Times New Roman"/>
          <w:sz w:val="24"/>
          <w:szCs w:val="24"/>
        </w:rPr>
        <w:t xml:space="preserve"> at the end of the </w:t>
      </w:r>
      <w:proofErr w:type="gramStart"/>
      <w:r w:rsidR="00B70A15">
        <w:rPr>
          <w:rFonts w:ascii="Times New Roman" w:hAnsi="Times New Roman" w:cs="Times New Roman"/>
          <w:sz w:val="24"/>
          <w:szCs w:val="24"/>
        </w:rPr>
        <w:t>year</w:t>
      </w:r>
      <w:r w:rsidR="00B70A15" w:rsidRPr="00F26908">
        <w:rPr>
          <w:rFonts w:ascii="Times New Roman" w:hAnsi="Times New Roman" w:cs="Times New Roman"/>
          <w:sz w:val="24"/>
          <w:szCs w:val="24"/>
        </w:rPr>
        <w:t>.</w:t>
      </w:r>
      <w:proofErr w:type="gramEnd"/>
      <w:r w:rsidR="00B70A15" w:rsidRPr="00F26908">
        <w:rPr>
          <w:rFonts w:ascii="Times New Roman" w:hAnsi="Times New Roman" w:cs="Times New Roman"/>
          <w:sz w:val="24"/>
          <w:szCs w:val="24"/>
        </w:rPr>
        <w:t xml:space="preserve"> The second measure is the dividend payout ratio defined as dividends paid during a </w:t>
      </w:r>
      <w:r w:rsidR="009E2A12">
        <w:rPr>
          <w:rFonts w:ascii="Times New Roman" w:hAnsi="Times New Roman" w:cs="Times New Roman"/>
          <w:sz w:val="24"/>
          <w:szCs w:val="24"/>
        </w:rPr>
        <w:t xml:space="preserve">given </w:t>
      </w:r>
      <w:r w:rsidR="00B70A15" w:rsidRPr="00F26908">
        <w:rPr>
          <w:rFonts w:ascii="Times New Roman" w:hAnsi="Times New Roman" w:cs="Times New Roman"/>
          <w:sz w:val="24"/>
          <w:szCs w:val="24"/>
        </w:rPr>
        <w:t>year divided by the income available to shareholders in the same year.</w:t>
      </w:r>
    </w:p>
    <w:p w:rsidR="0037707C" w:rsidRDefault="0037707C" w:rsidP="0011392D">
      <w:pPr>
        <w:spacing w:before="240" w:after="0" w:line="480" w:lineRule="auto"/>
        <w:ind w:firstLine="360"/>
        <w:jc w:val="both"/>
        <w:rPr>
          <w:rFonts w:ascii="Times New Roman" w:hAnsi="Times New Roman"/>
          <w:bCs/>
          <w:sz w:val="24"/>
          <w:szCs w:val="24"/>
        </w:rPr>
      </w:pPr>
      <w:r>
        <w:rPr>
          <w:rFonts w:ascii="Times New Roman" w:hAnsi="Times New Roman"/>
          <w:bCs/>
          <w:sz w:val="24"/>
          <w:szCs w:val="24"/>
        </w:rPr>
        <w:t xml:space="preserve">The regression results support our </w:t>
      </w:r>
      <w:r w:rsidR="00280193">
        <w:rPr>
          <w:rFonts w:ascii="Times New Roman" w:hAnsi="Times New Roman"/>
          <w:bCs/>
          <w:sz w:val="24"/>
          <w:szCs w:val="24"/>
        </w:rPr>
        <w:t>theory</w:t>
      </w:r>
      <w:r>
        <w:rPr>
          <w:rFonts w:ascii="Times New Roman" w:hAnsi="Times New Roman"/>
          <w:bCs/>
          <w:sz w:val="24"/>
          <w:szCs w:val="24"/>
        </w:rPr>
        <w:t xml:space="preserve">: </w:t>
      </w:r>
      <w:r w:rsidRPr="00C87B29">
        <w:rPr>
          <w:rFonts w:ascii="Times New Roman" w:hAnsi="Times New Roman"/>
          <w:bCs/>
          <w:sz w:val="24"/>
          <w:szCs w:val="24"/>
        </w:rPr>
        <w:t xml:space="preserve">high levels of compensation leverage </w:t>
      </w:r>
      <w:r>
        <w:rPr>
          <w:rFonts w:ascii="Times New Roman" w:hAnsi="Times New Roman"/>
          <w:bCs/>
          <w:sz w:val="24"/>
          <w:szCs w:val="24"/>
        </w:rPr>
        <w:t xml:space="preserve">and inside debt </w:t>
      </w:r>
      <w:r w:rsidRPr="00C87B29">
        <w:rPr>
          <w:rFonts w:ascii="Times New Roman" w:hAnsi="Times New Roman"/>
          <w:bCs/>
          <w:sz w:val="24"/>
          <w:szCs w:val="24"/>
        </w:rPr>
        <w:t xml:space="preserve">are associated with consistently lower dividend </w:t>
      </w:r>
      <w:r>
        <w:rPr>
          <w:rFonts w:ascii="Times New Roman" w:hAnsi="Times New Roman"/>
          <w:bCs/>
          <w:sz w:val="24"/>
          <w:szCs w:val="24"/>
        </w:rPr>
        <w:t>yield and dividend payout ratio</w:t>
      </w:r>
      <w:r w:rsidRPr="00C87B29">
        <w:rPr>
          <w:rFonts w:ascii="Times New Roman" w:hAnsi="Times New Roman"/>
          <w:bCs/>
          <w:sz w:val="24"/>
          <w:szCs w:val="24"/>
        </w:rPr>
        <w:t xml:space="preserve">. </w:t>
      </w:r>
      <w:r>
        <w:rPr>
          <w:rFonts w:ascii="Times New Roman" w:hAnsi="Times New Roman"/>
          <w:bCs/>
          <w:sz w:val="24"/>
          <w:szCs w:val="24"/>
        </w:rPr>
        <w:t xml:space="preserve">This association remains significant when </w:t>
      </w:r>
      <w:r w:rsidR="00D51D46">
        <w:rPr>
          <w:rFonts w:ascii="Times New Roman" w:hAnsi="Times New Roman"/>
          <w:bCs/>
          <w:sz w:val="24"/>
          <w:szCs w:val="24"/>
        </w:rPr>
        <w:t xml:space="preserve">we examine the </w:t>
      </w:r>
      <w:r>
        <w:rPr>
          <w:rFonts w:ascii="Times New Roman" w:hAnsi="Times New Roman"/>
          <w:bCs/>
          <w:sz w:val="24"/>
          <w:szCs w:val="24"/>
        </w:rPr>
        <w:t xml:space="preserve">compensation </w:t>
      </w:r>
      <w:r w:rsidR="008C3760">
        <w:rPr>
          <w:rFonts w:ascii="Times New Roman" w:hAnsi="Times New Roman"/>
          <w:bCs/>
          <w:sz w:val="24"/>
          <w:szCs w:val="24"/>
        </w:rPr>
        <w:t xml:space="preserve">of </w:t>
      </w:r>
      <w:r>
        <w:rPr>
          <w:rFonts w:ascii="Times New Roman" w:hAnsi="Times New Roman"/>
          <w:bCs/>
          <w:sz w:val="24"/>
          <w:szCs w:val="24"/>
        </w:rPr>
        <w:t xml:space="preserve">CEO-only and all </w:t>
      </w:r>
      <w:r w:rsidR="006E0E6C">
        <w:rPr>
          <w:rFonts w:ascii="Times New Roman" w:hAnsi="Times New Roman"/>
          <w:bCs/>
          <w:sz w:val="24"/>
          <w:szCs w:val="24"/>
        </w:rPr>
        <w:t xml:space="preserve">top </w:t>
      </w:r>
      <w:r>
        <w:rPr>
          <w:rFonts w:ascii="Times New Roman" w:hAnsi="Times New Roman"/>
          <w:bCs/>
          <w:sz w:val="24"/>
          <w:szCs w:val="24"/>
        </w:rPr>
        <w:t>executives</w:t>
      </w:r>
      <w:r w:rsidR="008C3760">
        <w:rPr>
          <w:rFonts w:ascii="Times New Roman" w:hAnsi="Times New Roman"/>
          <w:bCs/>
          <w:sz w:val="24"/>
          <w:szCs w:val="24"/>
        </w:rPr>
        <w:t xml:space="preserve">; moreover, the results are </w:t>
      </w:r>
      <w:r>
        <w:rPr>
          <w:rFonts w:ascii="Times New Roman" w:hAnsi="Times New Roman"/>
          <w:bCs/>
          <w:sz w:val="24"/>
          <w:szCs w:val="24"/>
        </w:rPr>
        <w:t xml:space="preserve">robust to the estimation procedure. We further show that the observed effect of </w:t>
      </w:r>
      <w:r w:rsidR="00D51D46">
        <w:rPr>
          <w:rFonts w:ascii="Times New Roman" w:hAnsi="Times New Roman"/>
          <w:bCs/>
          <w:sz w:val="24"/>
          <w:szCs w:val="24"/>
        </w:rPr>
        <w:t xml:space="preserve">executive </w:t>
      </w:r>
      <w:r>
        <w:rPr>
          <w:rFonts w:ascii="Times New Roman" w:hAnsi="Times New Roman"/>
          <w:bCs/>
          <w:sz w:val="24"/>
          <w:szCs w:val="24"/>
        </w:rPr>
        <w:t>pension</w:t>
      </w:r>
      <w:r w:rsidR="00D51D46">
        <w:rPr>
          <w:rFonts w:ascii="Times New Roman" w:hAnsi="Times New Roman"/>
          <w:bCs/>
          <w:sz w:val="24"/>
          <w:szCs w:val="24"/>
        </w:rPr>
        <w:t>s</w:t>
      </w:r>
      <w:r>
        <w:rPr>
          <w:rFonts w:ascii="Times New Roman" w:hAnsi="Times New Roman"/>
          <w:bCs/>
          <w:sz w:val="24"/>
          <w:szCs w:val="24"/>
        </w:rPr>
        <w:t xml:space="preserve"> on dividend policy is not driven by </w:t>
      </w:r>
      <w:proofErr w:type="spellStart"/>
      <w:r>
        <w:rPr>
          <w:rFonts w:ascii="Times New Roman" w:hAnsi="Times New Roman"/>
          <w:bCs/>
          <w:sz w:val="24"/>
          <w:szCs w:val="24"/>
        </w:rPr>
        <w:t>endogeneity</w:t>
      </w:r>
      <w:proofErr w:type="spellEnd"/>
      <w:r>
        <w:rPr>
          <w:rFonts w:ascii="Times New Roman" w:hAnsi="Times New Roman"/>
          <w:bCs/>
          <w:sz w:val="24"/>
          <w:szCs w:val="24"/>
        </w:rPr>
        <w:t xml:space="preserve"> -- i.e., by the </w:t>
      </w:r>
      <w:r w:rsidRPr="00200415">
        <w:rPr>
          <w:rFonts w:ascii="Times New Roman" w:hAnsi="Times New Roman"/>
          <w:bCs/>
          <w:sz w:val="24"/>
          <w:szCs w:val="24"/>
        </w:rPr>
        <w:t xml:space="preserve">possibility that </w:t>
      </w:r>
      <w:r>
        <w:rPr>
          <w:rFonts w:ascii="Times New Roman" w:hAnsi="Times New Roman"/>
          <w:bCs/>
          <w:sz w:val="24"/>
          <w:szCs w:val="24"/>
        </w:rPr>
        <w:t xml:space="preserve">firms that typically maintain a lower level of dividends can direct more funds into pension plans. </w:t>
      </w:r>
    </w:p>
    <w:p w:rsidR="0037707C" w:rsidRDefault="0037707C" w:rsidP="0011392D">
      <w:pPr>
        <w:spacing w:before="240" w:after="0" w:line="480" w:lineRule="auto"/>
        <w:ind w:firstLine="360"/>
        <w:jc w:val="both"/>
        <w:rPr>
          <w:rFonts w:ascii="Times New Roman" w:hAnsi="Times New Roman"/>
          <w:bCs/>
          <w:sz w:val="24"/>
          <w:szCs w:val="24"/>
        </w:rPr>
      </w:pPr>
      <w:r>
        <w:rPr>
          <w:rFonts w:ascii="Times New Roman" w:hAnsi="Times New Roman"/>
          <w:bCs/>
          <w:sz w:val="24"/>
          <w:szCs w:val="24"/>
        </w:rPr>
        <w:lastRenderedPageBreak/>
        <w:t>The results above capture the effect o</w:t>
      </w:r>
      <w:r w:rsidR="00DF18A3">
        <w:rPr>
          <w:rFonts w:ascii="Times New Roman" w:hAnsi="Times New Roman"/>
          <w:bCs/>
          <w:sz w:val="24"/>
          <w:szCs w:val="24"/>
        </w:rPr>
        <w:t>f</w:t>
      </w:r>
      <w:r>
        <w:rPr>
          <w:rFonts w:ascii="Times New Roman" w:hAnsi="Times New Roman"/>
          <w:bCs/>
          <w:sz w:val="24"/>
          <w:szCs w:val="24"/>
        </w:rPr>
        <w:t xml:space="preserve"> pension plans on the managers’ decision to pay dividends against all other possible uses of the firm’s cash, including re-investment or keeping funds in the company. We further explore </w:t>
      </w:r>
      <w:r w:rsidR="008C3760">
        <w:rPr>
          <w:rFonts w:ascii="Times New Roman" w:hAnsi="Times New Roman"/>
          <w:bCs/>
          <w:sz w:val="24"/>
          <w:szCs w:val="24"/>
        </w:rPr>
        <w:t xml:space="preserve">the relationship between </w:t>
      </w:r>
      <w:r>
        <w:rPr>
          <w:rFonts w:ascii="Times New Roman" w:hAnsi="Times New Roman"/>
          <w:bCs/>
          <w:sz w:val="24"/>
          <w:szCs w:val="24"/>
        </w:rPr>
        <w:t>pension</w:t>
      </w:r>
      <w:r w:rsidR="008C3760">
        <w:rPr>
          <w:rFonts w:ascii="Times New Roman" w:hAnsi="Times New Roman"/>
          <w:bCs/>
          <w:sz w:val="24"/>
          <w:szCs w:val="24"/>
        </w:rPr>
        <w:t xml:space="preserve"> values</w:t>
      </w:r>
      <w:r>
        <w:rPr>
          <w:rFonts w:ascii="Times New Roman" w:hAnsi="Times New Roman"/>
          <w:bCs/>
          <w:sz w:val="24"/>
          <w:szCs w:val="24"/>
        </w:rPr>
        <w:t xml:space="preserve"> </w:t>
      </w:r>
      <w:r w:rsidR="008C3760">
        <w:rPr>
          <w:rFonts w:ascii="Times New Roman" w:hAnsi="Times New Roman"/>
          <w:bCs/>
          <w:sz w:val="24"/>
          <w:szCs w:val="24"/>
        </w:rPr>
        <w:t xml:space="preserve">and the </w:t>
      </w:r>
      <w:r>
        <w:rPr>
          <w:rFonts w:ascii="Times New Roman" w:hAnsi="Times New Roman"/>
          <w:bCs/>
          <w:sz w:val="24"/>
          <w:szCs w:val="24"/>
        </w:rPr>
        <w:t xml:space="preserve">form of </w:t>
      </w:r>
      <w:r w:rsidR="008C3760">
        <w:rPr>
          <w:rFonts w:ascii="Times New Roman" w:hAnsi="Times New Roman"/>
          <w:bCs/>
          <w:sz w:val="24"/>
          <w:szCs w:val="24"/>
        </w:rPr>
        <w:t xml:space="preserve">cash </w:t>
      </w:r>
      <w:r>
        <w:rPr>
          <w:rFonts w:ascii="Times New Roman" w:hAnsi="Times New Roman"/>
          <w:bCs/>
          <w:sz w:val="24"/>
          <w:szCs w:val="24"/>
        </w:rPr>
        <w:t>payout</w:t>
      </w:r>
      <w:r w:rsidR="008C3760">
        <w:rPr>
          <w:rFonts w:ascii="Times New Roman" w:hAnsi="Times New Roman"/>
          <w:bCs/>
          <w:sz w:val="24"/>
          <w:szCs w:val="24"/>
        </w:rPr>
        <w:t>s</w:t>
      </w:r>
      <w:r>
        <w:rPr>
          <w:rFonts w:ascii="Times New Roman" w:hAnsi="Times New Roman"/>
          <w:bCs/>
          <w:sz w:val="24"/>
          <w:szCs w:val="24"/>
        </w:rPr>
        <w:t>. That is, after deciding the optimal</w:t>
      </w:r>
      <w:r w:rsidR="008C3760">
        <w:rPr>
          <w:rFonts w:ascii="Times New Roman" w:hAnsi="Times New Roman"/>
          <w:bCs/>
          <w:sz w:val="24"/>
          <w:szCs w:val="24"/>
        </w:rPr>
        <w:t xml:space="preserve"> level of </w:t>
      </w:r>
      <w:r>
        <w:rPr>
          <w:rFonts w:ascii="Times New Roman" w:hAnsi="Times New Roman"/>
          <w:bCs/>
          <w:sz w:val="24"/>
          <w:szCs w:val="24"/>
        </w:rPr>
        <w:t xml:space="preserve">cash </w:t>
      </w:r>
      <w:r w:rsidR="008C3760">
        <w:rPr>
          <w:rFonts w:ascii="Times New Roman" w:hAnsi="Times New Roman"/>
          <w:bCs/>
          <w:sz w:val="24"/>
          <w:szCs w:val="24"/>
        </w:rPr>
        <w:t xml:space="preserve">to </w:t>
      </w:r>
      <w:r>
        <w:rPr>
          <w:rFonts w:ascii="Times New Roman" w:hAnsi="Times New Roman"/>
          <w:bCs/>
          <w:sz w:val="24"/>
          <w:szCs w:val="24"/>
        </w:rPr>
        <w:t xml:space="preserve">distribute to shareholders, the manager </w:t>
      </w:r>
      <w:r w:rsidR="008C3760">
        <w:rPr>
          <w:rFonts w:ascii="Times New Roman" w:hAnsi="Times New Roman"/>
          <w:bCs/>
          <w:sz w:val="24"/>
          <w:szCs w:val="24"/>
        </w:rPr>
        <w:t xml:space="preserve">must </w:t>
      </w:r>
      <w:r>
        <w:rPr>
          <w:rFonts w:ascii="Times New Roman" w:hAnsi="Times New Roman"/>
          <w:bCs/>
          <w:sz w:val="24"/>
          <w:szCs w:val="24"/>
        </w:rPr>
        <w:t xml:space="preserve">choose </w:t>
      </w:r>
      <w:r w:rsidR="00DF18A3">
        <w:rPr>
          <w:rFonts w:ascii="Times New Roman" w:hAnsi="Times New Roman"/>
          <w:bCs/>
          <w:sz w:val="24"/>
          <w:szCs w:val="24"/>
        </w:rPr>
        <w:t>the</w:t>
      </w:r>
      <w:r>
        <w:rPr>
          <w:rFonts w:ascii="Times New Roman" w:hAnsi="Times New Roman"/>
          <w:bCs/>
          <w:sz w:val="24"/>
          <w:szCs w:val="24"/>
        </w:rPr>
        <w:t xml:space="preserve"> form of the payout: cash dividend or stock repurchase. </w:t>
      </w:r>
      <w:r w:rsidR="005E5CBB">
        <w:rPr>
          <w:rFonts w:ascii="Times New Roman" w:hAnsi="Times New Roman"/>
          <w:bCs/>
          <w:sz w:val="24"/>
          <w:szCs w:val="24"/>
        </w:rPr>
        <w:t>We</w:t>
      </w:r>
      <w:r w:rsidR="008C3760">
        <w:rPr>
          <w:rFonts w:ascii="Times New Roman" w:hAnsi="Times New Roman"/>
          <w:bCs/>
          <w:sz w:val="24"/>
          <w:szCs w:val="24"/>
        </w:rPr>
        <w:t xml:space="preserve"> predict </w:t>
      </w:r>
      <w:r>
        <w:rPr>
          <w:rFonts w:ascii="Times New Roman" w:hAnsi="Times New Roman"/>
          <w:bCs/>
          <w:sz w:val="24"/>
          <w:szCs w:val="24"/>
        </w:rPr>
        <w:t xml:space="preserve">that managers with </w:t>
      </w:r>
      <w:r w:rsidR="009E2A12">
        <w:rPr>
          <w:rFonts w:ascii="Times New Roman" w:hAnsi="Times New Roman"/>
          <w:bCs/>
          <w:sz w:val="24"/>
          <w:szCs w:val="24"/>
        </w:rPr>
        <w:t xml:space="preserve">higher </w:t>
      </w:r>
      <w:r>
        <w:rPr>
          <w:rFonts w:ascii="Times New Roman" w:hAnsi="Times New Roman"/>
          <w:bCs/>
          <w:sz w:val="24"/>
          <w:szCs w:val="24"/>
        </w:rPr>
        <w:t xml:space="preserve">future pension </w:t>
      </w:r>
      <w:r w:rsidR="008C3760">
        <w:rPr>
          <w:rFonts w:ascii="Times New Roman" w:hAnsi="Times New Roman"/>
          <w:bCs/>
          <w:sz w:val="24"/>
          <w:szCs w:val="24"/>
        </w:rPr>
        <w:t>claims</w:t>
      </w:r>
      <w:r w:rsidR="00EA15FD">
        <w:rPr>
          <w:rFonts w:ascii="Times New Roman" w:hAnsi="Times New Roman"/>
          <w:bCs/>
          <w:sz w:val="24"/>
          <w:szCs w:val="24"/>
        </w:rPr>
        <w:t xml:space="preserve"> </w:t>
      </w:r>
      <w:r>
        <w:rPr>
          <w:rFonts w:ascii="Times New Roman" w:hAnsi="Times New Roman"/>
          <w:bCs/>
          <w:sz w:val="24"/>
          <w:szCs w:val="24"/>
        </w:rPr>
        <w:t xml:space="preserve">will prefer </w:t>
      </w:r>
      <w:r w:rsidR="008C3760">
        <w:rPr>
          <w:rFonts w:ascii="Times New Roman" w:hAnsi="Times New Roman"/>
          <w:bCs/>
          <w:sz w:val="24"/>
          <w:szCs w:val="24"/>
        </w:rPr>
        <w:t xml:space="preserve">cash distributions in </w:t>
      </w:r>
      <w:r>
        <w:rPr>
          <w:rFonts w:ascii="Times New Roman" w:hAnsi="Times New Roman"/>
          <w:bCs/>
          <w:sz w:val="24"/>
          <w:szCs w:val="24"/>
        </w:rPr>
        <w:t xml:space="preserve">the form of </w:t>
      </w:r>
      <w:r w:rsidR="008C3760">
        <w:rPr>
          <w:rFonts w:ascii="Times New Roman" w:hAnsi="Times New Roman"/>
          <w:bCs/>
          <w:sz w:val="24"/>
          <w:szCs w:val="24"/>
        </w:rPr>
        <w:t xml:space="preserve">a </w:t>
      </w:r>
      <w:r>
        <w:rPr>
          <w:rFonts w:ascii="Times New Roman" w:hAnsi="Times New Roman"/>
          <w:bCs/>
          <w:sz w:val="24"/>
          <w:szCs w:val="24"/>
        </w:rPr>
        <w:t xml:space="preserve">stock repurchase because it is perceived as </w:t>
      </w:r>
      <w:r w:rsidR="00373479">
        <w:rPr>
          <w:rFonts w:ascii="Times New Roman" w:hAnsi="Times New Roman"/>
          <w:bCs/>
          <w:sz w:val="24"/>
          <w:szCs w:val="24"/>
        </w:rPr>
        <w:t xml:space="preserve">a </w:t>
      </w:r>
      <w:r>
        <w:rPr>
          <w:rFonts w:ascii="Times New Roman" w:hAnsi="Times New Roman"/>
          <w:bCs/>
          <w:sz w:val="24"/>
          <w:szCs w:val="24"/>
        </w:rPr>
        <w:t>one-time payout, while dividend</w:t>
      </w:r>
      <w:r w:rsidR="008C3760">
        <w:rPr>
          <w:rFonts w:ascii="Times New Roman" w:hAnsi="Times New Roman"/>
          <w:bCs/>
          <w:sz w:val="24"/>
          <w:szCs w:val="24"/>
        </w:rPr>
        <w:t xml:space="preserve">s are </w:t>
      </w:r>
      <w:r>
        <w:rPr>
          <w:rFonts w:ascii="Times New Roman" w:hAnsi="Times New Roman"/>
          <w:bCs/>
          <w:sz w:val="24"/>
          <w:szCs w:val="24"/>
        </w:rPr>
        <w:t xml:space="preserve">viewed as </w:t>
      </w:r>
      <w:r w:rsidR="00DF18A3">
        <w:rPr>
          <w:rFonts w:ascii="Times New Roman" w:hAnsi="Times New Roman"/>
          <w:bCs/>
          <w:sz w:val="24"/>
          <w:szCs w:val="24"/>
        </w:rPr>
        <w:t xml:space="preserve">a </w:t>
      </w:r>
      <w:r>
        <w:rPr>
          <w:rFonts w:ascii="Times New Roman" w:hAnsi="Times New Roman"/>
          <w:bCs/>
          <w:sz w:val="24"/>
          <w:szCs w:val="24"/>
        </w:rPr>
        <w:t>long-term commitment. We find that the main results hold when adjusting the dividend payment</w:t>
      </w:r>
      <w:r w:rsidR="0048138E">
        <w:rPr>
          <w:rFonts w:ascii="Times New Roman" w:hAnsi="Times New Roman"/>
          <w:bCs/>
          <w:sz w:val="24"/>
          <w:szCs w:val="24"/>
        </w:rPr>
        <w:t>s</w:t>
      </w:r>
      <w:r>
        <w:rPr>
          <w:rFonts w:ascii="Times New Roman" w:hAnsi="Times New Roman"/>
          <w:bCs/>
          <w:sz w:val="24"/>
          <w:szCs w:val="24"/>
        </w:rPr>
        <w:t xml:space="preserve"> </w:t>
      </w:r>
      <w:r w:rsidR="00373479">
        <w:rPr>
          <w:rFonts w:ascii="Times New Roman" w:hAnsi="Times New Roman"/>
          <w:bCs/>
          <w:sz w:val="24"/>
          <w:szCs w:val="24"/>
        </w:rPr>
        <w:t>for</w:t>
      </w:r>
      <w:r>
        <w:rPr>
          <w:rFonts w:ascii="Times New Roman" w:hAnsi="Times New Roman"/>
          <w:bCs/>
          <w:sz w:val="24"/>
          <w:szCs w:val="24"/>
        </w:rPr>
        <w:t xml:space="preserve"> net stock repurchase</w:t>
      </w:r>
      <w:r w:rsidR="0048138E">
        <w:rPr>
          <w:rFonts w:ascii="Times New Roman" w:hAnsi="Times New Roman"/>
          <w:bCs/>
          <w:sz w:val="24"/>
          <w:szCs w:val="24"/>
        </w:rPr>
        <w:t>s</w:t>
      </w:r>
      <w:r>
        <w:rPr>
          <w:rFonts w:ascii="Times New Roman" w:hAnsi="Times New Roman"/>
          <w:bCs/>
          <w:sz w:val="24"/>
          <w:szCs w:val="24"/>
        </w:rPr>
        <w:t xml:space="preserve">. </w:t>
      </w:r>
    </w:p>
    <w:p w:rsidR="0037707C" w:rsidRDefault="002A14D7" w:rsidP="0011392D">
      <w:pPr>
        <w:spacing w:before="240" w:after="0" w:line="480" w:lineRule="auto"/>
        <w:ind w:firstLine="360"/>
        <w:jc w:val="both"/>
        <w:rPr>
          <w:rFonts w:ascii="Times New Roman" w:hAnsi="Times New Roman"/>
          <w:bCs/>
          <w:sz w:val="24"/>
          <w:szCs w:val="24"/>
        </w:rPr>
      </w:pPr>
      <w:r>
        <w:rPr>
          <w:rFonts w:ascii="Times New Roman" w:hAnsi="Times New Roman"/>
          <w:bCs/>
          <w:sz w:val="24"/>
          <w:szCs w:val="24"/>
        </w:rPr>
        <w:t xml:space="preserve">Another interesting finding of our research is related to </w:t>
      </w:r>
      <w:r w:rsidR="0037707C">
        <w:rPr>
          <w:rFonts w:ascii="Times New Roman" w:hAnsi="Times New Roman"/>
          <w:bCs/>
          <w:sz w:val="24"/>
          <w:szCs w:val="24"/>
        </w:rPr>
        <w:t xml:space="preserve">the level of protection of the executives’ pensions. We examine the details of the individual pension contracts and find that a sizeable proportion of our sample firms (24%) offer pre-funded pensions via a rabbi trust. Funding a pension prior to the executive’s retirement </w:t>
      </w:r>
      <w:r w:rsidR="005614C2">
        <w:rPr>
          <w:rFonts w:ascii="Times New Roman" w:hAnsi="Times New Roman"/>
          <w:bCs/>
          <w:sz w:val="24"/>
          <w:szCs w:val="24"/>
        </w:rPr>
        <w:t xml:space="preserve">appears to </w:t>
      </w:r>
      <w:r w:rsidR="0037707C">
        <w:rPr>
          <w:rFonts w:ascii="Times New Roman" w:hAnsi="Times New Roman"/>
          <w:bCs/>
          <w:sz w:val="24"/>
          <w:szCs w:val="24"/>
        </w:rPr>
        <w:t>weaken the cash-preserving incentive of the manager</w:t>
      </w:r>
      <w:r w:rsidR="008622B6">
        <w:rPr>
          <w:rFonts w:ascii="Times New Roman" w:hAnsi="Times New Roman"/>
          <w:bCs/>
          <w:sz w:val="24"/>
          <w:szCs w:val="24"/>
        </w:rPr>
        <w:t xml:space="preserve"> because the </w:t>
      </w:r>
      <w:r w:rsidR="0037707C">
        <w:rPr>
          <w:rFonts w:ascii="Times New Roman" w:hAnsi="Times New Roman"/>
          <w:bCs/>
          <w:sz w:val="24"/>
          <w:szCs w:val="24"/>
        </w:rPr>
        <w:t xml:space="preserve">risk of losing </w:t>
      </w:r>
      <w:r w:rsidR="00DF18A3">
        <w:rPr>
          <w:rFonts w:ascii="Times New Roman" w:hAnsi="Times New Roman"/>
          <w:bCs/>
          <w:sz w:val="24"/>
          <w:szCs w:val="24"/>
        </w:rPr>
        <w:t>her</w:t>
      </w:r>
      <w:r w:rsidR="0037707C">
        <w:rPr>
          <w:rFonts w:ascii="Times New Roman" w:hAnsi="Times New Roman"/>
          <w:bCs/>
          <w:sz w:val="24"/>
          <w:szCs w:val="24"/>
        </w:rPr>
        <w:t xml:space="preserve"> pension is significantly neutralized. </w:t>
      </w:r>
      <w:r w:rsidR="00701E95">
        <w:rPr>
          <w:rFonts w:ascii="Times New Roman" w:hAnsi="Times New Roman"/>
          <w:bCs/>
          <w:sz w:val="24"/>
          <w:szCs w:val="24"/>
        </w:rPr>
        <w:t xml:space="preserve">Alternatively stated, </w:t>
      </w:r>
      <w:r w:rsidR="0037707C">
        <w:rPr>
          <w:rFonts w:ascii="Times New Roman" w:hAnsi="Times New Roman"/>
          <w:bCs/>
          <w:sz w:val="24"/>
          <w:szCs w:val="24"/>
        </w:rPr>
        <w:t xml:space="preserve">the negative effect of pension plans on dividend policy is significantly stronger when pensions are unfunded. This </w:t>
      </w:r>
      <w:r w:rsidR="00701E95">
        <w:rPr>
          <w:rFonts w:ascii="Times New Roman" w:hAnsi="Times New Roman"/>
          <w:bCs/>
          <w:sz w:val="24"/>
          <w:szCs w:val="24"/>
        </w:rPr>
        <w:t xml:space="preserve">result confirms </w:t>
      </w:r>
      <w:r w:rsidR="0037707C">
        <w:rPr>
          <w:rFonts w:ascii="Times New Roman" w:hAnsi="Times New Roman"/>
          <w:bCs/>
          <w:sz w:val="24"/>
          <w:szCs w:val="24"/>
        </w:rPr>
        <w:t xml:space="preserve">our hypothesis that managers consider the </w:t>
      </w:r>
      <w:r w:rsidR="00701E95">
        <w:rPr>
          <w:rFonts w:ascii="Times New Roman" w:hAnsi="Times New Roman"/>
          <w:bCs/>
          <w:sz w:val="24"/>
          <w:szCs w:val="24"/>
        </w:rPr>
        <w:t xml:space="preserve">risk of </w:t>
      </w:r>
      <w:r w:rsidR="0037707C">
        <w:rPr>
          <w:rFonts w:ascii="Times New Roman" w:hAnsi="Times New Roman"/>
          <w:bCs/>
          <w:sz w:val="24"/>
          <w:szCs w:val="24"/>
        </w:rPr>
        <w:t xml:space="preserve">their future pension payouts when </w:t>
      </w:r>
      <w:r w:rsidR="0095512B">
        <w:rPr>
          <w:rFonts w:ascii="Times New Roman" w:hAnsi="Times New Roman"/>
          <w:bCs/>
          <w:sz w:val="24"/>
          <w:szCs w:val="24"/>
        </w:rPr>
        <w:t>setting</w:t>
      </w:r>
      <w:r w:rsidR="0037707C">
        <w:rPr>
          <w:rFonts w:ascii="Times New Roman" w:hAnsi="Times New Roman"/>
          <w:bCs/>
          <w:sz w:val="24"/>
          <w:szCs w:val="24"/>
        </w:rPr>
        <w:t xml:space="preserve"> dividend policy.</w:t>
      </w:r>
    </w:p>
    <w:p w:rsidR="006977CD" w:rsidRDefault="000F31C7" w:rsidP="006977CD">
      <w:pPr>
        <w:spacing w:before="240" w:after="0" w:line="480" w:lineRule="auto"/>
        <w:ind w:firstLine="360"/>
        <w:jc w:val="both"/>
        <w:rPr>
          <w:rFonts w:ascii="Times New Roman" w:hAnsi="Times New Roman"/>
          <w:bCs/>
          <w:sz w:val="24"/>
          <w:szCs w:val="24"/>
        </w:rPr>
      </w:pPr>
      <w:r>
        <w:rPr>
          <w:rFonts w:ascii="Times New Roman" w:hAnsi="Times New Roman"/>
          <w:bCs/>
          <w:sz w:val="24"/>
          <w:szCs w:val="24"/>
        </w:rPr>
        <w:t>Last, w</w:t>
      </w:r>
      <w:r w:rsidR="006977CD" w:rsidRPr="006977CD">
        <w:rPr>
          <w:rFonts w:ascii="Times New Roman" w:hAnsi="Times New Roman"/>
          <w:bCs/>
          <w:sz w:val="24"/>
          <w:szCs w:val="24"/>
        </w:rPr>
        <w:t xml:space="preserve">e </w:t>
      </w:r>
      <w:r w:rsidR="004578E6">
        <w:rPr>
          <w:rFonts w:ascii="Times New Roman" w:hAnsi="Times New Roman"/>
          <w:bCs/>
          <w:sz w:val="24"/>
          <w:szCs w:val="24"/>
        </w:rPr>
        <w:t>examine</w:t>
      </w:r>
      <w:r w:rsidR="006977CD" w:rsidRPr="006977CD">
        <w:rPr>
          <w:rFonts w:ascii="Times New Roman" w:hAnsi="Times New Roman"/>
          <w:bCs/>
          <w:sz w:val="24"/>
          <w:szCs w:val="24"/>
        </w:rPr>
        <w:t xml:space="preserve"> the costs </w:t>
      </w:r>
      <w:r w:rsidR="005614C2">
        <w:rPr>
          <w:rFonts w:ascii="Times New Roman" w:hAnsi="Times New Roman"/>
          <w:bCs/>
          <w:sz w:val="24"/>
          <w:szCs w:val="24"/>
        </w:rPr>
        <w:t xml:space="preserve">associated with </w:t>
      </w:r>
      <w:r w:rsidR="006977CD" w:rsidRPr="006977CD">
        <w:rPr>
          <w:rFonts w:ascii="Times New Roman" w:hAnsi="Times New Roman"/>
          <w:bCs/>
          <w:sz w:val="24"/>
          <w:szCs w:val="24"/>
        </w:rPr>
        <w:t xml:space="preserve">pension-dividend agency behavior. </w:t>
      </w:r>
      <w:r w:rsidR="005614C2">
        <w:rPr>
          <w:rFonts w:ascii="Times New Roman" w:hAnsi="Times New Roman"/>
          <w:bCs/>
          <w:sz w:val="24"/>
          <w:szCs w:val="24"/>
        </w:rPr>
        <w:t xml:space="preserve">We argue that </w:t>
      </w:r>
      <w:r w:rsidR="005614C2" w:rsidRPr="006977CD">
        <w:rPr>
          <w:rFonts w:ascii="Times New Roman" w:hAnsi="Times New Roman"/>
          <w:bCs/>
          <w:sz w:val="24"/>
          <w:szCs w:val="24"/>
        </w:rPr>
        <w:t>in making payout decisions</w:t>
      </w:r>
      <w:r w:rsidR="005614C2">
        <w:rPr>
          <w:rFonts w:ascii="Times New Roman" w:hAnsi="Times New Roman"/>
          <w:bCs/>
          <w:sz w:val="24"/>
          <w:szCs w:val="24"/>
        </w:rPr>
        <w:t>, m</w:t>
      </w:r>
      <w:r w:rsidR="006977CD" w:rsidRPr="006977CD">
        <w:rPr>
          <w:rFonts w:ascii="Times New Roman" w:hAnsi="Times New Roman"/>
          <w:bCs/>
          <w:sz w:val="24"/>
          <w:szCs w:val="24"/>
        </w:rPr>
        <w:t xml:space="preserve">anagers who have pension-based considerations will be less committed to maximizing firm value. </w:t>
      </w:r>
      <w:r w:rsidR="004578E6">
        <w:rPr>
          <w:rFonts w:ascii="Times New Roman" w:hAnsi="Times New Roman"/>
          <w:bCs/>
          <w:sz w:val="24"/>
          <w:szCs w:val="24"/>
        </w:rPr>
        <w:t>Specifically, managers who are reluctant to initiate or increase dividend payments</w:t>
      </w:r>
      <w:r>
        <w:rPr>
          <w:rFonts w:ascii="Times New Roman" w:hAnsi="Times New Roman"/>
          <w:bCs/>
          <w:sz w:val="24"/>
          <w:szCs w:val="24"/>
        </w:rPr>
        <w:t>,</w:t>
      </w:r>
      <w:r w:rsidR="004578E6">
        <w:rPr>
          <w:rFonts w:ascii="Times New Roman" w:hAnsi="Times New Roman"/>
          <w:bCs/>
          <w:sz w:val="24"/>
          <w:szCs w:val="24"/>
        </w:rPr>
        <w:t xml:space="preserve"> because they want to protect their future pension payouts</w:t>
      </w:r>
      <w:r>
        <w:rPr>
          <w:rFonts w:ascii="Times New Roman" w:hAnsi="Times New Roman"/>
          <w:bCs/>
          <w:sz w:val="24"/>
          <w:szCs w:val="24"/>
        </w:rPr>
        <w:t>,</w:t>
      </w:r>
      <w:r w:rsidR="004578E6">
        <w:rPr>
          <w:rFonts w:ascii="Times New Roman" w:hAnsi="Times New Roman"/>
          <w:bCs/>
          <w:sz w:val="24"/>
          <w:szCs w:val="24"/>
        </w:rPr>
        <w:t xml:space="preserve"> will </w:t>
      </w:r>
      <w:r w:rsidR="00133E0A">
        <w:rPr>
          <w:rFonts w:ascii="Times New Roman" w:hAnsi="Times New Roman"/>
          <w:bCs/>
          <w:sz w:val="24"/>
          <w:szCs w:val="24"/>
        </w:rPr>
        <w:t xml:space="preserve">be </w:t>
      </w:r>
      <w:r w:rsidR="004578E6">
        <w:rPr>
          <w:rFonts w:ascii="Times New Roman" w:hAnsi="Times New Roman"/>
          <w:bCs/>
          <w:sz w:val="24"/>
          <w:szCs w:val="24"/>
        </w:rPr>
        <w:t xml:space="preserve">more likely </w:t>
      </w:r>
      <w:r w:rsidR="00133E0A">
        <w:rPr>
          <w:rFonts w:ascii="Times New Roman" w:hAnsi="Times New Roman"/>
          <w:bCs/>
          <w:sz w:val="24"/>
          <w:szCs w:val="24"/>
        </w:rPr>
        <w:t xml:space="preserve">to </w:t>
      </w:r>
      <w:r w:rsidR="004578E6">
        <w:rPr>
          <w:rFonts w:ascii="Times New Roman" w:hAnsi="Times New Roman"/>
          <w:bCs/>
          <w:sz w:val="24"/>
          <w:szCs w:val="24"/>
        </w:rPr>
        <w:t xml:space="preserve">direct </w:t>
      </w:r>
      <w:r w:rsidR="004578E6">
        <w:rPr>
          <w:rFonts w:ascii="Times New Roman" w:hAnsi="Times New Roman" w:cs="Times New Roman"/>
          <w:bCs/>
          <w:sz w:val="24"/>
          <w:szCs w:val="24"/>
        </w:rPr>
        <w:t>the firm's funds into less-than-optimal investment channels</w:t>
      </w:r>
      <w:r w:rsidR="006977CD" w:rsidRPr="006977CD">
        <w:rPr>
          <w:rFonts w:ascii="Times New Roman" w:hAnsi="Times New Roman"/>
          <w:bCs/>
          <w:sz w:val="24"/>
          <w:szCs w:val="24"/>
        </w:rPr>
        <w:t xml:space="preserve">. </w:t>
      </w:r>
      <w:r w:rsidR="00380AEE">
        <w:rPr>
          <w:rFonts w:ascii="Times New Roman" w:hAnsi="Times New Roman"/>
          <w:bCs/>
          <w:sz w:val="24"/>
          <w:szCs w:val="24"/>
        </w:rPr>
        <w:t>To test this proposition, w</w:t>
      </w:r>
      <w:r w:rsidR="006977CD" w:rsidRPr="006977CD">
        <w:rPr>
          <w:rFonts w:ascii="Times New Roman" w:hAnsi="Times New Roman"/>
          <w:bCs/>
          <w:sz w:val="24"/>
          <w:szCs w:val="24"/>
        </w:rPr>
        <w:t xml:space="preserve">e look at common proxies of operating performance (ROA, ROE, and ROI) in the </w:t>
      </w:r>
      <w:r w:rsidR="006977CD" w:rsidRPr="006977CD">
        <w:rPr>
          <w:rFonts w:ascii="Times New Roman" w:hAnsi="Times New Roman"/>
          <w:bCs/>
          <w:sz w:val="24"/>
          <w:szCs w:val="24"/>
        </w:rPr>
        <w:lastRenderedPageBreak/>
        <w:t>subsequent years as a reflection of the quality of current investment</w:t>
      </w:r>
      <w:r w:rsidR="0051200F">
        <w:rPr>
          <w:rFonts w:ascii="Times New Roman" w:hAnsi="Times New Roman"/>
          <w:bCs/>
          <w:sz w:val="24"/>
          <w:szCs w:val="24"/>
        </w:rPr>
        <w:t>s</w:t>
      </w:r>
      <w:r w:rsidR="006977CD" w:rsidRPr="006977CD">
        <w:rPr>
          <w:rFonts w:ascii="Times New Roman" w:hAnsi="Times New Roman"/>
          <w:bCs/>
          <w:sz w:val="24"/>
          <w:szCs w:val="24"/>
        </w:rPr>
        <w:t xml:space="preserve">. </w:t>
      </w:r>
      <w:r w:rsidR="005B0BAA">
        <w:rPr>
          <w:rFonts w:ascii="Times New Roman" w:hAnsi="Times New Roman"/>
          <w:bCs/>
          <w:sz w:val="24"/>
          <w:szCs w:val="24"/>
        </w:rPr>
        <w:t xml:space="preserve">We find that </w:t>
      </w:r>
      <w:r w:rsidR="005B0BAA">
        <w:rPr>
          <w:rFonts w:ascii="Times New Roman" w:hAnsi="Times New Roman" w:cs="Times New Roman"/>
          <w:bCs/>
          <w:sz w:val="24"/>
          <w:szCs w:val="24"/>
        </w:rPr>
        <w:t xml:space="preserve">when </w:t>
      </w:r>
      <w:r w:rsidR="00DF18A3">
        <w:rPr>
          <w:rFonts w:ascii="Times New Roman" w:hAnsi="Times New Roman" w:cs="Times New Roman"/>
          <w:bCs/>
          <w:sz w:val="24"/>
          <w:szCs w:val="24"/>
        </w:rPr>
        <w:t>a</w:t>
      </w:r>
      <w:r w:rsidR="005B0BAA">
        <w:rPr>
          <w:rFonts w:ascii="Times New Roman" w:hAnsi="Times New Roman" w:cs="Times New Roman"/>
          <w:bCs/>
          <w:sz w:val="24"/>
          <w:szCs w:val="24"/>
        </w:rPr>
        <w:t xml:space="preserve"> change in dividend policy is associated with larger pension plans, it is more likely to </w:t>
      </w:r>
      <w:r w:rsidR="00CF591C">
        <w:rPr>
          <w:rFonts w:ascii="Times New Roman" w:hAnsi="Times New Roman" w:cs="Times New Roman"/>
          <w:bCs/>
          <w:sz w:val="24"/>
          <w:szCs w:val="24"/>
        </w:rPr>
        <w:t>reduce</w:t>
      </w:r>
      <w:r w:rsidR="005B0BAA">
        <w:rPr>
          <w:rFonts w:ascii="Times New Roman" w:hAnsi="Times New Roman" w:cs="Times New Roman"/>
          <w:bCs/>
          <w:sz w:val="24"/>
          <w:szCs w:val="24"/>
        </w:rPr>
        <w:t xml:space="preserve"> the firm's operating performance</w:t>
      </w:r>
      <w:r w:rsidR="006977CD" w:rsidRPr="006977CD">
        <w:rPr>
          <w:rFonts w:ascii="Times New Roman" w:hAnsi="Times New Roman"/>
          <w:bCs/>
          <w:sz w:val="24"/>
          <w:szCs w:val="24"/>
        </w:rPr>
        <w:t xml:space="preserve">. This finding provides further support </w:t>
      </w:r>
      <w:r w:rsidR="00380AEE">
        <w:rPr>
          <w:rFonts w:ascii="Times New Roman" w:hAnsi="Times New Roman"/>
          <w:bCs/>
          <w:sz w:val="24"/>
          <w:szCs w:val="24"/>
        </w:rPr>
        <w:t xml:space="preserve">for </w:t>
      </w:r>
      <w:r w:rsidR="006977CD" w:rsidRPr="006977CD">
        <w:rPr>
          <w:rFonts w:ascii="Times New Roman" w:hAnsi="Times New Roman"/>
          <w:bCs/>
          <w:sz w:val="24"/>
          <w:szCs w:val="24"/>
        </w:rPr>
        <w:t>the existence of the agency problem analyzed in this study.</w:t>
      </w:r>
    </w:p>
    <w:p w:rsidR="00414913" w:rsidRDefault="007C1A15" w:rsidP="0011392D">
      <w:pPr>
        <w:spacing w:before="240" w:after="0" w:line="480" w:lineRule="auto"/>
        <w:ind w:firstLine="360"/>
        <w:jc w:val="both"/>
        <w:rPr>
          <w:rFonts w:ascii="Times New Roman" w:hAnsi="Times New Roman"/>
          <w:bCs/>
          <w:sz w:val="24"/>
          <w:szCs w:val="24"/>
        </w:rPr>
      </w:pPr>
      <w:r>
        <w:rPr>
          <w:rFonts w:ascii="Times New Roman" w:hAnsi="Times New Roman"/>
          <w:bCs/>
          <w:sz w:val="24"/>
          <w:szCs w:val="24"/>
        </w:rPr>
        <w:t xml:space="preserve">Our </w:t>
      </w:r>
      <w:r w:rsidR="0037707C">
        <w:rPr>
          <w:rFonts w:ascii="Times New Roman" w:hAnsi="Times New Roman"/>
          <w:bCs/>
          <w:sz w:val="24"/>
          <w:szCs w:val="24"/>
        </w:rPr>
        <w:t xml:space="preserve">paper contributes to the literature by highlighting an </w:t>
      </w:r>
      <w:r>
        <w:rPr>
          <w:rFonts w:ascii="Times New Roman" w:hAnsi="Times New Roman"/>
          <w:bCs/>
          <w:sz w:val="24"/>
          <w:szCs w:val="24"/>
        </w:rPr>
        <w:t xml:space="preserve">aspect of </w:t>
      </w:r>
      <w:r w:rsidR="0037707C">
        <w:rPr>
          <w:rFonts w:ascii="Times New Roman" w:hAnsi="Times New Roman"/>
          <w:bCs/>
          <w:sz w:val="24"/>
          <w:szCs w:val="24"/>
        </w:rPr>
        <w:t xml:space="preserve">agency theory that has not </w:t>
      </w:r>
      <w:r w:rsidR="00380AEE">
        <w:rPr>
          <w:rFonts w:ascii="Times New Roman" w:hAnsi="Times New Roman"/>
          <w:bCs/>
          <w:sz w:val="24"/>
          <w:szCs w:val="24"/>
        </w:rPr>
        <w:t>been analyzed</w:t>
      </w:r>
      <w:r w:rsidR="0037707C">
        <w:rPr>
          <w:rFonts w:ascii="Times New Roman" w:hAnsi="Times New Roman"/>
          <w:bCs/>
          <w:sz w:val="24"/>
          <w:szCs w:val="24"/>
        </w:rPr>
        <w:t>: saving shareholders’ dividends for managers’ retirement. Prior studies have shown that managers can deviate from value-maximizing corporate decisions in order to serve their own interests, such as reputation concern, empire-building incentives, and short-term compensation targets. Along this li</w:t>
      </w:r>
      <w:r w:rsidR="0037707C" w:rsidRPr="00747383">
        <w:rPr>
          <w:rFonts w:ascii="Times New Roman" w:hAnsi="Times New Roman" w:cs="Times New Roman"/>
          <w:bCs/>
          <w:sz w:val="24"/>
          <w:szCs w:val="24"/>
        </w:rPr>
        <w:t>ne</w:t>
      </w:r>
      <w:r w:rsidR="00814199">
        <w:rPr>
          <w:rFonts w:ascii="Times New Roman" w:hAnsi="Times New Roman" w:cs="Times New Roman"/>
          <w:bCs/>
          <w:sz w:val="24"/>
          <w:szCs w:val="24"/>
        </w:rPr>
        <w:t>,</w:t>
      </w:r>
      <w:r w:rsidR="00747383" w:rsidRPr="00747383">
        <w:rPr>
          <w:rFonts w:ascii="Times New Roman" w:hAnsi="Times New Roman" w:cs="Times New Roman"/>
          <w:sz w:val="24"/>
          <w:szCs w:val="24"/>
          <w:lang w:val="en-CA"/>
        </w:rPr>
        <w:t xml:space="preserve"> </w:t>
      </w:r>
      <w:r w:rsidR="0023178B" w:rsidRPr="00747383">
        <w:rPr>
          <w:rFonts w:ascii="Times New Roman" w:hAnsi="Times New Roman" w:cs="Times New Roman"/>
          <w:sz w:val="24"/>
          <w:szCs w:val="24"/>
          <w:lang w:val="en-CA"/>
        </w:rPr>
        <w:fldChar w:fldCharType="begin"/>
      </w:r>
      <w:r w:rsidR="00747383" w:rsidRPr="00747383">
        <w:rPr>
          <w:rFonts w:ascii="Times New Roman" w:hAnsi="Times New Roman" w:cs="Times New Roman"/>
          <w:sz w:val="24"/>
          <w:szCs w:val="24"/>
          <w:lang w:val="en-CA"/>
        </w:rPr>
        <w:instrText xml:space="preserve"> SEQ CHAPTER \h \r 1</w:instrText>
      </w:r>
      <w:r w:rsidR="0023178B" w:rsidRPr="00747383">
        <w:rPr>
          <w:rFonts w:ascii="Times New Roman" w:hAnsi="Times New Roman" w:cs="Times New Roman"/>
          <w:sz w:val="24"/>
          <w:szCs w:val="24"/>
          <w:lang w:val="en-CA"/>
        </w:rPr>
        <w:fldChar w:fldCharType="end"/>
      </w:r>
      <w:r w:rsidR="00814199">
        <w:rPr>
          <w:rFonts w:ascii="Times New Roman" w:hAnsi="Times New Roman" w:cs="Times New Roman"/>
          <w:sz w:val="24"/>
          <w:szCs w:val="24"/>
          <w:lang w:val="en-CA"/>
        </w:rPr>
        <w:t>we find that</w:t>
      </w:r>
      <w:r w:rsidR="0037707C">
        <w:rPr>
          <w:rFonts w:ascii="Times New Roman" w:hAnsi="Times New Roman"/>
          <w:bCs/>
          <w:sz w:val="24"/>
          <w:szCs w:val="24"/>
        </w:rPr>
        <w:t xml:space="preserve"> m</w:t>
      </w:r>
      <w:r w:rsidR="0037707C" w:rsidRPr="002F0A15">
        <w:rPr>
          <w:rFonts w:ascii="Times New Roman" w:hAnsi="Times New Roman"/>
          <w:bCs/>
          <w:sz w:val="24"/>
          <w:szCs w:val="24"/>
        </w:rPr>
        <w:t xml:space="preserve">anagers </w:t>
      </w:r>
      <w:r w:rsidR="004578E6">
        <w:rPr>
          <w:rFonts w:ascii="Times New Roman" w:hAnsi="Times New Roman"/>
          <w:bCs/>
          <w:sz w:val="24"/>
          <w:szCs w:val="24"/>
        </w:rPr>
        <w:t>who</w:t>
      </w:r>
      <w:r w:rsidR="0037707C" w:rsidRPr="002F0A15">
        <w:rPr>
          <w:rFonts w:ascii="Times New Roman" w:hAnsi="Times New Roman"/>
          <w:bCs/>
          <w:sz w:val="24"/>
          <w:szCs w:val="24"/>
        </w:rPr>
        <w:t xml:space="preserve"> are entitled to high</w:t>
      </w:r>
      <w:r w:rsidR="00747383">
        <w:rPr>
          <w:rFonts w:ascii="Times New Roman" w:hAnsi="Times New Roman"/>
          <w:bCs/>
          <w:sz w:val="24"/>
          <w:szCs w:val="24"/>
        </w:rPr>
        <w:t>,</w:t>
      </w:r>
      <w:r w:rsidR="0037707C" w:rsidRPr="002F0A15">
        <w:rPr>
          <w:rFonts w:ascii="Times New Roman" w:hAnsi="Times New Roman"/>
          <w:bCs/>
          <w:sz w:val="24"/>
          <w:szCs w:val="24"/>
        </w:rPr>
        <w:t xml:space="preserve"> and especially unprotected</w:t>
      </w:r>
      <w:r w:rsidR="00747383">
        <w:rPr>
          <w:rFonts w:ascii="Times New Roman" w:hAnsi="Times New Roman"/>
          <w:bCs/>
          <w:sz w:val="24"/>
          <w:szCs w:val="24"/>
        </w:rPr>
        <w:t>,</w:t>
      </w:r>
      <w:r w:rsidR="0037707C" w:rsidRPr="002F0A15">
        <w:rPr>
          <w:rFonts w:ascii="Times New Roman" w:hAnsi="Times New Roman"/>
          <w:bCs/>
          <w:sz w:val="24"/>
          <w:szCs w:val="24"/>
        </w:rPr>
        <w:t xml:space="preserve"> pension payments typically </w:t>
      </w:r>
      <w:r w:rsidR="00747383">
        <w:rPr>
          <w:rFonts w:ascii="Times New Roman" w:hAnsi="Times New Roman"/>
          <w:bCs/>
          <w:sz w:val="24"/>
          <w:szCs w:val="24"/>
        </w:rPr>
        <w:t>prefer low</w:t>
      </w:r>
      <w:r w:rsidR="0037707C" w:rsidRPr="002F0A15">
        <w:rPr>
          <w:rFonts w:ascii="Times New Roman" w:hAnsi="Times New Roman"/>
          <w:bCs/>
          <w:sz w:val="24"/>
          <w:szCs w:val="24"/>
        </w:rPr>
        <w:t xml:space="preserve"> cash dividend distributions </w:t>
      </w:r>
      <w:r w:rsidR="00747383">
        <w:rPr>
          <w:rFonts w:ascii="Times New Roman" w:hAnsi="Times New Roman"/>
          <w:bCs/>
          <w:sz w:val="24"/>
          <w:szCs w:val="24"/>
        </w:rPr>
        <w:t xml:space="preserve">to safeguard </w:t>
      </w:r>
      <w:r w:rsidR="0037707C" w:rsidRPr="002F0A15">
        <w:rPr>
          <w:rFonts w:ascii="Times New Roman" w:hAnsi="Times New Roman"/>
          <w:bCs/>
          <w:sz w:val="24"/>
          <w:szCs w:val="24"/>
        </w:rPr>
        <w:t xml:space="preserve">their </w:t>
      </w:r>
      <w:r w:rsidR="0037707C">
        <w:rPr>
          <w:rFonts w:ascii="Times New Roman" w:hAnsi="Times New Roman"/>
          <w:bCs/>
          <w:sz w:val="24"/>
          <w:szCs w:val="24"/>
        </w:rPr>
        <w:t xml:space="preserve">future </w:t>
      </w:r>
      <w:r w:rsidR="0037707C" w:rsidRPr="002F0A15">
        <w:rPr>
          <w:rFonts w:ascii="Times New Roman" w:hAnsi="Times New Roman"/>
          <w:bCs/>
          <w:sz w:val="24"/>
          <w:szCs w:val="24"/>
        </w:rPr>
        <w:t>pensions.</w:t>
      </w:r>
    </w:p>
    <w:p w:rsidR="0037707C" w:rsidRPr="00642465" w:rsidRDefault="0037707C" w:rsidP="0011392D">
      <w:pPr>
        <w:spacing w:before="240" w:after="0" w:line="480" w:lineRule="auto"/>
        <w:ind w:firstLineChars="150" w:firstLine="360"/>
        <w:jc w:val="both"/>
        <w:rPr>
          <w:rFonts w:ascii="Times New Roman" w:hAnsi="Times New Roman"/>
          <w:sz w:val="24"/>
          <w:szCs w:val="24"/>
        </w:rPr>
      </w:pPr>
      <w:r w:rsidRPr="00642465">
        <w:rPr>
          <w:rFonts w:ascii="Times New Roman" w:hAnsi="Times New Roman"/>
          <w:bCs/>
          <w:sz w:val="24"/>
          <w:szCs w:val="24"/>
        </w:rPr>
        <w:t xml:space="preserve">The paper proceeds as follows. The next section </w:t>
      </w:r>
      <w:r>
        <w:rPr>
          <w:rFonts w:ascii="Times New Roman" w:hAnsi="Times New Roman"/>
          <w:sz w:val="24"/>
          <w:szCs w:val="24"/>
        </w:rPr>
        <w:t>reviews</w:t>
      </w:r>
      <w:r w:rsidRPr="00642465">
        <w:rPr>
          <w:rFonts w:ascii="Times New Roman" w:hAnsi="Times New Roman"/>
          <w:sz w:val="24"/>
          <w:szCs w:val="24"/>
        </w:rPr>
        <w:t xml:space="preserve"> the </w:t>
      </w:r>
      <w:r w:rsidR="00DF18A3">
        <w:rPr>
          <w:rFonts w:ascii="Times New Roman" w:hAnsi="Times New Roman"/>
          <w:sz w:val="24"/>
          <w:szCs w:val="24"/>
        </w:rPr>
        <w:t>related</w:t>
      </w:r>
      <w:r w:rsidRPr="00642465">
        <w:rPr>
          <w:rFonts w:ascii="Times New Roman" w:hAnsi="Times New Roman"/>
          <w:sz w:val="24"/>
          <w:szCs w:val="24"/>
        </w:rPr>
        <w:t xml:space="preserve"> literature. Section 3 </w:t>
      </w:r>
      <w:r>
        <w:rPr>
          <w:rFonts w:ascii="Times New Roman" w:hAnsi="Times New Roman"/>
          <w:sz w:val="24"/>
          <w:szCs w:val="24"/>
        </w:rPr>
        <w:t>states</w:t>
      </w:r>
      <w:r w:rsidRPr="00642465">
        <w:rPr>
          <w:rFonts w:ascii="Times New Roman" w:hAnsi="Times New Roman"/>
          <w:sz w:val="24"/>
          <w:szCs w:val="24"/>
        </w:rPr>
        <w:t xml:space="preserve"> our hypotheses. Section 4 </w:t>
      </w:r>
      <w:r w:rsidR="00FC58F7">
        <w:rPr>
          <w:rFonts w:ascii="Times New Roman" w:hAnsi="Times New Roman"/>
          <w:sz w:val="24"/>
          <w:szCs w:val="24"/>
        </w:rPr>
        <w:t>describes</w:t>
      </w:r>
      <w:r w:rsidRPr="00642465">
        <w:rPr>
          <w:rFonts w:ascii="Times New Roman" w:hAnsi="Times New Roman"/>
          <w:sz w:val="24"/>
          <w:szCs w:val="24"/>
        </w:rPr>
        <w:t xml:space="preserve"> the </w:t>
      </w:r>
      <w:r w:rsidR="00FC58F7">
        <w:rPr>
          <w:rFonts w:ascii="Times New Roman" w:hAnsi="Times New Roman"/>
          <w:sz w:val="24"/>
          <w:szCs w:val="24"/>
        </w:rPr>
        <w:t>estimation procedures</w:t>
      </w:r>
      <w:r w:rsidRPr="00642465">
        <w:rPr>
          <w:rFonts w:ascii="Times New Roman" w:hAnsi="Times New Roman"/>
          <w:sz w:val="24"/>
          <w:szCs w:val="24"/>
        </w:rPr>
        <w:t xml:space="preserve">, Section 5 </w:t>
      </w:r>
      <w:r>
        <w:rPr>
          <w:rFonts w:ascii="Times New Roman" w:hAnsi="Times New Roman"/>
          <w:sz w:val="24"/>
          <w:szCs w:val="24"/>
        </w:rPr>
        <w:t xml:space="preserve">describes </w:t>
      </w:r>
      <w:r w:rsidRPr="00642465">
        <w:rPr>
          <w:rFonts w:ascii="Times New Roman" w:hAnsi="Times New Roman"/>
          <w:sz w:val="24"/>
          <w:szCs w:val="24"/>
        </w:rPr>
        <w:t xml:space="preserve">the data, Section 6 tests the hypotheses, Section 7 </w:t>
      </w:r>
      <w:r w:rsidR="005900EC">
        <w:rPr>
          <w:rFonts w:ascii="Times New Roman" w:hAnsi="Times New Roman"/>
          <w:sz w:val="24"/>
          <w:szCs w:val="24"/>
        </w:rPr>
        <w:t>explores</w:t>
      </w:r>
      <w:r w:rsidR="00716DE2">
        <w:rPr>
          <w:rFonts w:ascii="Times New Roman" w:hAnsi="Times New Roman"/>
          <w:sz w:val="24"/>
          <w:szCs w:val="24"/>
        </w:rPr>
        <w:t xml:space="preserve"> the costs of the agency behavior, and Section 8 </w:t>
      </w:r>
      <w:r w:rsidRPr="00642465">
        <w:rPr>
          <w:rFonts w:ascii="Times New Roman" w:hAnsi="Times New Roman"/>
          <w:sz w:val="24"/>
          <w:szCs w:val="24"/>
        </w:rPr>
        <w:t>concludes</w:t>
      </w:r>
      <w:r w:rsidR="000B1C98">
        <w:rPr>
          <w:rFonts w:ascii="Times New Roman" w:hAnsi="Times New Roman"/>
          <w:sz w:val="24"/>
          <w:szCs w:val="24"/>
        </w:rPr>
        <w:t xml:space="preserve">. </w:t>
      </w:r>
    </w:p>
    <w:p w:rsidR="0051200F" w:rsidRPr="00642465" w:rsidRDefault="0051200F" w:rsidP="0051200F">
      <w:pPr>
        <w:spacing w:after="0" w:line="480" w:lineRule="auto"/>
        <w:jc w:val="both"/>
        <w:rPr>
          <w:rFonts w:ascii="Times New Roman" w:hAnsi="Times New Roman" w:cs="Times New Roman"/>
          <w:sz w:val="24"/>
          <w:szCs w:val="24"/>
        </w:rPr>
      </w:pPr>
    </w:p>
    <w:p w:rsidR="00642465" w:rsidRPr="00642465" w:rsidRDefault="00642465" w:rsidP="00642465">
      <w:pPr>
        <w:spacing w:after="0" w:line="480" w:lineRule="auto"/>
        <w:jc w:val="both"/>
        <w:rPr>
          <w:sz w:val="32"/>
          <w:szCs w:val="32"/>
        </w:rPr>
      </w:pPr>
      <w:r>
        <w:rPr>
          <w:sz w:val="32"/>
          <w:szCs w:val="32"/>
        </w:rPr>
        <w:t xml:space="preserve">2. </w:t>
      </w:r>
      <w:r w:rsidR="00DF18A3">
        <w:rPr>
          <w:sz w:val="32"/>
          <w:szCs w:val="32"/>
        </w:rPr>
        <w:t xml:space="preserve">Related </w:t>
      </w:r>
      <w:r w:rsidR="00195C90">
        <w:rPr>
          <w:sz w:val="32"/>
          <w:szCs w:val="32"/>
        </w:rPr>
        <w:t>Literature</w:t>
      </w:r>
    </w:p>
    <w:p w:rsidR="00751FEA" w:rsidRDefault="00E433C4" w:rsidP="00633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A3E80">
        <w:rPr>
          <w:rFonts w:ascii="Times New Roman" w:hAnsi="Times New Roman" w:cs="Times New Roman"/>
          <w:sz w:val="24"/>
          <w:szCs w:val="24"/>
        </w:rPr>
        <w:t xml:space="preserve">theory on the separation of ownership and control </w:t>
      </w:r>
      <w:r w:rsidR="00793B01">
        <w:rPr>
          <w:rFonts w:ascii="Times New Roman" w:hAnsi="Times New Roman" w:cs="Times New Roman"/>
          <w:sz w:val="24"/>
          <w:szCs w:val="24"/>
        </w:rPr>
        <w:t xml:space="preserve">for the modern corporation appears to have </w:t>
      </w:r>
      <w:r w:rsidR="002E4F41">
        <w:rPr>
          <w:rFonts w:ascii="Times New Roman" w:hAnsi="Times New Roman" w:cs="Times New Roman"/>
          <w:sz w:val="24"/>
          <w:szCs w:val="24"/>
        </w:rPr>
        <w:t xml:space="preserve">originated </w:t>
      </w:r>
      <w:r w:rsidR="00793B01">
        <w:rPr>
          <w:rFonts w:ascii="Times New Roman" w:hAnsi="Times New Roman" w:cs="Times New Roman"/>
          <w:sz w:val="24"/>
          <w:szCs w:val="24"/>
        </w:rPr>
        <w:t>with</w:t>
      </w:r>
      <w:r w:rsidR="00370299">
        <w:rPr>
          <w:rFonts w:ascii="Times New Roman" w:hAnsi="Times New Roman" w:cs="Times New Roman"/>
          <w:sz w:val="24"/>
          <w:szCs w:val="24"/>
        </w:rPr>
        <w:t xml:space="preserve"> </w:t>
      </w:r>
      <w:proofErr w:type="spellStart"/>
      <w:r w:rsidR="002A3E80">
        <w:rPr>
          <w:rFonts w:ascii="Times New Roman" w:hAnsi="Times New Roman" w:cs="Times New Roman"/>
          <w:sz w:val="24"/>
          <w:szCs w:val="24"/>
        </w:rPr>
        <w:t>Berle</w:t>
      </w:r>
      <w:proofErr w:type="spellEnd"/>
      <w:r w:rsidR="002A3E80">
        <w:rPr>
          <w:rFonts w:ascii="Times New Roman" w:hAnsi="Times New Roman" w:cs="Times New Roman"/>
          <w:sz w:val="24"/>
          <w:szCs w:val="24"/>
        </w:rPr>
        <w:t xml:space="preserve"> and Means (</w:t>
      </w:r>
      <w:r w:rsidR="002A3E80" w:rsidRPr="002A3E80">
        <w:rPr>
          <w:rFonts w:ascii="Times New Roman" w:hAnsi="Times New Roman" w:cs="Times New Roman"/>
          <w:sz w:val="24"/>
          <w:szCs w:val="24"/>
        </w:rPr>
        <w:t>1932</w:t>
      </w:r>
      <w:r w:rsidR="002A3E80">
        <w:rPr>
          <w:rFonts w:ascii="Times New Roman" w:hAnsi="Times New Roman" w:cs="Times New Roman"/>
          <w:sz w:val="24"/>
          <w:szCs w:val="24"/>
        </w:rPr>
        <w:t>)</w:t>
      </w:r>
      <w:r w:rsidR="00793B01">
        <w:rPr>
          <w:rFonts w:ascii="Times New Roman" w:hAnsi="Times New Roman" w:cs="Times New Roman"/>
          <w:sz w:val="24"/>
          <w:szCs w:val="24"/>
        </w:rPr>
        <w:t>.</w:t>
      </w:r>
      <w:r w:rsidR="002E4F41">
        <w:rPr>
          <w:rFonts w:ascii="Times New Roman" w:hAnsi="Times New Roman" w:cs="Times New Roman"/>
          <w:sz w:val="24"/>
          <w:szCs w:val="24"/>
        </w:rPr>
        <w:t xml:space="preserve"> </w:t>
      </w:r>
      <w:r w:rsidR="00793B01">
        <w:rPr>
          <w:rFonts w:ascii="Times New Roman" w:hAnsi="Times New Roman" w:cs="Times New Roman"/>
          <w:sz w:val="24"/>
          <w:szCs w:val="24"/>
        </w:rPr>
        <w:t xml:space="preserve">This early </w:t>
      </w:r>
      <w:r w:rsidR="000619E5">
        <w:rPr>
          <w:rFonts w:ascii="Times New Roman" w:hAnsi="Times New Roman" w:cs="Times New Roman"/>
          <w:sz w:val="24"/>
          <w:szCs w:val="24"/>
        </w:rPr>
        <w:t xml:space="preserve">analysis </w:t>
      </w:r>
      <w:r w:rsidR="00793B01">
        <w:rPr>
          <w:rFonts w:ascii="Times New Roman" w:hAnsi="Times New Roman" w:cs="Times New Roman"/>
          <w:sz w:val="24"/>
          <w:szCs w:val="24"/>
        </w:rPr>
        <w:t xml:space="preserve">has evolved into </w:t>
      </w:r>
      <w:r w:rsidR="002E4F41">
        <w:rPr>
          <w:rFonts w:ascii="Times New Roman" w:hAnsi="Times New Roman" w:cs="Times New Roman"/>
          <w:sz w:val="24"/>
          <w:szCs w:val="24"/>
        </w:rPr>
        <w:t xml:space="preserve">the modern concept of agency theory </w:t>
      </w:r>
      <w:r w:rsidR="000619E5">
        <w:rPr>
          <w:rFonts w:ascii="Times New Roman" w:hAnsi="Times New Roman" w:cs="Times New Roman"/>
          <w:sz w:val="24"/>
          <w:szCs w:val="24"/>
        </w:rPr>
        <w:t xml:space="preserve">as a result of </w:t>
      </w:r>
      <w:r w:rsidR="002E4F41">
        <w:rPr>
          <w:rFonts w:ascii="Times New Roman" w:hAnsi="Times New Roman" w:cs="Times New Roman"/>
          <w:sz w:val="24"/>
          <w:szCs w:val="24"/>
        </w:rPr>
        <w:t xml:space="preserve">the influential work of Jensen and </w:t>
      </w:r>
      <w:proofErr w:type="spellStart"/>
      <w:r w:rsidR="002E4F41">
        <w:rPr>
          <w:rFonts w:ascii="Times New Roman" w:hAnsi="Times New Roman" w:cs="Times New Roman"/>
          <w:sz w:val="24"/>
          <w:szCs w:val="24"/>
        </w:rPr>
        <w:t>Meckling</w:t>
      </w:r>
      <w:proofErr w:type="spellEnd"/>
      <w:r w:rsidR="002E4F41">
        <w:rPr>
          <w:rFonts w:ascii="Times New Roman" w:hAnsi="Times New Roman" w:cs="Times New Roman"/>
          <w:sz w:val="24"/>
          <w:szCs w:val="24"/>
        </w:rPr>
        <w:t xml:space="preserve"> (1976). The basic </w:t>
      </w:r>
      <w:r w:rsidR="007D77B6">
        <w:rPr>
          <w:rFonts w:ascii="Times New Roman" w:hAnsi="Times New Roman" w:cs="Times New Roman"/>
          <w:sz w:val="24"/>
          <w:szCs w:val="24"/>
        </w:rPr>
        <w:t xml:space="preserve">premise </w:t>
      </w:r>
      <w:r w:rsidR="002E4F41">
        <w:rPr>
          <w:rFonts w:ascii="Times New Roman" w:hAnsi="Times New Roman" w:cs="Times New Roman"/>
          <w:sz w:val="24"/>
          <w:szCs w:val="24"/>
        </w:rPr>
        <w:t xml:space="preserve">is that </w:t>
      </w:r>
      <w:r w:rsidR="002A3E80">
        <w:rPr>
          <w:rFonts w:ascii="Times New Roman" w:hAnsi="Times New Roman" w:cs="Times New Roman"/>
          <w:sz w:val="24"/>
          <w:szCs w:val="24"/>
        </w:rPr>
        <w:t>non-</w:t>
      </w:r>
      <w:r w:rsidR="002A3E80" w:rsidRPr="002A3E80">
        <w:rPr>
          <w:rFonts w:ascii="Times New Roman" w:hAnsi="Times New Roman" w:cs="Times New Roman"/>
          <w:sz w:val="24"/>
          <w:szCs w:val="24"/>
        </w:rPr>
        <w:t xml:space="preserve">owner managers </w:t>
      </w:r>
      <w:r w:rsidR="002A3E80">
        <w:rPr>
          <w:rFonts w:ascii="Times New Roman" w:hAnsi="Times New Roman" w:cs="Times New Roman"/>
          <w:sz w:val="24"/>
          <w:szCs w:val="24"/>
        </w:rPr>
        <w:t>can adopt corporate decisions that serve their interests</w:t>
      </w:r>
      <w:r w:rsidR="002A3E80" w:rsidRPr="002A3E80">
        <w:rPr>
          <w:rFonts w:ascii="Times New Roman" w:hAnsi="Times New Roman" w:cs="Times New Roman"/>
          <w:sz w:val="24"/>
          <w:szCs w:val="24"/>
        </w:rPr>
        <w:t xml:space="preserve"> at the </w:t>
      </w:r>
      <w:r w:rsidR="002A3E80" w:rsidRPr="002A3E80">
        <w:rPr>
          <w:rFonts w:ascii="Times New Roman" w:hAnsi="Times New Roman" w:cs="Times New Roman"/>
          <w:sz w:val="24"/>
          <w:szCs w:val="24"/>
        </w:rPr>
        <w:lastRenderedPageBreak/>
        <w:t>expense of the</w:t>
      </w:r>
      <w:r w:rsidR="002E4F41">
        <w:rPr>
          <w:rFonts w:ascii="Times New Roman" w:hAnsi="Times New Roman" w:cs="Times New Roman"/>
          <w:sz w:val="24"/>
          <w:szCs w:val="24"/>
        </w:rPr>
        <w:t xml:space="preserve"> </w:t>
      </w:r>
      <w:r w:rsidR="002A3E80" w:rsidRPr="002A3E80">
        <w:rPr>
          <w:rFonts w:ascii="Times New Roman" w:hAnsi="Times New Roman" w:cs="Times New Roman"/>
          <w:sz w:val="24"/>
          <w:szCs w:val="24"/>
        </w:rPr>
        <w:t>owners</w:t>
      </w:r>
      <w:r w:rsidR="002A3E80">
        <w:rPr>
          <w:rFonts w:ascii="Times New Roman" w:hAnsi="Times New Roman" w:cs="Times New Roman"/>
          <w:sz w:val="24"/>
          <w:szCs w:val="24"/>
        </w:rPr>
        <w:t>.</w:t>
      </w:r>
      <w:r w:rsidR="007A7C2C">
        <w:rPr>
          <w:rFonts w:ascii="Times New Roman" w:hAnsi="Times New Roman" w:cs="Times New Roman"/>
          <w:sz w:val="24"/>
          <w:szCs w:val="24"/>
        </w:rPr>
        <w:t xml:space="preserve"> </w:t>
      </w:r>
      <w:r w:rsidR="00EE0412">
        <w:rPr>
          <w:rFonts w:ascii="Times New Roman" w:hAnsi="Times New Roman" w:cs="Times New Roman"/>
          <w:sz w:val="24"/>
          <w:szCs w:val="24"/>
        </w:rPr>
        <w:t>Building on this concept, the theoretical literature has identifie</w:t>
      </w:r>
      <w:r w:rsidR="00C735A2">
        <w:rPr>
          <w:rFonts w:ascii="Times New Roman" w:hAnsi="Times New Roman" w:cs="Times New Roman"/>
          <w:sz w:val="24"/>
          <w:szCs w:val="24"/>
        </w:rPr>
        <w:t>d</w:t>
      </w:r>
      <w:r w:rsidR="00EE0412">
        <w:rPr>
          <w:rFonts w:ascii="Times New Roman" w:hAnsi="Times New Roman" w:cs="Times New Roman"/>
          <w:sz w:val="24"/>
          <w:szCs w:val="24"/>
        </w:rPr>
        <w:t xml:space="preserve"> </w:t>
      </w:r>
      <w:r w:rsidR="00C735A2">
        <w:rPr>
          <w:rFonts w:ascii="Times New Roman" w:hAnsi="Times New Roman" w:cs="Times New Roman"/>
          <w:sz w:val="24"/>
          <w:szCs w:val="24"/>
        </w:rPr>
        <w:t>a variety of</w:t>
      </w:r>
      <w:r w:rsidR="00EE0412">
        <w:rPr>
          <w:rFonts w:ascii="Times New Roman" w:hAnsi="Times New Roman" w:cs="Times New Roman"/>
          <w:sz w:val="24"/>
          <w:szCs w:val="24"/>
        </w:rPr>
        <w:t xml:space="preserve"> incentives that can lead managers to deviate from </w:t>
      </w:r>
      <w:r w:rsidR="00C735A2">
        <w:rPr>
          <w:rFonts w:ascii="Times New Roman" w:hAnsi="Times New Roman" w:cs="Times New Roman"/>
          <w:sz w:val="24"/>
          <w:szCs w:val="24"/>
        </w:rPr>
        <w:t xml:space="preserve">policies that maximize shareholder value. </w:t>
      </w:r>
    </w:p>
    <w:p w:rsidR="004A40D5" w:rsidRDefault="0023178B" w:rsidP="0011392D">
      <w:pPr>
        <w:spacing w:before="240" w:after="0" w:line="480" w:lineRule="auto"/>
        <w:ind w:firstLine="360"/>
        <w:jc w:val="both"/>
        <w:rPr>
          <w:rFonts w:ascii="Times New Roman" w:hAnsi="Times New Roman" w:cs="Times New Roman"/>
          <w:sz w:val="24"/>
          <w:szCs w:val="24"/>
        </w:rPr>
      </w:pPr>
      <w:r w:rsidRPr="00BE1B47">
        <w:rPr>
          <w:rFonts w:ascii="Times New Roman" w:hAnsi="Times New Roman" w:cs="Times New Roman"/>
          <w:sz w:val="24"/>
          <w:szCs w:val="24"/>
          <w:lang w:val="en-CA"/>
        </w:rPr>
        <w:fldChar w:fldCharType="begin"/>
      </w:r>
      <w:r w:rsidR="00553D76" w:rsidRPr="00BE1B47">
        <w:rPr>
          <w:rFonts w:ascii="Times New Roman" w:hAnsi="Times New Roman" w:cs="Times New Roman"/>
          <w:sz w:val="24"/>
          <w:szCs w:val="24"/>
          <w:lang w:val="en-CA"/>
        </w:rPr>
        <w:instrText xml:space="preserve"> SEQ CHAPTER \h \r 1</w:instrText>
      </w:r>
      <w:r w:rsidRPr="00BE1B47">
        <w:rPr>
          <w:rFonts w:ascii="Times New Roman" w:hAnsi="Times New Roman" w:cs="Times New Roman"/>
          <w:sz w:val="24"/>
          <w:szCs w:val="24"/>
          <w:lang w:val="en-CA"/>
        </w:rPr>
        <w:fldChar w:fldCharType="end"/>
      </w:r>
      <w:r w:rsidR="00553D76" w:rsidRPr="00BE1B47">
        <w:rPr>
          <w:rFonts w:ascii="Times New Roman" w:hAnsi="Times New Roman" w:cs="Times New Roman"/>
          <w:sz w:val="24"/>
          <w:szCs w:val="24"/>
        </w:rPr>
        <w:t>For example, undiversified wealth and human capital invested in the firm may lead risk-averse managers to make sub-optimal decisions to reduce firm risk</w:t>
      </w:r>
      <w:r w:rsidR="007D77B6" w:rsidRPr="00BE1B47">
        <w:rPr>
          <w:rFonts w:ascii="Times New Roman" w:hAnsi="Times New Roman" w:cs="Times New Roman"/>
          <w:sz w:val="24"/>
          <w:szCs w:val="24"/>
        </w:rPr>
        <w:t xml:space="preserve"> </w:t>
      </w:r>
      <w:r w:rsidR="007D77B6" w:rsidRPr="007D77B6">
        <w:rPr>
          <w:rFonts w:ascii="Times New Roman" w:hAnsi="Times New Roman" w:cs="Times New Roman"/>
          <w:sz w:val="24"/>
          <w:szCs w:val="24"/>
        </w:rPr>
        <w:t xml:space="preserve">(See, e.g., Jensen and </w:t>
      </w:r>
      <w:proofErr w:type="spellStart"/>
      <w:r w:rsidR="007D77B6" w:rsidRPr="007D77B6">
        <w:rPr>
          <w:rFonts w:ascii="Times New Roman" w:hAnsi="Times New Roman" w:cs="Times New Roman"/>
          <w:sz w:val="24"/>
          <w:szCs w:val="24"/>
        </w:rPr>
        <w:t>Meckling</w:t>
      </w:r>
      <w:proofErr w:type="spellEnd"/>
      <w:r w:rsidR="007D77B6" w:rsidRPr="007D77B6">
        <w:rPr>
          <w:rFonts w:ascii="Times New Roman" w:hAnsi="Times New Roman" w:cs="Times New Roman"/>
          <w:sz w:val="24"/>
          <w:szCs w:val="24"/>
        </w:rPr>
        <w:t xml:space="preserve"> (1976), </w:t>
      </w:r>
      <w:proofErr w:type="spellStart"/>
      <w:r w:rsidR="007D77B6" w:rsidRPr="007D77B6">
        <w:rPr>
          <w:rFonts w:ascii="Times New Roman" w:hAnsi="Times New Roman" w:cs="Times New Roman"/>
          <w:sz w:val="24"/>
          <w:szCs w:val="24"/>
        </w:rPr>
        <w:t>Treynor</w:t>
      </w:r>
      <w:proofErr w:type="spellEnd"/>
      <w:r w:rsidR="007D77B6" w:rsidRPr="007D77B6">
        <w:rPr>
          <w:rFonts w:ascii="Times New Roman" w:hAnsi="Times New Roman" w:cs="Times New Roman"/>
          <w:sz w:val="24"/>
          <w:szCs w:val="24"/>
        </w:rPr>
        <w:t xml:space="preserve"> and Black (1976), and </w:t>
      </w:r>
      <w:proofErr w:type="spellStart"/>
      <w:r w:rsidR="007D77B6" w:rsidRPr="007D77B6">
        <w:rPr>
          <w:rFonts w:ascii="Times New Roman" w:hAnsi="Times New Roman" w:cs="Times New Roman"/>
          <w:sz w:val="24"/>
          <w:szCs w:val="24"/>
        </w:rPr>
        <w:t>Parrino</w:t>
      </w:r>
      <w:proofErr w:type="spellEnd"/>
      <w:r w:rsidR="007D77B6" w:rsidRPr="007D77B6">
        <w:rPr>
          <w:rFonts w:ascii="Times New Roman" w:hAnsi="Times New Roman" w:cs="Times New Roman"/>
          <w:sz w:val="24"/>
          <w:szCs w:val="24"/>
        </w:rPr>
        <w:t xml:space="preserve">, </w:t>
      </w:r>
      <w:proofErr w:type="spellStart"/>
      <w:r w:rsidR="007D77B6" w:rsidRPr="007D77B6">
        <w:rPr>
          <w:rFonts w:ascii="Times New Roman" w:hAnsi="Times New Roman" w:cs="Times New Roman"/>
          <w:sz w:val="24"/>
          <w:szCs w:val="24"/>
        </w:rPr>
        <w:t>Poteshman</w:t>
      </w:r>
      <w:proofErr w:type="spellEnd"/>
      <w:r w:rsidR="007D77B6" w:rsidRPr="007D77B6">
        <w:rPr>
          <w:rFonts w:ascii="Times New Roman" w:hAnsi="Times New Roman" w:cs="Times New Roman"/>
          <w:sz w:val="24"/>
          <w:szCs w:val="24"/>
        </w:rPr>
        <w:t xml:space="preserve">, and </w:t>
      </w:r>
      <w:proofErr w:type="spellStart"/>
      <w:r w:rsidR="007D77B6" w:rsidRPr="007D77B6">
        <w:rPr>
          <w:rFonts w:ascii="Times New Roman" w:hAnsi="Times New Roman" w:cs="Times New Roman"/>
          <w:sz w:val="24"/>
          <w:szCs w:val="24"/>
        </w:rPr>
        <w:t>Weisbach</w:t>
      </w:r>
      <w:proofErr w:type="spellEnd"/>
      <w:r w:rsidR="007D77B6" w:rsidRPr="007D77B6">
        <w:rPr>
          <w:rFonts w:ascii="Times New Roman" w:hAnsi="Times New Roman" w:cs="Times New Roman"/>
          <w:sz w:val="24"/>
          <w:szCs w:val="24"/>
        </w:rPr>
        <w:t xml:space="preserve"> (2005)).</w:t>
      </w:r>
      <w:r w:rsidR="00C64D15">
        <w:rPr>
          <w:rFonts w:ascii="Times New Roman" w:hAnsi="Times New Roman" w:cs="Times New Roman"/>
          <w:sz w:val="24"/>
          <w:szCs w:val="24"/>
        </w:rPr>
        <w:t xml:space="preserve"> Another example is known as the empire-building hypothesis (</w:t>
      </w:r>
      <w:r w:rsidR="00E2213C">
        <w:rPr>
          <w:rFonts w:ascii="Times New Roman" w:hAnsi="Times New Roman" w:cs="Times New Roman"/>
          <w:sz w:val="24"/>
          <w:szCs w:val="24"/>
        </w:rPr>
        <w:t xml:space="preserve">See </w:t>
      </w:r>
      <w:r w:rsidR="00C64D15">
        <w:rPr>
          <w:rFonts w:ascii="Times New Roman" w:hAnsi="Times New Roman" w:cs="Times New Roman"/>
          <w:sz w:val="24"/>
          <w:szCs w:val="24"/>
        </w:rPr>
        <w:t>Jensen, 1986):</w:t>
      </w:r>
      <w:r w:rsidR="00F70A5E">
        <w:rPr>
          <w:rFonts w:ascii="Times New Roman" w:hAnsi="Times New Roman" w:cs="Times New Roman"/>
          <w:sz w:val="24"/>
          <w:szCs w:val="24"/>
        </w:rPr>
        <w:t xml:space="preserve"> </w:t>
      </w:r>
      <w:r w:rsidRPr="00F70A5E">
        <w:rPr>
          <w:rFonts w:ascii="Times New Roman" w:hAnsi="Times New Roman" w:cs="Times New Roman"/>
          <w:sz w:val="24"/>
          <w:szCs w:val="24"/>
          <w:lang w:val="en-CA"/>
        </w:rPr>
        <w:fldChar w:fldCharType="begin"/>
      </w:r>
      <w:r w:rsidR="00F70A5E" w:rsidRPr="00F70A5E">
        <w:rPr>
          <w:rFonts w:ascii="Times New Roman" w:hAnsi="Times New Roman" w:cs="Times New Roman"/>
          <w:sz w:val="24"/>
          <w:szCs w:val="24"/>
          <w:lang w:val="en-CA"/>
        </w:rPr>
        <w:instrText xml:space="preserve"> SEQ CHAPTER \h \r 1</w:instrText>
      </w:r>
      <w:r w:rsidRPr="00F70A5E">
        <w:rPr>
          <w:rFonts w:ascii="Times New Roman" w:hAnsi="Times New Roman" w:cs="Times New Roman"/>
          <w:sz w:val="24"/>
          <w:szCs w:val="24"/>
          <w:lang w:val="en-CA"/>
        </w:rPr>
        <w:fldChar w:fldCharType="end"/>
      </w:r>
      <w:r w:rsidR="00F70A5E" w:rsidRPr="00F70A5E">
        <w:rPr>
          <w:rFonts w:ascii="Times New Roman" w:hAnsi="Times New Roman" w:cs="Times New Roman"/>
          <w:sz w:val="24"/>
          <w:szCs w:val="24"/>
        </w:rPr>
        <w:t>executives of bigger firms appear to have more prestigious jobs. Thus, managers have a built</w:t>
      </w:r>
      <w:r w:rsidR="00250EF4">
        <w:rPr>
          <w:rFonts w:ascii="Times New Roman" w:hAnsi="Times New Roman" w:cs="Times New Roman"/>
          <w:sz w:val="24"/>
          <w:szCs w:val="24"/>
        </w:rPr>
        <w:t xml:space="preserve"> </w:t>
      </w:r>
      <w:r w:rsidR="00F70A5E" w:rsidRPr="00F70A5E">
        <w:rPr>
          <w:rFonts w:ascii="Times New Roman" w:hAnsi="Times New Roman" w:cs="Times New Roman"/>
          <w:sz w:val="24"/>
          <w:szCs w:val="24"/>
        </w:rPr>
        <w:t>in incentive to increase the size of their company to achieve more prestige in society; this incentive can lead to over-investment that</w:t>
      </w:r>
      <w:r w:rsidR="00BE1B47">
        <w:rPr>
          <w:rFonts w:ascii="Times New Roman" w:hAnsi="Times New Roman" w:cs="Times New Roman"/>
          <w:sz w:val="24"/>
          <w:szCs w:val="24"/>
        </w:rPr>
        <w:t xml:space="preserve">, in turn, </w:t>
      </w:r>
      <w:r w:rsidR="00F70A5E" w:rsidRPr="00F70A5E">
        <w:rPr>
          <w:rFonts w:ascii="Times New Roman" w:hAnsi="Times New Roman" w:cs="Times New Roman"/>
          <w:sz w:val="24"/>
          <w:szCs w:val="24"/>
        </w:rPr>
        <w:t>reduces shareholder value.</w:t>
      </w:r>
      <w:r w:rsidR="00C64D15">
        <w:rPr>
          <w:rFonts w:ascii="Times New Roman" w:hAnsi="Times New Roman" w:cs="Times New Roman"/>
          <w:sz w:val="24"/>
          <w:szCs w:val="24"/>
        </w:rPr>
        <w:t xml:space="preserve"> </w:t>
      </w:r>
      <w:r w:rsidR="00F70A5E">
        <w:rPr>
          <w:rFonts w:ascii="Times New Roman" w:hAnsi="Times New Roman" w:cs="Times New Roman"/>
          <w:sz w:val="24"/>
          <w:szCs w:val="24"/>
        </w:rPr>
        <w:t>S</w:t>
      </w:r>
      <w:r w:rsidR="00E2213C">
        <w:rPr>
          <w:rFonts w:ascii="Times New Roman" w:hAnsi="Times New Roman" w:cs="Times New Roman"/>
          <w:sz w:val="24"/>
          <w:szCs w:val="24"/>
        </w:rPr>
        <w:t xml:space="preserve">imilarly, </w:t>
      </w:r>
      <w:r w:rsidR="004A40D5">
        <w:rPr>
          <w:rFonts w:ascii="Times New Roman" w:hAnsi="Times New Roman" w:cs="Times New Roman"/>
          <w:sz w:val="24"/>
          <w:szCs w:val="24"/>
        </w:rPr>
        <w:t xml:space="preserve">reputation considerations can lead managers to make decisions that yield short-term gains at the expense of the long-term interests of the shareholders </w:t>
      </w:r>
      <w:r w:rsidR="004A40D5" w:rsidRPr="00C91DF3">
        <w:rPr>
          <w:rFonts w:ascii="Times New Roman" w:hAnsi="Times New Roman" w:cs="Times New Roman"/>
          <w:sz w:val="24"/>
          <w:szCs w:val="24"/>
        </w:rPr>
        <w:t>(</w:t>
      </w:r>
      <w:r w:rsidR="00F70F96" w:rsidRPr="00C91DF3">
        <w:rPr>
          <w:rFonts w:ascii="Times New Roman" w:hAnsi="Times New Roman" w:cs="Times New Roman"/>
          <w:sz w:val="24"/>
          <w:szCs w:val="24"/>
        </w:rPr>
        <w:t xml:space="preserve">See </w:t>
      </w:r>
      <w:r w:rsidR="00DD7D97" w:rsidRPr="00C91DF3">
        <w:rPr>
          <w:rFonts w:ascii="Times New Roman" w:hAnsi="Times New Roman" w:cs="Times New Roman"/>
          <w:sz w:val="24"/>
          <w:szCs w:val="24"/>
        </w:rPr>
        <w:t xml:space="preserve">Jensen and </w:t>
      </w:r>
      <w:proofErr w:type="spellStart"/>
      <w:r w:rsidR="00DD7D97" w:rsidRPr="00C91DF3">
        <w:rPr>
          <w:rFonts w:ascii="Times New Roman" w:hAnsi="Times New Roman" w:cs="Times New Roman"/>
          <w:sz w:val="24"/>
          <w:szCs w:val="24"/>
        </w:rPr>
        <w:t>Meckling</w:t>
      </w:r>
      <w:proofErr w:type="spellEnd"/>
      <w:r w:rsidR="00DD7D97" w:rsidRPr="00C91DF3">
        <w:rPr>
          <w:rFonts w:ascii="Times New Roman" w:hAnsi="Times New Roman" w:cs="Times New Roman"/>
          <w:sz w:val="24"/>
          <w:szCs w:val="24"/>
        </w:rPr>
        <w:t xml:space="preserve"> (1976), </w:t>
      </w:r>
      <w:proofErr w:type="spellStart"/>
      <w:r w:rsidR="00DD7D97" w:rsidRPr="00C91DF3">
        <w:rPr>
          <w:rFonts w:ascii="Times New Roman" w:hAnsi="Times New Roman" w:cs="Times New Roman"/>
          <w:sz w:val="24"/>
          <w:szCs w:val="24"/>
        </w:rPr>
        <w:t>Fama</w:t>
      </w:r>
      <w:proofErr w:type="spellEnd"/>
      <w:r w:rsidR="00DD7D97" w:rsidRPr="00C91DF3">
        <w:rPr>
          <w:rFonts w:ascii="Times New Roman" w:hAnsi="Times New Roman" w:cs="Times New Roman"/>
          <w:sz w:val="24"/>
          <w:szCs w:val="24"/>
        </w:rPr>
        <w:t xml:space="preserve"> (1980), </w:t>
      </w:r>
      <w:proofErr w:type="spellStart"/>
      <w:r w:rsidR="00DD7D97" w:rsidRPr="00C91DF3">
        <w:rPr>
          <w:rFonts w:ascii="Times New Roman" w:hAnsi="Times New Roman" w:cs="Times New Roman"/>
          <w:sz w:val="24"/>
          <w:szCs w:val="24"/>
        </w:rPr>
        <w:t>Amihud</w:t>
      </w:r>
      <w:proofErr w:type="spellEnd"/>
      <w:r w:rsidR="00DD7D97" w:rsidRPr="00C91DF3">
        <w:rPr>
          <w:rFonts w:ascii="Times New Roman" w:hAnsi="Times New Roman" w:cs="Times New Roman"/>
          <w:sz w:val="24"/>
          <w:szCs w:val="24"/>
        </w:rPr>
        <w:t xml:space="preserve"> and Lev (1981), </w:t>
      </w:r>
      <w:r w:rsidR="00F70F96" w:rsidRPr="00C91DF3">
        <w:rPr>
          <w:rFonts w:ascii="Times New Roman" w:hAnsi="Times New Roman" w:cs="Times New Roman"/>
          <w:sz w:val="24"/>
          <w:szCs w:val="24"/>
        </w:rPr>
        <w:t>Narayanan</w:t>
      </w:r>
      <w:r w:rsidR="004A40D5" w:rsidRPr="00C91DF3">
        <w:rPr>
          <w:rFonts w:ascii="Times New Roman" w:hAnsi="Times New Roman" w:cs="Times New Roman"/>
          <w:sz w:val="24"/>
          <w:szCs w:val="24"/>
        </w:rPr>
        <w:t xml:space="preserve"> </w:t>
      </w:r>
      <w:r w:rsidR="00F70F96" w:rsidRPr="00C91DF3">
        <w:rPr>
          <w:rFonts w:ascii="Times New Roman" w:hAnsi="Times New Roman" w:cs="Times New Roman"/>
          <w:sz w:val="24"/>
          <w:szCs w:val="24"/>
        </w:rPr>
        <w:t>(</w:t>
      </w:r>
      <w:r w:rsidR="004A40D5" w:rsidRPr="00C91DF3">
        <w:rPr>
          <w:rFonts w:ascii="Times New Roman" w:hAnsi="Times New Roman" w:cs="Times New Roman"/>
          <w:sz w:val="24"/>
          <w:szCs w:val="24"/>
        </w:rPr>
        <w:t>1985</w:t>
      </w:r>
      <w:r w:rsidR="00F70F96" w:rsidRPr="00C91DF3">
        <w:rPr>
          <w:rFonts w:ascii="Times New Roman" w:hAnsi="Times New Roman" w:cs="Times New Roman"/>
          <w:sz w:val="24"/>
          <w:szCs w:val="24"/>
        </w:rPr>
        <w:t>)</w:t>
      </w:r>
      <w:r w:rsidR="00361220" w:rsidRPr="00C91DF3">
        <w:rPr>
          <w:rFonts w:ascii="Times New Roman" w:hAnsi="Times New Roman" w:cs="Times New Roman"/>
          <w:sz w:val="24"/>
          <w:szCs w:val="24"/>
        </w:rPr>
        <w:t xml:space="preserve">, </w:t>
      </w:r>
      <w:proofErr w:type="spellStart"/>
      <w:r w:rsidR="00F70F96" w:rsidRPr="00C91DF3">
        <w:rPr>
          <w:rFonts w:ascii="Times New Roman" w:hAnsi="Times New Roman" w:cs="Times New Roman"/>
          <w:sz w:val="24"/>
          <w:szCs w:val="24"/>
        </w:rPr>
        <w:t>Eisenhardt</w:t>
      </w:r>
      <w:proofErr w:type="spellEnd"/>
      <w:r w:rsidR="00361220" w:rsidRPr="00C91DF3">
        <w:rPr>
          <w:rFonts w:ascii="Times New Roman" w:hAnsi="Times New Roman" w:cs="Times New Roman"/>
          <w:sz w:val="24"/>
          <w:szCs w:val="24"/>
        </w:rPr>
        <w:t xml:space="preserve"> </w:t>
      </w:r>
      <w:r w:rsidR="00F70F96" w:rsidRPr="00C91DF3">
        <w:rPr>
          <w:rFonts w:ascii="Times New Roman" w:hAnsi="Times New Roman" w:cs="Times New Roman"/>
          <w:sz w:val="24"/>
          <w:szCs w:val="24"/>
        </w:rPr>
        <w:t>(1989),</w:t>
      </w:r>
      <w:r w:rsidR="00DD7D97" w:rsidRPr="00C91DF3">
        <w:rPr>
          <w:rFonts w:ascii="Times New Roman" w:hAnsi="Times New Roman" w:cs="Times New Roman"/>
          <w:sz w:val="24"/>
          <w:szCs w:val="24"/>
        </w:rPr>
        <w:t xml:space="preserve"> </w:t>
      </w:r>
      <w:proofErr w:type="spellStart"/>
      <w:r w:rsidR="00DD7D97" w:rsidRPr="00C91DF3">
        <w:rPr>
          <w:rFonts w:ascii="Times New Roman" w:hAnsi="Times New Roman" w:cs="Times New Roman"/>
          <w:sz w:val="24"/>
          <w:szCs w:val="24"/>
        </w:rPr>
        <w:t>Schliefer</w:t>
      </w:r>
      <w:proofErr w:type="spellEnd"/>
      <w:r w:rsidR="00DD7D97" w:rsidRPr="00C91DF3">
        <w:rPr>
          <w:rFonts w:ascii="Times New Roman" w:hAnsi="Times New Roman" w:cs="Times New Roman"/>
          <w:sz w:val="24"/>
          <w:szCs w:val="24"/>
        </w:rPr>
        <w:t xml:space="preserve"> and </w:t>
      </w:r>
      <w:proofErr w:type="spellStart"/>
      <w:r w:rsidR="00DD7D97" w:rsidRPr="00C91DF3">
        <w:rPr>
          <w:rFonts w:ascii="Times New Roman" w:hAnsi="Times New Roman" w:cs="Times New Roman"/>
          <w:sz w:val="24"/>
          <w:szCs w:val="24"/>
        </w:rPr>
        <w:t>Vishny</w:t>
      </w:r>
      <w:proofErr w:type="spellEnd"/>
      <w:r w:rsidR="00DD7D97" w:rsidRPr="00C91DF3">
        <w:rPr>
          <w:rFonts w:ascii="Times New Roman" w:hAnsi="Times New Roman" w:cs="Times New Roman"/>
          <w:sz w:val="24"/>
          <w:szCs w:val="24"/>
        </w:rPr>
        <w:t xml:space="preserve"> (1990), Lane, </w:t>
      </w:r>
      <w:proofErr w:type="spellStart"/>
      <w:r w:rsidR="00DD7D97" w:rsidRPr="00C91DF3">
        <w:rPr>
          <w:rFonts w:ascii="Times New Roman" w:hAnsi="Times New Roman" w:cs="Times New Roman"/>
          <w:sz w:val="24"/>
          <w:szCs w:val="24"/>
        </w:rPr>
        <w:t>Cannella</w:t>
      </w:r>
      <w:proofErr w:type="spellEnd"/>
      <w:r w:rsidR="00DD7D97" w:rsidRPr="00C91DF3">
        <w:rPr>
          <w:rFonts w:ascii="Times New Roman" w:hAnsi="Times New Roman" w:cs="Times New Roman"/>
          <w:sz w:val="24"/>
          <w:szCs w:val="24"/>
        </w:rPr>
        <w:t xml:space="preserve">, and </w:t>
      </w:r>
      <w:proofErr w:type="spellStart"/>
      <w:r w:rsidR="00DD7D97" w:rsidRPr="00C91DF3">
        <w:rPr>
          <w:rFonts w:ascii="Times New Roman" w:hAnsi="Times New Roman" w:cs="Times New Roman"/>
          <w:sz w:val="24"/>
          <w:szCs w:val="24"/>
        </w:rPr>
        <w:t>Lubatkin</w:t>
      </w:r>
      <w:proofErr w:type="spellEnd"/>
      <w:r w:rsidR="00361220" w:rsidRPr="00C91DF3">
        <w:rPr>
          <w:rFonts w:ascii="Times New Roman" w:hAnsi="Times New Roman" w:cs="Times New Roman"/>
          <w:sz w:val="24"/>
          <w:szCs w:val="24"/>
        </w:rPr>
        <w:t xml:space="preserve"> </w:t>
      </w:r>
      <w:r w:rsidR="00DD7D97" w:rsidRPr="00C91DF3">
        <w:rPr>
          <w:rFonts w:ascii="Times New Roman" w:hAnsi="Times New Roman" w:cs="Times New Roman"/>
          <w:sz w:val="24"/>
          <w:szCs w:val="24"/>
        </w:rPr>
        <w:t>(</w:t>
      </w:r>
      <w:r w:rsidR="00361220" w:rsidRPr="00C91DF3">
        <w:rPr>
          <w:rFonts w:ascii="Times New Roman" w:hAnsi="Times New Roman" w:cs="Times New Roman"/>
          <w:sz w:val="24"/>
          <w:szCs w:val="24"/>
        </w:rPr>
        <w:t>1998</w:t>
      </w:r>
      <w:r w:rsidR="00DD7D97" w:rsidRPr="00C91DF3">
        <w:rPr>
          <w:rFonts w:ascii="Times New Roman" w:hAnsi="Times New Roman" w:cs="Times New Roman"/>
          <w:sz w:val="24"/>
          <w:szCs w:val="24"/>
        </w:rPr>
        <w:t xml:space="preserve">), and </w:t>
      </w:r>
      <w:proofErr w:type="spellStart"/>
      <w:r w:rsidR="00DD7D97" w:rsidRPr="00C91DF3">
        <w:rPr>
          <w:rFonts w:ascii="Times New Roman" w:hAnsi="Times New Roman" w:cs="Times New Roman"/>
          <w:sz w:val="24"/>
          <w:szCs w:val="24"/>
        </w:rPr>
        <w:t>Reichelstein</w:t>
      </w:r>
      <w:proofErr w:type="spellEnd"/>
      <w:r w:rsidR="00DD7D97" w:rsidRPr="00C91DF3">
        <w:rPr>
          <w:rFonts w:ascii="Times New Roman" w:hAnsi="Times New Roman" w:cs="Times New Roman"/>
          <w:sz w:val="24"/>
          <w:szCs w:val="24"/>
        </w:rPr>
        <w:t>, 2000)</w:t>
      </w:r>
      <w:r w:rsidR="004A40D5" w:rsidRPr="00C91DF3">
        <w:rPr>
          <w:rFonts w:ascii="Times New Roman" w:hAnsi="Times New Roman" w:cs="Times New Roman"/>
          <w:sz w:val="24"/>
          <w:szCs w:val="24"/>
        </w:rPr>
        <w:t>.</w:t>
      </w:r>
    </w:p>
    <w:p w:rsidR="00E2213C" w:rsidRDefault="00B3570C" w:rsidP="00042A35">
      <w:pPr>
        <w:spacing w:before="240"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addition to the managerial incentives discussed above, </w:t>
      </w:r>
      <w:r w:rsidR="00FC209C">
        <w:rPr>
          <w:rFonts w:ascii="Times New Roman" w:hAnsi="Times New Roman" w:cs="Times New Roman"/>
          <w:sz w:val="24"/>
          <w:szCs w:val="24"/>
        </w:rPr>
        <w:t>executives</w:t>
      </w:r>
      <w:r w:rsidR="005D56FF">
        <w:rPr>
          <w:rFonts w:ascii="Times New Roman" w:hAnsi="Times New Roman" w:cs="Times New Roman"/>
          <w:sz w:val="24"/>
          <w:szCs w:val="24"/>
        </w:rPr>
        <w:t xml:space="preserve"> </w:t>
      </w:r>
      <w:r w:rsidR="00751FEA" w:rsidRPr="00455D12">
        <w:rPr>
          <w:rFonts w:ascii="Times New Roman" w:hAnsi="Times New Roman" w:cs="Times New Roman"/>
          <w:sz w:val="24"/>
          <w:szCs w:val="24"/>
        </w:rPr>
        <w:t xml:space="preserve">can deviate from an optimal policy </w:t>
      </w:r>
      <w:r w:rsidR="00FC209C">
        <w:rPr>
          <w:rFonts w:ascii="Times New Roman" w:hAnsi="Times New Roman" w:cs="Times New Roman"/>
          <w:sz w:val="24"/>
          <w:szCs w:val="24"/>
        </w:rPr>
        <w:t xml:space="preserve">if by doing so they can </w:t>
      </w:r>
      <w:r w:rsidR="00751FEA" w:rsidRPr="00455D12">
        <w:rPr>
          <w:rFonts w:ascii="Times New Roman" w:hAnsi="Times New Roman" w:cs="Times New Roman"/>
          <w:sz w:val="24"/>
          <w:szCs w:val="24"/>
        </w:rPr>
        <w:t xml:space="preserve">increase the value of their </w:t>
      </w:r>
      <w:r w:rsidR="00751FEA">
        <w:rPr>
          <w:rFonts w:ascii="Times New Roman" w:hAnsi="Times New Roman" w:cs="Times New Roman"/>
          <w:sz w:val="24"/>
          <w:szCs w:val="24"/>
        </w:rPr>
        <w:t xml:space="preserve">compensation package. </w:t>
      </w:r>
      <w:r w:rsidR="00FC209C">
        <w:rPr>
          <w:rFonts w:ascii="Times New Roman" w:hAnsi="Times New Roman" w:cs="Times New Roman"/>
          <w:sz w:val="24"/>
          <w:szCs w:val="24"/>
        </w:rPr>
        <w:t xml:space="preserve">For example, </w:t>
      </w:r>
      <w:proofErr w:type="spellStart"/>
      <w:r w:rsidR="003D166F" w:rsidRPr="003D166F">
        <w:rPr>
          <w:rFonts w:ascii="Times New Roman" w:hAnsi="Times New Roman" w:cs="Times New Roman"/>
          <w:sz w:val="24"/>
          <w:szCs w:val="24"/>
        </w:rPr>
        <w:t>Guay</w:t>
      </w:r>
      <w:proofErr w:type="spellEnd"/>
      <w:r w:rsidR="003D166F" w:rsidRPr="003D166F">
        <w:rPr>
          <w:rFonts w:ascii="Times New Roman" w:hAnsi="Times New Roman" w:cs="Times New Roman"/>
          <w:sz w:val="24"/>
          <w:szCs w:val="24"/>
        </w:rPr>
        <w:t xml:space="preserve"> (1999) and </w:t>
      </w:r>
      <w:r w:rsidR="00455D12" w:rsidRPr="008C288D">
        <w:rPr>
          <w:rFonts w:ascii="Times New Roman" w:hAnsi="Times New Roman" w:cs="Times New Roman"/>
          <w:sz w:val="24"/>
          <w:szCs w:val="24"/>
        </w:rPr>
        <w:t>Coles, Daniel, and Naveen (2006)</w:t>
      </w:r>
      <w:r w:rsidR="00455D12">
        <w:rPr>
          <w:rFonts w:ascii="Times New Roman" w:hAnsi="Times New Roman" w:cs="Times New Roman"/>
          <w:sz w:val="24"/>
          <w:szCs w:val="24"/>
        </w:rPr>
        <w:t xml:space="preserve"> demonstrate that m</w:t>
      </w:r>
      <w:r w:rsidR="008C288D" w:rsidRPr="008C288D">
        <w:rPr>
          <w:rFonts w:ascii="Times New Roman" w:hAnsi="Times New Roman" w:cs="Times New Roman"/>
          <w:sz w:val="24"/>
          <w:szCs w:val="24"/>
        </w:rPr>
        <w:t xml:space="preserve">anagers </w:t>
      </w:r>
      <w:r w:rsidR="005D56FF">
        <w:rPr>
          <w:rFonts w:ascii="Times New Roman" w:hAnsi="Times New Roman" w:cs="Times New Roman"/>
          <w:sz w:val="24"/>
          <w:szCs w:val="24"/>
        </w:rPr>
        <w:t>will prefer</w:t>
      </w:r>
      <w:r w:rsidR="00E50980">
        <w:rPr>
          <w:rFonts w:ascii="Times New Roman" w:hAnsi="Times New Roman" w:cs="Times New Roman"/>
          <w:sz w:val="24"/>
          <w:szCs w:val="24"/>
        </w:rPr>
        <w:t xml:space="preserve"> highly risky investments </w:t>
      </w:r>
      <w:r w:rsidR="008C288D" w:rsidRPr="008C288D">
        <w:rPr>
          <w:rFonts w:ascii="Times New Roman" w:hAnsi="Times New Roman" w:cs="Times New Roman"/>
          <w:sz w:val="24"/>
          <w:szCs w:val="24"/>
        </w:rPr>
        <w:t>if the value of their compensation package, particularly stock-options holdings, is positively related to firm risk</w:t>
      </w:r>
      <w:r w:rsidR="008C288D">
        <w:rPr>
          <w:rFonts w:ascii="Times New Roman" w:hAnsi="Times New Roman" w:cs="Times New Roman"/>
          <w:sz w:val="24"/>
          <w:szCs w:val="24"/>
        </w:rPr>
        <w:t xml:space="preserve">. </w:t>
      </w:r>
      <w:r w:rsidR="00AD7D29">
        <w:rPr>
          <w:rFonts w:ascii="Times New Roman" w:hAnsi="Times New Roman" w:cs="Times New Roman"/>
          <w:sz w:val="24"/>
          <w:szCs w:val="24"/>
        </w:rPr>
        <w:t xml:space="preserve">Jensen’s (1986) empire-building hypothesis discussed above suggests that managers </w:t>
      </w:r>
      <w:r w:rsidR="00FB79D9">
        <w:rPr>
          <w:rFonts w:ascii="Times New Roman" w:hAnsi="Times New Roman" w:cs="Times New Roman"/>
          <w:sz w:val="24"/>
          <w:szCs w:val="24"/>
        </w:rPr>
        <w:t>tend to engage in wasteful investments that increase firm size (e.g., takeovers and acquisitions)</w:t>
      </w:r>
      <w:r w:rsidR="00AD7D29">
        <w:rPr>
          <w:rFonts w:ascii="Times New Roman" w:hAnsi="Times New Roman" w:cs="Times New Roman"/>
          <w:sz w:val="24"/>
          <w:szCs w:val="24"/>
        </w:rPr>
        <w:t xml:space="preserve"> to enjoy the </w:t>
      </w:r>
      <w:r w:rsidR="00AD7D29" w:rsidRPr="00AD7D29">
        <w:rPr>
          <w:rFonts w:ascii="Times New Roman" w:hAnsi="Times New Roman" w:cs="Times New Roman"/>
          <w:sz w:val="24"/>
          <w:szCs w:val="24"/>
        </w:rPr>
        <w:t>higher compensation that</w:t>
      </w:r>
      <w:r w:rsidR="00AD7D29">
        <w:rPr>
          <w:rFonts w:ascii="Times New Roman" w:hAnsi="Times New Roman" w:cs="Times New Roman"/>
          <w:sz w:val="24"/>
          <w:szCs w:val="24"/>
        </w:rPr>
        <w:t xml:space="preserve"> </w:t>
      </w:r>
      <w:r w:rsidR="00AD7D29" w:rsidRPr="00AD7D29">
        <w:rPr>
          <w:rFonts w:ascii="Times New Roman" w:hAnsi="Times New Roman" w:cs="Times New Roman"/>
          <w:sz w:val="24"/>
          <w:szCs w:val="24"/>
        </w:rPr>
        <w:t>comes with managing a larger firm</w:t>
      </w:r>
      <w:r w:rsidR="00AD7D29">
        <w:rPr>
          <w:rFonts w:ascii="Times New Roman" w:hAnsi="Times New Roman" w:cs="Times New Roman"/>
          <w:sz w:val="24"/>
          <w:szCs w:val="24"/>
        </w:rPr>
        <w:t xml:space="preserve">. </w:t>
      </w:r>
      <w:proofErr w:type="spellStart"/>
      <w:r w:rsidR="00751FEA" w:rsidRPr="00751FEA">
        <w:rPr>
          <w:rFonts w:ascii="Times New Roman" w:hAnsi="Times New Roman" w:cs="Times New Roman"/>
          <w:sz w:val="24"/>
          <w:szCs w:val="24"/>
        </w:rPr>
        <w:t>Sundaram</w:t>
      </w:r>
      <w:proofErr w:type="spellEnd"/>
      <w:r w:rsidR="00751FEA" w:rsidRPr="00751FEA">
        <w:rPr>
          <w:rFonts w:ascii="Times New Roman" w:hAnsi="Times New Roman" w:cs="Times New Roman"/>
          <w:sz w:val="24"/>
          <w:szCs w:val="24"/>
        </w:rPr>
        <w:t xml:space="preserve"> and </w:t>
      </w:r>
      <w:proofErr w:type="spellStart"/>
      <w:r w:rsidR="00751FEA" w:rsidRPr="00751FEA">
        <w:rPr>
          <w:rFonts w:ascii="Times New Roman" w:hAnsi="Times New Roman" w:cs="Times New Roman"/>
          <w:sz w:val="24"/>
          <w:szCs w:val="24"/>
        </w:rPr>
        <w:t>Yermack</w:t>
      </w:r>
      <w:proofErr w:type="spellEnd"/>
      <w:r w:rsidR="00751FEA" w:rsidRPr="00751FEA">
        <w:rPr>
          <w:rFonts w:ascii="Times New Roman" w:hAnsi="Times New Roman" w:cs="Times New Roman"/>
          <w:sz w:val="24"/>
          <w:szCs w:val="24"/>
        </w:rPr>
        <w:t xml:space="preserve"> (2007) show that managers holding large pensions tend to pursue strategies that reduce overall firm risk in order to lower the likelihood of default that risks pension payouts.  </w:t>
      </w:r>
    </w:p>
    <w:p w:rsidR="006B7125" w:rsidRDefault="00361220" w:rsidP="00042A35">
      <w:pPr>
        <w:spacing w:before="240" w:after="0" w:line="480" w:lineRule="auto"/>
        <w:ind w:firstLine="360"/>
        <w:jc w:val="both"/>
        <w:rPr>
          <w:rFonts w:ascii="Times New Roman" w:hAnsi="Times New Roman" w:cs="Times New Roman"/>
          <w:sz w:val="24"/>
          <w:szCs w:val="24"/>
        </w:rPr>
      </w:pPr>
      <w:r w:rsidRPr="006A20E8">
        <w:rPr>
          <w:rFonts w:ascii="Times New Roman" w:hAnsi="Times New Roman" w:cs="Times New Roman"/>
          <w:sz w:val="24"/>
          <w:szCs w:val="24"/>
        </w:rPr>
        <w:lastRenderedPageBreak/>
        <w:t xml:space="preserve">Agency </w:t>
      </w:r>
      <w:r w:rsidR="00197E0E" w:rsidRPr="006A20E8">
        <w:rPr>
          <w:rFonts w:ascii="Times New Roman" w:hAnsi="Times New Roman" w:cs="Times New Roman"/>
          <w:sz w:val="24"/>
          <w:szCs w:val="24"/>
        </w:rPr>
        <w:t xml:space="preserve">theory has also been </w:t>
      </w:r>
      <w:r w:rsidR="006A20E8" w:rsidRPr="006A20E8">
        <w:rPr>
          <w:rFonts w:ascii="Times New Roman" w:hAnsi="Times New Roman" w:cs="Times New Roman"/>
          <w:sz w:val="24"/>
          <w:szCs w:val="24"/>
        </w:rPr>
        <w:t xml:space="preserve">linked </w:t>
      </w:r>
      <w:r w:rsidR="006A20E8">
        <w:rPr>
          <w:rFonts w:ascii="Times New Roman" w:hAnsi="Times New Roman" w:cs="Times New Roman"/>
          <w:sz w:val="24"/>
          <w:szCs w:val="24"/>
        </w:rPr>
        <w:t>to</w:t>
      </w:r>
      <w:r w:rsidR="00197E0E" w:rsidRPr="006A20E8">
        <w:rPr>
          <w:rFonts w:ascii="Times New Roman" w:hAnsi="Times New Roman" w:cs="Times New Roman"/>
          <w:sz w:val="24"/>
          <w:szCs w:val="24"/>
        </w:rPr>
        <w:t xml:space="preserve"> a firm’s</w:t>
      </w:r>
      <w:r w:rsidR="005A4147" w:rsidRPr="006A20E8">
        <w:rPr>
          <w:rFonts w:ascii="Times New Roman" w:hAnsi="Times New Roman" w:cs="Times New Roman"/>
          <w:sz w:val="24"/>
          <w:szCs w:val="24"/>
        </w:rPr>
        <w:t xml:space="preserve"> dividend policy.</w:t>
      </w:r>
      <w:r w:rsidR="005A4147">
        <w:rPr>
          <w:rFonts w:ascii="Times New Roman" w:hAnsi="Times New Roman" w:cs="Times New Roman"/>
          <w:b/>
          <w:sz w:val="24"/>
          <w:szCs w:val="24"/>
        </w:rPr>
        <w:t xml:space="preserve"> </w:t>
      </w:r>
      <w:r w:rsidR="00782B29" w:rsidRPr="00782B29">
        <w:rPr>
          <w:rFonts w:ascii="Times New Roman" w:hAnsi="Times New Roman" w:cs="Times New Roman"/>
          <w:sz w:val="24"/>
          <w:szCs w:val="24"/>
        </w:rPr>
        <w:t xml:space="preserve">Since Black (1976), </w:t>
      </w:r>
      <w:r w:rsidR="006E021C">
        <w:rPr>
          <w:rFonts w:ascii="Times New Roman" w:hAnsi="Times New Roman" w:cs="Times New Roman"/>
          <w:sz w:val="24"/>
          <w:szCs w:val="24"/>
        </w:rPr>
        <w:t>many</w:t>
      </w:r>
      <w:r w:rsidR="00782B29" w:rsidRPr="00782B29">
        <w:rPr>
          <w:rFonts w:ascii="Times New Roman" w:hAnsi="Times New Roman" w:cs="Times New Roman"/>
          <w:sz w:val="24"/>
          <w:szCs w:val="24"/>
        </w:rPr>
        <w:t xml:space="preserve"> research</w:t>
      </w:r>
      <w:r w:rsidR="006E021C">
        <w:rPr>
          <w:rFonts w:ascii="Times New Roman" w:hAnsi="Times New Roman" w:cs="Times New Roman"/>
          <w:sz w:val="24"/>
          <w:szCs w:val="24"/>
        </w:rPr>
        <w:t>ers</w:t>
      </w:r>
      <w:r w:rsidR="00782B29" w:rsidRPr="00782B29">
        <w:rPr>
          <w:rFonts w:ascii="Times New Roman" w:hAnsi="Times New Roman" w:cs="Times New Roman"/>
          <w:sz w:val="24"/>
          <w:szCs w:val="24"/>
        </w:rPr>
        <w:t xml:space="preserve"> ha</w:t>
      </w:r>
      <w:r w:rsidR="006E021C">
        <w:rPr>
          <w:rFonts w:ascii="Times New Roman" w:hAnsi="Times New Roman" w:cs="Times New Roman"/>
          <w:sz w:val="24"/>
          <w:szCs w:val="24"/>
        </w:rPr>
        <w:t>ve</w:t>
      </w:r>
      <w:r w:rsidR="00782B29" w:rsidRPr="00782B29">
        <w:rPr>
          <w:rFonts w:ascii="Times New Roman" w:hAnsi="Times New Roman" w:cs="Times New Roman"/>
          <w:sz w:val="24"/>
          <w:szCs w:val="24"/>
        </w:rPr>
        <w:t xml:space="preserve"> </w:t>
      </w:r>
      <w:r w:rsidR="006E021C">
        <w:rPr>
          <w:rFonts w:ascii="Times New Roman" w:hAnsi="Times New Roman" w:cs="Times New Roman"/>
          <w:sz w:val="24"/>
          <w:szCs w:val="24"/>
        </w:rPr>
        <w:t>tried to solve</w:t>
      </w:r>
      <w:r w:rsidR="00782B29">
        <w:rPr>
          <w:rFonts w:ascii="Times New Roman" w:hAnsi="Times New Roman" w:cs="Times New Roman"/>
          <w:sz w:val="24"/>
          <w:szCs w:val="24"/>
        </w:rPr>
        <w:t xml:space="preserve"> </w:t>
      </w:r>
      <w:r w:rsidR="00665103">
        <w:rPr>
          <w:rFonts w:ascii="Times New Roman" w:hAnsi="Times New Roman" w:cs="Times New Roman"/>
          <w:sz w:val="24"/>
          <w:szCs w:val="24"/>
        </w:rPr>
        <w:t xml:space="preserve">two aspects of </w:t>
      </w:r>
      <w:r w:rsidR="00FB79D9">
        <w:rPr>
          <w:rFonts w:ascii="Times New Roman" w:hAnsi="Times New Roman" w:cs="Times New Roman"/>
          <w:sz w:val="24"/>
          <w:szCs w:val="24"/>
        </w:rPr>
        <w:t xml:space="preserve">the </w:t>
      </w:r>
      <w:r w:rsidR="00782B29">
        <w:rPr>
          <w:rFonts w:ascii="Times New Roman" w:hAnsi="Times New Roman" w:cs="Times New Roman"/>
          <w:sz w:val="24"/>
          <w:szCs w:val="24"/>
        </w:rPr>
        <w:t xml:space="preserve">“dividend puzzle”: why </w:t>
      </w:r>
      <w:r w:rsidR="00850101">
        <w:rPr>
          <w:rFonts w:ascii="Times New Roman" w:hAnsi="Times New Roman" w:cs="Times New Roman"/>
          <w:sz w:val="24"/>
          <w:szCs w:val="24"/>
        </w:rPr>
        <w:t xml:space="preserve">do </w:t>
      </w:r>
      <w:r w:rsidR="00782B29">
        <w:rPr>
          <w:rFonts w:ascii="Times New Roman" w:hAnsi="Times New Roman" w:cs="Times New Roman"/>
          <w:sz w:val="24"/>
          <w:szCs w:val="24"/>
        </w:rPr>
        <w:t>only some firms pay dividends, and what determine</w:t>
      </w:r>
      <w:r w:rsidR="00BB1703">
        <w:rPr>
          <w:rFonts w:ascii="Times New Roman" w:hAnsi="Times New Roman" w:cs="Times New Roman"/>
          <w:sz w:val="24"/>
          <w:szCs w:val="24"/>
        </w:rPr>
        <w:t>s</w:t>
      </w:r>
      <w:r w:rsidR="00782B29">
        <w:rPr>
          <w:rFonts w:ascii="Times New Roman" w:hAnsi="Times New Roman" w:cs="Times New Roman"/>
          <w:sz w:val="24"/>
          <w:szCs w:val="24"/>
        </w:rPr>
        <w:t xml:space="preserve"> the level of payout?</w:t>
      </w:r>
      <w:r w:rsidR="00782B29" w:rsidRPr="00DF53E4">
        <w:rPr>
          <w:rFonts w:ascii="Times New Roman" w:hAnsi="Times New Roman" w:cs="Times New Roman"/>
          <w:sz w:val="24"/>
          <w:szCs w:val="24"/>
        </w:rPr>
        <w:t xml:space="preserve"> </w:t>
      </w:r>
      <w:r w:rsidR="0023178B" w:rsidRPr="00DF53E4">
        <w:rPr>
          <w:rFonts w:ascii="Times New Roman" w:hAnsi="Times New Roman" w:cs="Times New Roman"/>
          <w:sz w:val="24"/>
          <w:szCs w:val="24"/>
          <w:lang w:val="en-CA"/>
        </w:rPr>
        <w:fldChar w:fldCharType="begin"/>
      </w:r>
      <w:r w:rsidR="00DF53E4" w:rsidRPr="00DF53E4">
        <w:rPr>
          <w:rFonts w:ascii="Times New Roman" w:hAnsi="Times New Roman" w:cs="Times New Roman"/>
          <w:sz w:val="24"/>
          <w:szCs w:val="24"/>
          <w:lang w:val="en-CA"/>
        </w:rPr>
        <w:instrText xml:space="preserve"> SEQ CHAPTER \h \r 1</w:instrText>
      </w:r>
      <w:r w:rsidR="0023178B" w:rsidRPr="00DF53E4">
        <w:rPr>
          <w:rFonts w:ascii="Times New Roman" w:hAnsi="Times New Roman" w:cs="Times New Roman"/>
          <w:sz w:val="24"/>
          <w:szCs w:val="24"/>
          <w:lang w:val="en-CA"/>
        </w:rPr>
        <w:fldChar w:fldCharType="end"/>
      </w:r>
      <w:r w:rsidR="00DF53E4" w:rsidRPr="00DF53E4">
        <w:rPr>
          <w:rFonts w:ascii="Times New Roman" w:hAnsi="Times New Roman" w:cs="Times New Roman"/>
          <w:sz w:val="24"/>
          <w:szCs w:val="24"/>
        </w:rPr>
        <w:t xml:space="preserve">This literature is vast, so we </w:t>
      </w:r>
      <w:r w:rsidR="00814199" w:rsidRPr="00DF53E4">
        <w:rPr>
          <w:rFonts w:ascii="Times New Roman" w:hAnsi="Times New Roman" w:cs="Times New Roman"/>
          <w:sz w:val="24"/>
          <w:szCs w:val="24"/>
        </w:rPr>
        <w:t>omit discussions related to signaling, taxes, and behavioral arguments</w:t>
      </w:r>
      <w:r w:rsidR="00250EF4">
        <w:rPr>
          <w:rFonts w:ascii="Times New Roman" w:hAnsi="Times New Roman" w:cs="Times New Roman"/>
          <w:sz w:val="24"/>
          <w:szCs w:val="24"/>
        </w:rPr>
        <w:t>,</w:t>
      </w:r>
      <w:r w:rsidR="00814199" w:rsidRPr="00DF53E4">
        <w:rPr>
          <w:rFonts w:ascii="Times New Roman" w:hAnsi="Times New Roman" w:cs="Times New Roman"/>
          <w:sz w:val="24"/>
          <w:szCs w:val="24"/>
        </w:rPr>
        <w:t xml:space="preserve"> and </w:t>
      </w:r>
      <w:r w:rsidR="00DF53E4" w:rsidRPr="00DF53E4">
        <w:rPr>
          <w:rFonts w:ascii="Times New Roman" w:hAnsi="Times New Roman" w:cs="Times New Roman"/>
          <w:sz w:val="24"/>
          <w:szCs w:val="24"/>
        </w:rPr>
        <w:t>concentrate on aspects related to agency theory.</w:t>
      </w:r>
      <w:r w:rsidR="0056741A">
        <w:rPr>
          <w:rFonts w:ascii="Times New Roman" w:hAnsi="Times New Roman" w:cs="Times New Roman"/>
          <w:sz w:val="24"/>
          <w:szCs w:val="24"/>
        </w:rPr>
        <w:t xml:space="preserve"> </w:t>
      </w:r>
      <w:r w:rsidR="000C2849" w:rsidRPr="00384132">
        <w:rPr>
          <w:rFonts w:ascii="Times New Roman" w:hAnsi="Times New Roman" w:cs="Times New Roman"/>
          <w:sz w:val="24"/>
          <w:szCs w:val="24"/>
        </w:rPr>
        <w:t xml:space="preserve">Easterbrook (1984) </w:t>
      </w:r>
      <w:r w:rsidR="00FB79D9">
        <w:rPr>
          <w:rFonts w:ascii="Times New Roman" w:hAnsi="Times New Roman" w:cs="Times New Roman"/>
          <w:sz w:val="24"/>
          <w:szCs w:val="24"/>
        </w:rPr>
        <w:t>suggests</w:t>
      </w:r>
      <w:r w:rsidR="000C2849" w:rsidRPr="00384132">
        <w:rPr>
          <w:rFonts w:ascii="Times New Roman" w:hAnsi="Times New Roman" w:cs="Times New Roman"/>
          <w:sz w:val="24"/>
          <w:szCs w:val="24"/>
        </w:rPr>
        <w:t xml:space="preserve"> that </w:t>
      </w:r>
      <w:r w:rsidR="00384132" w:rsidRPr="00384132">
        <w:rPr>
          <w:rFonts w:ascii="Times New Roman" w:hAnsi="Times New Roman" w:cs="Times New Roman"/>
          <w:sz w:val="24"/>
          <w:szCs w:val="24"/>
        </w:rPr>
        <w:t xml:space="preserve">persistent </w:t>
      </w:r>
      <w:r w:rsidR="008A578F" w:rsidRPr="00384132">
        <w:rPr>
          <w:rFonts w:ascii="Times New Roman" w:hAnsi="Times New Roman" w:cs="Times New Roman"/>
          <w:sz w:val="24"/>
          <w:szCs w:val="24"/>
        </w:rPr>
        <w:t>dividend</w:t>
      </w:r>
      <w:r w:rsidR="00384132" w:rsidRPr="00384132">
        <w:rPr>
          <w:rFonts w:ascii="Times New Roman" w:hAnsi="Times New Roman" w:cs="Times New Roman"/>
          <w:sz w:val="24"/>
          <w:szCs w:val="24"/>
        </w:rPr>
        <w:t xml:space="preserve"> payout</w:t>
      </w:r>
      <w:r w:rsidR="00250EF4">
        <w:rPr>
          <w:rFonts w:ascii="Times New Roman" w:hAnsi="Times New Roman" w:cs="Times New Roman"/>
          <w:sz w:val="24"/>
          <w:szCs w:val="24"/>
        </w:rPr>
        <w:t>s</w:t>
      </w:r>
      <w:r w:rsidR="008A578F" w:rsidRPr="00384132">
        <w:rPr>
          <w:rFonts w:ascii="Times New Roman" w:hAnsi="Times New Roman" w:cs="Times New Roman"/>
          <w:sz w:val="24"/>
          <w:szCs w:val="24"/>
        </w:rPr>
        <w:t xml:space="preserve"> require managers to raise external funds more </w:t>
      </w:r>
      <w:r w:rsidR="00384132" w:rsidRPr="00384132">
        <w:rPr>
          <w:rFonts w:ascii="Times New Roman" w:hAnsi="Times New Roman" w:cs="Times New Roman"/>
          <w:sz w:val="24"/>
          <w:szCs w:val="24"/>
        </w:rPr>
        <w:t>often</w:t>
      </w:r>
      <w:r w:rsidR="00895C9D">
        <w:rPr>
          <w:rFonts w:ascii="Times New Roman" w:hAnsi="Times New Roman" w:cs="Times New Roman"/>
          <w:sz w:val="24"/>
          <w:szCs w:val="24"/>
        </w:rPr>
        <w:t>,</w:t>
      </w:r>
      <w:r w:rsidR="00384132" w:rsidRPr="00384132">
        <w:rPr>
          <w:rFonts w:ascii="Times New Roman" w:hAnsi="Times New Roman" w:cs="Times New Roman"/>
          <w:sz w:val="24"/>
          <w:szCs w:val="24"/>
        </w:rPr>
        <w:t xml:space="preserve"> and </w:t>
      </w:r>
      <w:r w:rsidR="00895C9D">
        <w:rPr>
          <w:rFonts w:ascii="Times New Roman" w:hAnsi="Times New Roman" w:cs="Times New Roman"/>
          <w:sz w:val="24"/>
          <w:szCs w:val="24"/>
        </w:rPr>
        <w:t xml:space="preserve">thus managers </w:t>
      </w:r>
      <w:r w:rsidR="00384132" w:rsidRPr="00384132">
        <w:rPr>
          <w:rFonts w:ascii="Times New Roman" w:hAnsi="Times New Roman" w:cs="Times New Roman"/>
          <w:sz w:val="24"/>
          <w:szCs w:val="24"/>
        </w:rPr>
        <w:t xml:space="preserve">are better </w:t>
      </w:r>
      <w:r w:rsidR="008A578F" w:rsidRPr="00384132">
        <w:rPr>
          <w:rFonts w:ascii="Times New Roman" w:hAnsi="Times New Roman" w:cs="Times New Roman"/>
          <w:sz w:val="24"/>
          <w:szCs w:val="24"/>
        </w:rPr>
        <w:t xml:space="preserve">monitored by </w:t>
      </w:r>
      <w:r w:rsidR="00384132" w:rsidRPr="00384132">
        <w:rPr>
          <w:rFonts w:ascii="Times New Roman" w:hAnsi="Times New Roman" w:cs="Times New Roman"/>
          <w:sz w:val="24"/>
          <w:szCs w:val="24"/>
        </w:rPr>
        <w:t>the capital markets.</w:t>
      </w:r>
      <w:r w:rsidR="008A578F" w:rsidRPr="00384132">
        <w:rPr>
          <w:rFonts w:ascii="Times New Roman" w:hAnsi="Times New Roman" w:cs="Times New Roman"/>
          <w:b/>
          <w:sz w:val="24"/>
          <w:szCs w:val="24"/>
        </w:rPr>
        <w:t xml:space="preserve"> </w:t>
      </w:r>
      <w:r w:rsidR="00384132" w:rsidRPr="00B3575D">
        <w:rPr>
          <w:rFonts w:ascii="Times New Roman" w:hAnsi="Times New Roman" w:cs="Times New Roman"/>
          <w:sz w:val="24"/>
          <w:szCs w:val="24"/>
        </w:rPr>
        <w:t>Jensen (1986) argues that paying dividends reduces the firm's discretionary free cash flow that could</w:t>
      </w:r>
      <w:r w:rsidR="00DF53E4">
        <w:rPr>
          <w:rFonts w:ascii="Times New Roman" w:hAnsi="Times New Roman" w:cs="Times New Roman"/>
          <w:sz w:val="24"/>
          <w:szCs w:val="24"/>
        </w:rPr>
        <w:t xml:space="preserve"> otherwise</w:t>
      </w:r>
      <w:r w:rsidR="00384132" w:rsidRPr="00B3575D">
        <w:rPr>
          <w:rFonts w:ascii="Times New Roman" w:hAnsi="Times New Roman" w:cs="Times New Roman"/>
          <w:sz w:val="24"/>
          <w:szCs w:val="24"/>
        </w:rPr>
        <w:t xml:space="preserve"> </w:t>
      </w:r>
      <w:r w:rsidR="00B3575D" w:rsidRPr="00B3575D">
        <w:rPr>
          <w:rFonts w:ascii="Times New Roman" w:hAnsi="Times New Roman" w:cs="Times New Roman"/>
          <w:sz w:val="24"/>
          <w:szCs w:val="24"/>
        </w:rPr>
        <w:t xml:space="preserve">be </w:t>
      </w:r>
      <w:r w:rsidR="00DF53E4">
        <w:rPr>
          <w:rFonts w:ascii="Times New Roman" w:hAnsi="Times New Roman" w:cs="Times New Roman"/>
          <w:sz w:val="24"/>
          <w:szCs w:val="24"/>
        </w:rPr>
        <w:t xml:space="preserve">deployed </w:t>
      </w:r>
      <w:r w:rsidR="00B3575D" w:rsidRPr="00B3575D">
        <w:rPr>
          <w:rFonts w:ascii="Times New Roman" w:hAnsi="Times New Roman" w:cs="Times New Roman"/>
          <w:sz w:val="24"/>
          <w:szCs w:val="24"/>
        </w:rPr>
        <w:t xml:space="preserve">by firm managers </w:t>
      </w:r>
      <w:r w:rsidR="00DF18A3">
        <w:rPr>
          <w:rFonts w:ascii="Times New Roman" w:hAnsi="Times New Roman" w:cs="Times New Roman"/>
          <w:sz w:val="24"/>
          <w:szCs w:val="24"/>
        </w:rPr>
        <w:t>for</w:t>
      </w:r>
      <w:r w:rsidR="00B3575D" w:rsidRPr="00B3575D">
        <w:rPr>
          <w:rFonts w:ascii="Times New Roman" w:hAnsi="Times New Roman" w:cs="Times New Roman"/>
          <w:sz w:val="24"/>
          <w:szCs w:val="24"/>
        </w:rPr>
        <w:t xml:space="preserve"> their benefits.</w:t>
      </w:r>
      <w:r w:rsidR="00895C9D">
        <w:rPr>
          <w:rFonts w:ascii="Times New Roman" w:hAnsi="Times New Roman" w:cs="Times New Roman"/>
          <w:sz w:val="24"/>
          <w:szCs w:val="24"/>
        </w:rPr>
        <w:t xml:space="preserve"> </w:t>
      </w:r>
      <w:proofErr w:type="spellStart"/>
      <w:r w:rsidR="0033761F" w:rsidRPr="0033761F">
        <w:rPr>
          <w:rFonts w:ascii="Times New Roman" w:hAnsi="Times New Roman" w:cs="Times New Roman"/>
          <w:sz w:val="24"/>
          <w:szCs w:val="24"/>
        </w:rPr>
        <w:t>Rozeff</w:t>
      </w:r>
      <w:proofErr w:type="spellEnd"/>
      <w:r w:rsidR="0033761F" w:rsidRPr="0033761F">
        <w:rPr>
          <w:rFonts w:ascii="Times New Roman" w:hAnsi="Times New Roman" w:cs="Times New Roman"/>
          <w:sz w:val="24"/>
          <w:szCs w:val="24"/>
        </w:rPr>
        <w:t xml:space="preserve"> (1982) develops a model </w:t>
      </w:r>
      <w:r w:rsidR="005863AF">
        <w:rPr>
          <w:rFonts w:ascii="Times New Roman" w:hAnsi="Times New Roman" w:cs="Times New Roman"/>
          <w:sz w:val="24"/>
          <w:szCs w:val="24"/>
        </w:rPr>
        <w:t xml:space="preserve">showing that </w:t>
      </w:r>
      <w:r w:rsidR="00FB79D9">
        <w:rPr>
          <w:rFonts w:ascii="Times New Roman" w:hAnsi="Times New Roman" w:cs="Times New Roman"/>
          <w:sz w:val="24"/>
          <w:szCs w:val="24"/>
        </w:rPr>
        <w:t xml:space="preserve">an </w:t>
      </w:r>
      <w:r w:rsidR="005863AF">
        <w:rPr>
          <w:rFonts w:ascii="Times New Roman" w:hAnsi="Times New Roman" w:cs="Times New Roman"/>
          <w:sz w:val="24"/>
          <w:szCs w:val="24"/>
        </w:rPr>
        <w:t>optimal dividend payout ratio minimize</w:t>
      </w:r>
      <w:r w:rsidR="00DA419F">
        <w:rPr>
          <w:rFonts w:ascii="Times New Roman" w:hAnsi="Times New Roman" w:cs="Times New Roman"/>
          <w:sz w:val="24"/>
          <w:szCs w:val="24"/>
        </w:rPr>
        <w:t>s</w:t>
      </w:r>
      <w:r w:rsidR="005863AF">
        <w:rPr>
          <w:rFonts w:ascii="Times New Roman" w:hAnsi="Times New Roman" w:cs="Times New Roman"/>
          <w:sz w:val="24"/>
          <w:szCs w:val="24"/>
        </w:rPr>
        <w:t xml:space="preserve"> the sum of agency costs and transaction costs. </w:t>
      </w:r>
      <w:proofErr w:type="spellStart"/>
      <w:r w:rsidR="00DA419F">
        <w:rPr>
          <w:rFonts w:ascii="Times New Roman" w:hAnsi="Times New Roman" w:cs="Times New Roman"/>
          <w:sz w:val="24"/>
          <w:szCs w:val="24"/>
        </w:rPr>
        <w:t>Fluck</w:t>
      </w:r>
      <w:proofErr w:type="spellEnd"/>
      <w:r w:rsidR="00DA419F">
        <w:rPr>
          <w:rFonts w:ascii="Times New Roman" w:hAnsi="Times New Roman" w:cs="Times New Roman"/>
          <w:sz w:val="24"/>
          <w:szCs w:val="24"/>
        </w:rPr>
        <w:t xml:space="preserve"> (1998) </w:t>
      </w:r>
      <w:r w:rsidR="00DA419F" w:rsidRPr="00DA419F">
        <w:rPr>
          <w:rFonts w:ascii="Times New Roman" w:hAnsi="Times New Roman" w:cs="Times New Roman"/>
          <w:sz w:val="24"/>
          <w:szCs w:val="24"/>
        </w:rPr>
        <w:t xml:space="preserve">and Myers (2000) </w:t>
      </w:r>
      <w:r w:rsidR="00DA419F">
        <w:rPr>
          <w:rFonts w:ascii="Times New Roman" w:hAnsi="Times New Roman" w:cs="Times New Roman"/>
          <w:sz w:val="24"/>
          <w:szCs w:val="24"/>
        </w:rPr>
        <w:t>present</w:t>
      </w:r>
      <w:r w:rsidR="00DA419F" w:rsidRPr="00DA419F">
        <w:rPr>
          <w:rFonts w:ascii="Times New Roman" w:hAnsi="Times New Roman" w:cs="Times New Roman"/>
          <w:sz w:val="24"/>
          <w:szCs w:val="24"/>
        </w:rPr>
        <w:t xml:space="preserve"> agency-theoretic models of dividend behavior where</w:t>
      </w:r>
      <w:r w:rsidR="00DA419F">
        <w:rPr>
          <w:rFonts w:ascii="Times New Roman" w:hAnsi="Times New Roman" w:cs="Times New Roman"/>
          <w:sz w:val="24"/>
          <w:szCs w:val="24"/>
        </w:rPr>
        <w:t xml:space="preserve"> </w:t>
      </w:r>
      <w:r w:rsidR="00DA419F" w:rsidRPr="00DA419F">
        <w:rPr>
          <w:rFonts w:ascii="Times New Roman" w:hAnsi="Times New Roman" w:cs="Times New Roman"/>
          <w:sz w:val="24"/>
          <w:szCs w:val="24"/>
        </w:rPr>
        <w:t>managers pay dividends in order to avoid disciplining action</w:t>
      </w:r>
      <w:r w:rsidR="00DA419F">
        <w:rPr>
          <w:rFonts w:ascii="Times New Roman" w:hAnsi="Times New Roman" w:cs="Times New Roman"/>
          <w:sz w:val="24"/>
          <w:szCs w:val="24"/>
        </w:rPr>
        <w:t>s</w:t>
      </w:r>
      <w:r w:rsidR="00DA419F" w:rsidRPr="00DA419F">
        <w:rPr>
          <w:rFonts w:ascii="Times New Roman" w:hAnsi="Times New Roman" w:cs="Times New Roman"/>
          <w:sz w:val="24"/>
          <w:szCs w:val="24"/>
        </w:rPr>
        <w:t xml:space="preserve"> by </w:t>
      </w:r>
      <w:r w:rsidR="00DA419F">
        <w:rPr>
          <w:rFonts w:ascii="Times New Roman" w:hAnsi="Times New Roman" w:cs="Times New Roman"/>
          <w:sz w:val="24"/>
          <w:szCs w:val="24"/>
        </w:rPr>
        <w:t xml:space="preserve">outside </w:t>
      </w:r>
      <w:r w:rsidR="00DA419F" w:rsidRPr="00DA419F">
        <w:rPr>
          <w:rFonts w:ascii="Times New Roman" w:hAnsi="Times New Roman" w:cs="Times New Roman"/>
          <w:sz w:val="24"/>
          <w:szCs w:val="24"/>
        </w:rPr>
        <w:t>shareholders.</w:t>
      </w:r>
    </w:p>
    <w:p w:rsidR="006B7125" w:rsidRDefault="00437756" w:rsidP="00042A35">
      <w:pPr>
        <w:spacing w:before="240" w:after="0" w:line="480" w:lineRule="auto"/>
        <w:ind w:firstLine="360"/>
        <w:jc w:val="both"/>
        <w:rPr>
          <w:rStyle w:val="st"/>
          <w:rFonts w:ascii="Times New Roman" w:hAnsi="Times New Roman" w:cs="Times New Roman"/>
          <w:sz w:val="24"/>
          <w:szCs w:val="24"/>
        </w:rPr>
      </w:pPr>
      <w:r>
        <w:rPr>
          <w:rFonts w:ascii="Times New Roman" w:hAnsi="Times New Roman" w:cs="Times New Roman"/>
          <w:sz w:val="24"/>
          <w:szCs w:val="24"/>
        </w:rPr>
        <w:t>Other studies</w:t>
      </w:r>
      <w:r w:rsidR="00952F28">
        <w:rPr>
          <w:rFonts w:ascii="Times New Roman" w:hAnsi="Times New Roman" w:cs="Times New Roman"/>
          <w:sz w:val="24"/>
          <w:szCs w:val="24"/>
        </w:rPr>
        <w:t xml:space="preserve"> </w:t>
      </w:r>
      <w:r>
        <w:rPr>
          <w:rFonts w:ascii="Times New Roman" w:hAnsi="Times New Roman" w:cs="Times New Roman"/>
          <w:sz w:val="24"/>
          <w:szCs w:val="24"/>
        </w:rPr>
        <w:t xml:space="preserve">show that compensation considerations are present in the dividend policies chosen by managers. </w:t>
      </w:r>
      <w:proofErr w:type="spellStart"/>
      <w:r w:rsidR="00A80DF4" w:rsidRPr="00A80DF4">
        <w:rPr>
          <w:rFonts w:ascii="Times New Roman" w:hAnsi="Times New Roman" w:cs="Times New Roman"/>
          <w:sz w:val="24"/>
          <w:szCs w:val="24"/>
        </w:rPr>
        <w:t>Lewellen</w:t>
      </w:r>
      <w:proofErr w:type="spellEnd"/>
      <w:r w:rsidR="00A80DF4" w:rsidRPr="00A80DF4">
        <w:rPr>
          <w:rFonts w:ascii="Times New Roman" w:hAnsi="Times New Roman" w:cs="Times New Roman"/>
          <w:sz w:val="24"/>
          <w:szCs w:val="24"/>
        </w:rPr>
        <w:t xml:space="preserve">, </w:t>
      </w:r>
      <w:proofErr w:type="spellStart"/>
      <w:r w:rsidR="00A80DF4" w:rsidRPr="00A80DF4">
        <w:rPr>
          <w:rFonts w:ascii="Times New Roman" w:hAnsi="Times New Roman" w:cs="Times New Roman"/>
          <w:sz w:val="24"/>
          <w:szCs w:val="24"/>
        </w:rPr>
        <w:t>Loderer</w:t>
      </w:r>
      <w:proofErr w:type="spellEnd"/>
      <w:r w:rsidR="00A80DF4" w:rsidRPr="00A80DF4">
        <w:rPr>
          <w:rFonts w:ascii="Times New Roman" w:hAnsi="Times New Roman" w:cs="Times New Roman"/>
          <w:sz w:val="24"/>
          <w:szCs w:val="24"/>
        </w:rPr>
        <w:t xml:space="preserve">, </w:t>
      </w:r>
      <w:r w:rsidR="00A80DF4">
        <w:rPr>
          <w:rFonts w:ascii="Times New Roman" w:hAnsi="Times New Roman" w:cs="Times New Roman"/>
          <w:sz w:val="24"/>
          <w:szCs w:val="24"/>
        </w:rPr>
        <w:t xml:space="preserve">and Martin </w:t>
      </w:r>
      <w:r w:rsidR="00A80DF4" w:rsidRPr="00A80DF4">
        <w:rPr>
          <w:rFonts w:ascii="Times New Roman" w:hAnsi="Times New Roman" w:cs="Times New Roman"/>
          <w:sz w:val="24"/>
          <w:szCs w:val="24"/>
        </w:rPr>
        <w:t>(1987)</w:t>
      </w:r>
      <w:r w:rsidR="00A80DF4">
        <w:rPr>
          <w:rFonts w:ascii="Times New Roman" w:hAnsi="Times New Roman" w:cs="Times New Roman"/>
          <w:sz w:val="24"/>
          <w:szCs w:val="24"/>
        </w:rPr>
        <w:t xml:space="preserve"> provide evidence that the dividend payout ratio is positively related to the fraction of salary and bonus in the manager’s total compensation, and is negatively related to the fraction of equity-based compensation. </w:t>
      </w:r>
      <w:r w:rsidR="0094407B">
        <w:rPr>
          <w:rFonts w:ascii="Times New Roman" w:hAnsi="Times New Roman" w:cs="Times New Roman"/>
          <w:sz w:val="24"/>
          <w:szCs w:val="24"/>
        </w:rPr>
        <w:t xml:space="preserve">Lambert, </w:t>
      </w:r>
      <w:proofErr w:type="spellStart"/>
      <w:r w:rsidR="0094407B" w:rsidRPr="00383CAD">
        <w:rPr>
          <w:rStyle w:val="st"/>
          <w:rFonts w:ascii="Times New Roman" w:hAnsi="Times New Roman" w:cs="Times New Roman"/>
          <w:sz w:val="24"/>
          <w:szCs w:val="24"/>
        </w:rPr>
        <w:t>Lanen</w:t>
      </w:r>
      <w:proofErr w:type="spellEnd"/>
      <w:r w:rsidR="0094407B" w:rsidRPr="00383CAD">
        <w:rPr>
          <w:rStyle w:val="st"/>
          <w:rFonts w:ascii="Times New Roman" w:hAnsi="Times New Roman" w:cs="Times New Roman"/>
          <w:sz w:val="24"/>
          <w:szCs w:val="24"/>
        </w:rPr>
        <w:t xml:space="preserve">, and </w:t>
      </w:r>
      <w:proofErr w:type="spellStart"/>
      <w:r w:rsidR="0094407B" w:rsidRPr="00383CAD">
        <w:rPr>
          <w:rStyle w:val="st"/>
          <w:rFonts w:ascii="Times New Roman" w:hAnsi="Times New Roman" w:cs="Times New Roman"/>
          <w:sz w:val="24"/>
          <w:szCs w:val="24"/>
        </w:rPr>
        <w:t>Larcker</w:t>
      </w:r>
      <w:proofErr w:type="spellEnd"/>
      <w:r w:rsidR="0094407B" w:rsidRPr="00383CAD">
        <w:rPr>
          <w:rStyle w:val="st"/>
          <w:rFonts w:ascii="Times New Roman" w:hAnsi="Times New Roman" w:cs="Times New Roman"/>
          <w:sz w:val="24"/>
          <w:szCs w:val="24"/>
        </w:rPr>
        <w:t xml:space="preserve"> </w:t>
      </w:r>
      <w:r w:rsidR="0094407B">
        <w:rPr>
          <w:rStyle w:val="st"/>
          <w:rFonts w:ascii="Times New Roman" w:hAnsi="Times New Roman" w:cs="Times New Roman"/>
          <w:sz w:val="24"/>
          <w:szCs w:val="24"/>
        </w:rPr>
        <w:t>(</w:t>
      </w:r>
      <w:r w:rsidR="0094407B" w:rsidRPr="00383CAD">
        <w:rPr>
          <w:rStyle w:val="Emphasis"/>
          <w:rFonts w:ascii="Times New Roman" w:hAnsi="Times New Roman" w:cs="Times New Roman"/>
          <w:i w:val="0"/>
          <w:sz w:val="24"/>
          <w:szCs w:val="24"/>
        </w:rPr>
        <w:t>1989</w:t>
      </w:r>
      <w:r w:rsidR="0094407B">
        <w:rPr>
          <w:rStyle w:val="st"/>
          <w:rFonts w:ascii="Times New Roman" w:hAnsi="Times New Roman" w:cs="Times New Roman"/>
          <w:sz w:val="24"/>
          <w:szCs w:val="24"/>
        </w:rPr>
        <w:t xml:space="preserve">) </w:t>
      </w:r>
      <w:r>
        <w:rPr>
          <w:rStyle w:val="st"/>
          <w:rFonts w:ascii="Times New Roman" w:hAnsi="Times New Roman" w:cs="Times New Roman"/>
          <w:sz w:val="24"/>
          <w:szCs w:val="24"/>
        </w:rPr>
        <w:t>predict and find that the introduction of executive stock-option plan</w:t>
      </w:r>
      <w:r w:rsidR="00952F28">
        <w:rPr>
          <w:rStyle w:val="st"/>
          <w:rFonts w:ascii="Times New Roman" w:hAnsi="Times New Roman" w:cs="Times New Roman"/>
          <w:sz w:val="24"/>
          <w:szCs w:val="24"/>
        </w:rPr>
        <w:t>s</w:t>
      </w:r>
      <w:r>
        <w:rPr>
          <w:rStyle w:val="st"/>
          <w:rFonts w:ascii="Times New Roman" w:hAnsi="Times New Roman" w:cs="Times New Roman"/>
          <w:sz w:val="24"/>
          <w:szCs w:val="24"/>
        </w:rPr>
        <w:t xml:space="preserve"> induces managers to reduce the dividend relative to the expected level. This is because the payment of dividend reduces the value of the options. </w:t>
      </w:r>
      <w:r w:rsidR="00D8635F" w:rsidRPr="00C91DF3">
        <w:rPr>
          <w:rStyle w:val="st"/>
          <w:rFonts w:ascii="Times New Roman" w:hAnsi="Times New Roman" w:cs="Times New Roman"/>
          <w:sz w:val="24"/>
          <w:szCs w:val="24"/>
        </w:rPr>
        <w:t xml:space="preserve">White (1996) and </w:t>
      </w:r>
      <w:proofErr w:type="spellStart"/>
      <w:r w:rsidR="00D8635F" w:rsidRPr="00C91DF3">
        <w:rPr>
          <w:rStyle w:val="st"/>
          <w:rFonts w:ascii="Times New Roman" w:hAnsi="Times New Roman" w:cs="Times New Roman"/>
          <w:sz w:val="24"/>
          <w:szCs w:val="24"/>
        </w:rPr>
        <w:t>Fenn</w:t>
      </w:r>
      <w:proofErr w:type="spellEnd"/>
      <w:r w:rsidR="00D8635F" w:rsidRPr="00C91DF3">
        <w:rPr>
          <w:rStyle w:val="st"/>
          <w:rFonts w:ascii="Times New Roman" w:hAnsi="Times New Roman" w:cs="Times New Roman"/>
          <w:sz w:val="24"/>
          <w:szCs w:val="24"/>
        </w:rPr>
        <w:t xml:space="preserve"> and Liang (2001) also find a neg</w:t>
      </w:r>
      <w:r w:rsidR="000901A4" w:rsidRPr="00C91DF3">
        <w:rPr>
          <w:rStyle w:val="st"/>
          <w:rFonts w:ascii="Times New Roman" w:hAnsi="Times New Roman" w:cs="Times New Roman"/>
          <w:sz w:val="24"/>
          <w:szCs w:val="24"/>
        </w:rPr>
        <w:t>ative association between stock-</w:t>
      </w:r>
      <w:r w:rsidR="00D8635F" w:rsidRPr="00C91DF3">
        <w:rPr>
          <w:rStyle w:val="st"/>
          <w:rFonts w:ascii="Times New Roman" w:hAnsi="Times New Roman" w:cs="Times New Roman"/>
          <w:sz w:val="24"/>
          <w:szCs w:val="24"/>
        </w:rPr>
        <w:t>options and dividends.</w:t>
      </w:r>
      <w:r w:rsidR="00D8635F">
        <w:rPr>
          <w:rStyle w:val="st"/>
          <w:rFonts w:ascii="Times New Roman" w:hAnsi="Times New Roman" w:cs="Times New Roman"/>
          <w:sz w:val="24"/>
          <w:szCs w:val="24"/>
        </w:rPr>
        <w:t xml:space="preserve"> And s</w:t>
      </w:r>
      <w:r w:rsidR="00BD3561">
        <w:rPr>
          <w:rStyle w:val="st"/>
          <w:rFonts w:ascii="Times New Roman" w:hAnsi="Times New Roman" w:cs="Times New Roman"/>
          <w:sz w:val="24"/>
          <w:szCs w:val="24"/>
        </w:rPr>
        <w:t xml:space="preserve">imilarly, </w:t>
      </w:r>
      <w:r w:rsidR="00D55E93" w:rsidRPr="004860F4">
        <w:rPr>
          <w:rFonts w:ascii="Times New Roman" w:hAnsi="Times New Roman" w:cs="Times New Roman"/>
          <w:sz w:val="24"/>
          <w:szCs w:val="24"/>
        </w:rPr>
        <w:t xml:space="preserve">Brown, Liang, </w:t>
      </w:r>
      <w:r w:rsidR="00D55E93">
        <w:rPr>
          <w:rFonts w:ascii="Times New Roman" w:hAnsi="Times New Roman" w:cs="Times New Roman"/>
          <w:sz w:val="24"/>
          <w:szCs w:val="24"/>
        </w:rPr>
        <w:t xml:space="preserve">and </w:t>
      </w:r>
      <w:proofErr w:type="spellStart"/>
      <w:r w:rsidR="00D55E93">
        <w:rPr>
          <w:rFonts w:ascii="Times New Roman" w:hAnsi="Times New Roman" w:cs="Times New Roman"/>
          <w:sz w:val="24"/>
          <w:szCs w:val="24"/>
        </w:rPr>
        <w:t>Weisbenner</w:t>
      </w:r>
      <w:proofErr w:type="spellEnd"/>
      <w:r w:rsidR="00D55E93" w:rsidRPr="004860F4">
        <w:rPr>
          <w:rFonts w:ascii="Times New Roman" w:hAnsi="Times New Roman" w:cs="Times New Roman"/>
          <w:sz w:val="24"/>
          <w:szCs w:val="24"/>
        </w:rPr>
        <w:t xml:space="preserve"> </w:t>
      </w:r>
      <w:r w:rsidR="00D55E93">
        <w:rPr>
          <w:rFonts w:ascii="Times New Roman" w:hAnsi="Times New Roman" w:cs="Times New Roman"/>
          <w:sz w:val="24"/>
          <w:szCs w:val="24"/>
        </w:rPr>
        <w:t>(</w:t>
      </w:r>
      <w:r w:rsidR="00D55E93" w:rsidRPr="004860F4">
        <w:rPr>
          <w:rFonts w:ascii="Times New Roman" w:hAnsi="Times New Roman" w:cs="Times New Roman"/>
          <w:sz w:val="24"/>
          <w:szCs w:val="24"/>
        </w:rPr>
        <w:t>2007</w:t>
      </w:r>
      <w:r w:rsidR="00D55E93">
        <w:rPr>
          <w:rFonts w:ascii="Times New Roman" w:hAnsi="Times New Roman" w:cs="Times New Roman"/>
          <w:sz w:val="24"/>
          <w:szCs w:val="24"/>
        </w:rPr>
        <w:t>)</w:t>
      </w:r>
      <w:r w:rsidR="00BD3561">
        <w:rPr>
          <w:rFonts w:ascii="Times New Roman" w:hAnsi="Times New Roman" w:cs="Times New Roman"/>
          <w:sz w:val="24"/>
          <w:szCs w:val="24"/>
        </w:rPr>
        <w:t xml:space="preserve"> find that firms with large executive stock ownership initiated or increased dividends in response to the 2003 dividend tax cut, while firms with large executive stock-option holding</w:t>
      </w:r>
      <w:r w:rsidR="00DF18A3">
        <w:rPr>
          <w:rFonts w:ascii="Times New Roman" w:hAnsi="Times New Roman" w:cs="Times New Roman"/>
          <w:sz w:val="24"/>
          <w:szCs w:val="24"/>
        </w:rPr>
        <w:t>s</w:t>
      </w:r>
      <w:r w:rsidR="00BD3561">
        <w:rPr>
          <w:rFonts w:ascii="Times New Roman" w:hAnsi="Times New Roman" w:cs="Times New Roman"/>
          <w:sz w:val="24"/>
          <w:szCs w:val="24"/>
        </w:rPr>
        <w:t xml:space="preserve"> did not do so. </w:t>
      </w:r>
    </w:p>
    <w:p w:rsidR="00A53741" w:rsidRDefault="00BF34F2" w:rsidP="00042A35">
      <w:pPr>
        <w:spacing w:before="240" w:after="0" w:line="480" w:lineRule="auto"/>
        <w:ind w:firstLine="360"/>
        <w:jc w:val="both"/>
        <w:rPr>
          <w:rFonts w:ascii="Times New Roman" w:hAnsi="Times New Roman" w:cs="Times New Roman"/>
          <w:sz w:val="24"/>
          <w:szCs w:val="24"/>
        </w:rPr>
      </w:pPr>
      <w:r>
        <w:rPr>
          <w:rStyle w:val="st"/>
          <w:rFonts w:ascii="Times New Roman" w:hAnsi="Times New Roman" w:cs="Times New Roman"/>
          <w:sz w:val="24"/>
          <w:szCs w:val="24"/>
        </w:rPr>
        <w:lastRenderedPageBreak/>
        <w:t>As</w:t>
      </w:r>
      <w:r w:rsidR="00435C54">
        <w:rPr>
          <w:rStyle w:val="st"/>
          <w:rFonts w:ascii="Times New Roman" w:hAnsi="Times New Roman" w:cs="Times New Roman"/>
          <w:sz w:val="24"/>
          <w:szCs w:val="24"/>
        </w:rPr>
        <w:t xml:space="preserve"> </w:t>
      </w:r>
      <w:proofErr w:type="spellStart"/>
      <w:r w:rsidR="00435C54" w:rsidRPr="00A80DF4">
        <w:rPr>
          <w:rFonts w:ascii="Times New Roman" w:hAnsi="Times New Roman" w:cs="Times New Roman"/>
          <w:sz w:val="24"/>
          <w:szCs w:val="24"/>
        </w:rPr>
        <w:t>Lewellen</w:t>
      </w:r>
      <w:proofErr w:type="spellEnd"/>
      <w:r w:rsidR="00D8635F">
        <w:rPr>
          <w:rStyle w:val="st"/>
          <w:rFonts w:ascii="Times New Roman" w:hAnsi="Times New Roman" w:cs="Times New Roman"/>
          <w:sz w:val="24"/>
          <w:szCs w:val="24"/>
        </w:rPr>
        <w:t xml:space="preserve"> </w:t>
      </w:r>
      <w:r w:rsidR="00D8635F" w:rsidRPr="003742ED">
        <w:rPr>
          <w:rStyle w:val="st"/>
          <w:rFonts w:ascii="Times New Roman" w:hAnsi="Times New Roman" w:cs="Times New Roman"/>
          <w:i/>
          <w:sz w:val="24"/>
          <w:szCs w:val="24"/>
        </w:rPr>
        <w:t>et al.</w:t>
      </w:r>
      <w:r w:rsidR="00D8635F">
        <w:rPr>
          <w:rStyle w:val="st"/>
          <w:rFonts w:ascii="Times New Roman" w:hAnsi="Times New Roman" w:cs="Times New Roman"/>
          <w:sz w:val="24"/>
          <w:szCs w:val="24"/>
        </w:rPr>
        <w:t xml:space="preserve"> (1987) and</w:t>
      </w:r>
      <w:r w:rsidR="00435C54">
        <w:rPr>
          <w:rStyle w:val="st"/>
          <w:rFonts w:ascii="Times New Roman" w:hAnsi="Times New Roman" w:cs="Times New Roman"/>
          <w:sz w:val="24"/>
          <w:szCs w:val="24"/>
        </w:rPr>
        <w:t xml:space="preserve"> Lambert </w:t>
      </w:r>
      <w:r w:rsidR="00435C54" w:rsidRPr="003742ED">
        <w:rPr>
          <w:rStyle w:val="st"/>
          <w:rFonts w:ascii="Times New Roman" w:hAnsi="Times New Roman" w:cs="Times New Roman"/>
          <w:i/>
          <w:sz w:val="24"/>
          <w:szCs w:val="24"/>
        </w:rPr>
        <w:t>et al.</w:t>
      </w:r>
      <w:r w:rsidR="00435C54">
        <w:rPr>
          <w:rStyle w:val="st"/>
          <w:rFonts w:ascii="Times New Roman" w:hAnsi="Times New Roman" w:cs="Times New Roman"/>
          <w:sz w:val="24"/>
          <w:szCs w:val="24"/>
        </w:rPr>
        <w:t xml:space="preserve"> </w:t>
      </w:r>
      <w:r w:rsidR="00D8635F">
        <w:rPr>
          <w:rStyle w:val="st"/>
          <w:rFonts w:ascii="Times New Roman" w:hAnsi="Times New Roman" w:cs="Times New Roman"/>
          <w:sz w:val="24"/>
          <w:szCs w:val="24"/>
        </w:rPr>
        <w:t xml:space="preserve">(1989), </w:t>
      </w:r>
      <w:r>
        <w:rPr>
          <w:rStyle w:val="st"/>
          <w:rFonts w:ascii="Times New Roman" w:hAnsi="Times New Roman" w:cs="Times New Roman"/>
          <w:sz w:val="24"/>
          <w:szCs w:val="24"/>
        </w:rPr>
        <w:t>our study</w:t>
      </w:r>
      <w:r w:rsidR="00435C54">
        <w:rPr>
          <w:rStyle w:val="st"/>
          <w:rFonts w:ascii="Times New Roman" w:hAnsi="Times New Roman" w:cs="Times New Roman"/>
          <w:sz w:val="24"/>
          <w:szCs w:val="24"/>
        </w:rPr>
        <w:t xml:space="preserve"> </w:t>
      </w:r>
      <w:r w:rsidR="0094407B">
        <w:rPr>
          <w:rStyle w:val="st"/>
          <w:rFonts w:ascii="Times New Roman" w:hAnsi="Times New Roman" w:cs="Times New Roman"/>
          <w:sz w:val="24"/>
          <w:szCs w:val="24"/>
        </w:rPr>
        <w:t xml:space="preserve">links executive compensation structure </w:t>
      </w:r>
      <w:r w:rsidR="00565DD5">
        <w:rPr>
          <w:rStyle w:val="st"/>
          <w:rFonts w:ascii="Times New Roman" w:hAnsi="Times New Roman" w:cs="Times New Roman"/>
          <w:sz w:val="24"/>
          <w:szCs w:val="24"/>
        </w:rPr>
        <w:t>to</w:t>
      </w:r>
      <w:r w:rsidR="0094407B">
        <w:rPr>
          <w:rStyle w:val="st"/>
          <w:rFonts w:ascii="Times New Roman" w:hAnsi="Times New Roman" w:cs="Times New Roman"/>
          <w:sz w:val="24"/>
          <w:szCs w:val="24"/>
        </w:rPr>
        <w:t xml:space="preserve"> dividend policy</w:t>
      </w:r>
      <w:r w:rsidR="006B7125">
        <w:rPr>
          <w:rStyle w:val="st"/>
          <w:rFonts w:ascii="Times New Roman" w:hAnsi="Times New Roman" w:cs="Times New Roman"/>
          <w:sz w:val="24"/>
          <w:szCs w:val="24"/>
        </w:rPr>
        <w:t>.</w:t>
      </w:r>
      <w:r w:rsidR="0094407B">
        <w:rPr>
          <w:rStyle w:val="st"/>
          <w:rFonts w:ascii="Times New Roman" w:hAnsi="Times New Roman" w:cs="Times New Roman"/>
          <w:sz w:val="24"/>
          <w:szCs w:val="24"/>
        </w:rPr>
        <w:t xml:space="preserve"> </w:t>
      </w:r>
      <w:r w:rsidR="006B7125">
        <w:rPr>
          <w:rStyle w:val="st"/>
          <w:rFonts w:ascii="Times New Roman" w:hAnsi="Times New Roman" w:cs="Times New Roman"/>
          <w:sz w:val="24"/>
          <w:szCs w:val="24"/>
        </w:rPr>
        <w:t>W</w:t>
      </w:r>
      <w:r w:rsidR="0094407B">
        <w:rPr>
          <w:rStyle w:val="st"/>
          <w:rFonts w:ascii="Times New Roman" w:hAnsi="Times New Roman" w:cs="Times New Roman"/>
          <w:sz w:val="24"/>
          <w:szCs w:val="24"/>
        </w:rPr>
        <w:t>e address an agency theory aspect that has not been explored</w:t>
      </w:r>
      <w:r w:rsidR="00A66DA2">
        <w:rPr>
          <w:rStyle w:val="st"/>
          <w:rFonts w:ascii="Times New Roman" w:hAnsi="Times New Roman" w:cs="Times New Roman"/>
          <w:sz w:val="24"/>
          <w:szCs w:val="24"/>
        </w:rPr>
        <w:t xml:space="preserve"> </w:t>
      </w:r>
      <w:r w:rsidR="00A53741">
        <w:rPr>
          <w:rFonts w:ascii="Times New Roman" w:hAnsi="Times New Roman" w:cs="Times New Roman"/>
          <w:sz w:val="24"/>
          <w:szCs w:val="24"/>
        </w:rPr>
        <w:t>in the literature</w:t>
      </w:r>
      <w:r w:rsidR="00A66DA2">
        <w:rPr>
          <w:rFonts w:ascii="Times New Roman" w:hAnsi="Times New Roman" w:cs="Times New Roman"/>
          <w:sz w:val="24"/>
          <w:szCs w:val="24"/>
        </w:rPr>
        <w:t>:</w:t>
      </w:r>
      <w:r w:rsidR="00A53741">
        <w:rPr>
          <w:rFonts w:ascii="Times New Roman" w:hAnsi="Times New Roman" w:cs="Times New Roman"/>
          <w:sz w:val="24"/>
          <w:szCs w:val="24"/>
        </w:rPr>
        <w:t xml:space="preserve"> the </w:t>
      </w:r>
      <w:r w:rsidR="00A66DA2">
        <w:rPr>
          <w:rFonts w:ascii="Times New Roman" w:hAnsi="Times New Roman" w:cs="Times New Roman"/>
          <w:sz w:val="24"/>
          <w:szCs w:val="24"/>
        </w:rPr>
        <w:t>effect</w:t>
      </w:r>
      <w:r w:rsidR="00A53741">
        <w:rPr>
          <w:rFonts w:ascii="Times New Roman" w:hAnsi="Times New Roman" w:cs="Times New Roman"/>
          <w:sz w:val="24"/>
          <w:szCs w:val="24"/>
        </w:rPr>
        <w:t xml:space="preserve"> </w:t>
      </w:r>
      <w:r w:rsidR="00A66DA2">
        <w:rPr>
          <w:rFonts w:ascii="Times New Roman" w:hAnsi="Times New Roman" w:cs="Times New Roman"/>
          <w:sz w:val="24"/>
          <w:szCs w:val="24"/>
        </w:rPr>
        <w:t>of</w:t>
      </w:r>
      <w:r w:rsidR="00A53741">
        <w:rPr>
          <w:rFonts w:ascii="Times New Roman" w:hAnsi="Times New Roman" w:cs="Times New Roman"/>
          <w:sz w:val="24"/>
          <w:szCs w:val="24"/>
        </w:rPr>
        <w:t xml:space="preserve"> long-term </w:t>
      </w:r>
      <w:r w:rsidR="00A66DA2">
        <w:rPr>
          <w:rFonts w:ascii="Times New Roman" w:hAnsi="Times New Roman" w:cs="Times New Roman"/>
          <w:sz w:val="24"/>
          <w:szCs w:val="24"/>
        </w:rPr>
        <w:t xml:space="preserve">executive </w:t>
      </w:r>
      <w:r w:rsidR="00A53741">
        <w:rPr>
          <w:rFonts w:ascii="Times New Roman" w:hAnsi="Times New Roman" w:cs="Times New Roman"/>
          <w:sz w:val="24"/>
          <w:szCs w:val="24"/>
        </w:rPr>
        <w:t>compensation, particularly pension payout</w:t>
      </w:r>
      <w:r w:rsidR="0094407B">
        <w:rPr>
          <w:rFonts w:ascii="Times New Roman" w:hAnsi="Times New Roman" w:cs="Times New Roman"/>
          <w:sz w:val="24"/>
          <w:szCs w:val="24"/>
        </w:rPr>
        <w:t>s</w:t>
      </w:r>
      <w:r w:rsidR="00A53741">
        <w:rPr>
          <w:rFonts w:ascii="Times New Roman" w:hAnsi="Times New Roman" w:cs="Times New Roman"/>
          <w:sz w:val="24"/>
          <w:szCs w:val="24"/>
        </w:rPr>
        <w:t xml:space="preserve">, </w:t>
      </w:r>
      <w:r w:rsidR="00A66DA2">
        <w:rPr>
          <w:rFonts w:ascii="Times New Roman" w:hAnsi="Times New Roman" w:cs="Times New Roman"/>
          <w:sz w:val="24"/>
          <w:szCs w:val="24"/>
        </w:rPr>
        <w:t xml:space="preserve">on </w:t>
      </w:r>
      <w:r w:rsidR="00A53741">
        <w:rPr>
          <w:rFonts w:ascii="Times New Roman" w:hAnsi="Times New Roman" w:cs="Times New Roman"/>
          <w:sz w:val="24"/>
          <w:szCs w:val="24"/>
        </w:rPr>
        <w:t xml:space="preserve">the firm’s </w:t>
      </w:r>
      <w:r w:rsidR="00A66DA2">
        <w:rPr>
          <w:rFonts w:ascii="Times New Roman" w:hAnsi="Times New Roman" w:cs="Times New Roman"/>
          <w:sz w:val="24"/>
          <w:szCs w:val="24"/>
        </w:rPr>
        <w:t xml:space="preserve">current </w:t>
      </w:r>
      <w:r w:rsidR="00A53741">
        <w:rPr>
          <w:rFonts w:ascii="Times New Roman" w:hAnsi="Times New Roman" w:cs="Times New Roman"/>
          <w:sz w:val="24"/>
          <w:szCs w:val="24"/>
        </w:rPr>
        <w:t xml:space="preserve">dividend policy. </w:t>
      </w:r>
      <w:r w:rsidR="00A66DA2">
        <w:rPr>
          <w:rFonts w:ascii="Times New Roman" w:hAnsi="Times New Roman" w:cs="Times New Roman"/>
          <w:sz w:val="24"/>
          <w:szCs w:val="24"/>
        </w:rPr>
        <w:t xml:space="preserve">Our paper is also related to the work of </w:t>
      </w:r>
      <w:proofErr w:type="spellStart"/>
      <w:r w:rsidR="00A66DA2">
        <w:rPr>
          <w:rFonts w:ascii="Times New Roman" w:hAnsi="Times New Roman"/>
          <w:sz w:val="24"/>
          <w:szCs w:val="24"/>
        </w:rPr>
        <w:t>Sundaram</w:t>
      </w:r>
      <w:proofErr w:type="spellEnd"/>
      <w:r w:rsidR="00A66DA2">
        <w:rPr>
          <w:rFonts w:ascii="Times New Roman" w:hAnsi="Times New Roman"/>
          <w:sz w:val="24"/>
          <w:szCs w:val="24"/>
        </w:rPr>
        <w:t xml:space="preserve"> and </w:t>
      </w:r>
      <w:proofErr w:type="spellStart"/>
      <w:r w:rsidR="00A66DA2">
        <w:rPr>
          <w:rFonts w:ascii="Times New Roman" w:hAnsi="Times New Roman"/>
          <w:sz w:val="24"/>
          <w:szCs w:val="24"/>
        </w:rPr>
        <w:t>Yermack</w:t>
      </w:r>
      <w:proofErr w:type="spellEnd"/>
      <w:r w:rsidR="00A66DA2">
        <w:rPr>
          <w:rFonts w:ascii="Times New Roman" w:hAnsi="Times New Roman"/>
          <w:sz w:val="24"/>
          <w:szCs w:val="24"/>
        </w:rPr>
        <w:t xml:space="preserve"> (2007) and </w:t>
      </w:r>
      <w:proofErr w:type="spellStart"/>
      <w:r w:rsidR="0052521A">
        <w:rPr>
          <w:rFonts w:ascii="Times New Roman" w:hAnsi="Times New Roman"/>
          <w:sz w:val="24"/>
          <w:szCs w:val="24"/>
        </w:rPr>
        <w:t>Cassell</w:t>
      </w:r>
      <w:proofErr w:type="spellEnd"/>
      <w:r w:rsidR="0052521A">
        <w:rPr>
          <w:rFonts w:ascii="Times New Roman" w:hAnsi="Times New Roman"/>
          <w:sz w:val="24"/>
          <w:szCs w:val="24"/>
        </w:rPr>
        <w:t xml:space="preserve"> </w:t>
      </w:r>
      <w:r w:rsidR="0052521A" w:rsidRPr="003742ED">
        <w:rPr>
          <w:rFonts w:ascii="Times New Roman" w:hAnsi="Times New Roman"/>
          <w:i/>
          <w:sz w:val="24"/>
          <w:szCs w:val="24"/>
        </w:rPr>
        <w:t>et al.</w:t>
      </w:r>
      <w:r w:rsidR="0052521A">
        <w:rPr>
          <w:rFonts w:ascii="Times New Roman" w:hAnsi="Times New Roman"/>
          <w:sz w:val="24"/>
          <w:szCs w:val="24"/>
        </w:rPr>
        <w:t xml:space="preserve"> </w:t>
      </w:r>
      <w:r w:rsidR="009B25E8">
        <w:rPr>
          <w:rFonts w:ascii="Times New Roman" w:hAnsi="Times New Roman"/>
          <w:sz w:val="24"/>
          <w:szCs w:val="24"/>
        </w:rPr>
        <w:t>(</w:t>
      </w:r>
      <w:r w:rsidR="009B25E8" w:rsidRPr="009B25E8">
        <w:rPr>
          <w:rFonts w:ascii="Times New Roman" w:hAnsi="Times New Roman"/>
          <w:sz w:val="24"/>
          <w:szCs w:val="24"/>
        </w:rPr>
        <w:t>2012</w:t>
      </w:r>
      <w:r w:rsidR="009B25E8">
        <w:rPr>
          <w:rFonts w:ascii="Times New Roman" w:hAnsi="Times New Roman"/>
          <w:sz w:val="24"/>
          <w:szCs w:val="24"/>
        </w:rPr>
        <w:t>)</w:t>
      </w:r>
      <w:r w:rsidR="00A66DA2">
        <w:rPr>
          <w:rFonts w:ascii="Times New Roman" w:hAnsi="Times New Roman" w:cs="Times New Roman"/>
          <w:sz w:val="24"/>
          <w:szCs w:val="24"/>
        </w:rPr>
        <w:t>. These studies show that managers</w:t>
      </w:r>
      <w:r w:rsidR="00414CE4">
        <w:rPr>
          <w:rFonts w:ascii="Times New Roman" w:hAnsi="Times New Roman" w:cs="Times New Roman"/>
          <w:sz w:val="24"/>
          <w:szCs w:val="24"/>
        </w:rPr>
        <w:t xml:space="preserve"> </w:t>
      </w:r>
      <w:r w:rsidR="003742ED">
        <w:rPr>
          <w:rFonts w:ascii="Times New Roman" w:hAnsi="Times New Roman" w:cs="Times New Roman"/>
          <w:sz w:val="24"/>
          <w:szCs w:val="24"/>
        </w:rPr>
        <w:t xml:space="preserve">prefer </w:t>
      </w:r>
      <w:r w:rsidR="00414CE4">
        <w:rPr>
          <w:rFonts w:ascii="Times New Roman" w:hAnsi="Times New Roman" w:cs="Times New Roman"/>
          <w:sz w:val="24"/>
          <w:szCs w:val="24"/>
        </w:rPr>
        <w:t xml:space="preserve">to keep default risk and equity risk low in order to </w:t>
      </w:r>
      <w:r w:rsidR="00A66DA2">
        <w:rPr>
          <w:rFonts w:ascii="Times New Roman" w:hAnsi="Times New Roman" w:cs="Times New Roman"/>
          <w:sz w:val="24"/>
          <w:szCs w:val="24"/>
        </w:rPr>
        <w:t>protect their future pension payout</w:t>
      </w:r>
      <w:r w:rsidR="00A42A50">
        <w:rPr>
          <w:rFonts w:ascii="Times New Roman" w:hAnsi="Times New Roman" w:cs="Times New Roman"/>
          <w:sz w:val="24"/>
          <w:szCs w:val="24"/>
        </w:rPr>
        <w:t>s</w:t>
      </w:r>
      <w:r w:rsidR="00A66DA2">
        <w:rPr>
          <w:rFonts w:ascii="Times New Roman" w:hAnsi="Times New Roman" w:cs="Times New Roman"/>
          <w:sz w:val="24"/>
          <w:szCs w:val="24"/>
        </w:rPr>
        <w:t xml:space="preserve">. </w:t>
      </w:r>
      <w:r w:rsidR="00F46FBF">
        <w:rPr>
          <w:rFonts w:ascii="Times New Roman" w:hAnsi="Times New Roman" w:cs="Times New Roman"/>
          <w:sz w:val="24"/>
          <w:szCs w:val="24"/>
        </w:rPr>
        <w:t xml:space="preserve">Another related study is provided by </w:t>
      </w:r>
      <w:proofErr w:type="spellStart"/>
      <w:r w:rsidR="00F46FBF" w:rsidRPr="00F46FBF">
        <w:rPr>
          <w:rFonts w:ascii="Times New Roman" w:hAnsi="Times New Roman" w:cs="Times New Roman"/>
          <w:sz w:val="24"/>
          <w:szCs w:val="24"/>
        </w:rPr>
        <w:t>Edmans</w:t>
      </w:r>
      <w:proofErr w:type="spellEnd"/>
      <w:r w:rsidR="00F46FBF" w:rsidRPr="00F46FBF">
        <w:rPr>
          <w:rFonts w:ascii="Times New Roman" w:hAnsi="Times New Roman" w:cs="Times New Roman"/>
          <w:sz w:val="24"/>
          <w:szCs w:val="24"/>
        </w:rPr>
        <w:t xml:space="preserve"> and Liu (2011)</w:t>
      </w:r>
      <w:r w:rsidR="007827D4">
        <w:rPr>
          <w:rFonts w:ascii="Times New Roman" w:hAnsi="Times New Roman" w:cs="Times New Roman"/>
          <w:sz w:val="24"/>
          <w:szCs w:val="24"/>
        </w:rPr>
        <w:t>, who</w:t>
      </w:r>
      <w:r w:rsidR="00F46FBF" w:rsidRPr="00F46FBF">
        <w:rPr>
          <w:rFonts w:ascii="Times New Roman" w:hAnsi="Times New Roman" w:cs="Times New Roman"/>
          <w:sz w:val="24"/>
          <w:szCs w:val="24"/>
        </w:rPr>
        <w:t xml:space="preserve"> suggest that </w:t>
      </w:r>
      <w:r w:rsidR="00F46FBF">
        <w:rPr>
          <w:rFonts w:ascii="Times New Roman" w:hAnsi="Times New Roman" w:cs="Times New Roman"/>
          <w:sz w:val="24"/>
          <w:szCs w:val="24"/>
        </w:rPr>
        <w:t xml:space="preserve">executive </w:t>
      </w:r>
      <w:r w:rsidR="00F46FBF" w:rsidRPr="00F46FBF">
        <w:rPr>
          <w:rFonts w:ascii="Times New Roman" w:hAnsi="Times New Roman" w:cs="Times New Roman"/>
          <w:sz w:val="24"/>
          <w:szCs w:val="24"/>
        </w:rPr>
        <w:t xml:space="preserve">pensions </w:t>
      </w:r>
      <w:r w:rsidR="00F46FBF">
        <w:rPr>
          <w:rFonts w:ascii="Times New Roman" w:hAnsi="Times New Roman" w:cs="Times New Roman"/>
          <w:sz w:val="24"/>
          <w:szCs w:val="24"/>
        </w:rPr>
        <w:t>can mitigate agency problem</w:t>
      </w:r>
      <w:r w:rsidR="00414CE4">
        <w:rPr>
          <w:rFonts w:ascii="Times New Roman" w:hAnsi="Times New Roman" w:cs="Times New Roman"/>
          <w:sz w:val="24"/>
          <w:szCs w:val="24"/>
        </w:rPr>
        <w:t>s</w:t>
      </w:r>
      <w:r w:rsidR="00F46FBF">
        <w:rPr>
          <w:rFonts w:ascii="Times New Roman" w:hAnsi="Times New Roman" w:cs="Times New Roman"/>
          <w:sz w:val="24"/>
          <w:szCs w:val="24"/>
        </w:rPr>
        <w:t xml:space="preserve"> by incentiviz</w:t>
      </w:r>
      <w:r w:rsidR="00353C58">
        <w:rPr>
          <w:rFonts w:ascii="Times New Roman" w:hAnsi="Times New Roman" w:cs="Times New Roman"/>
          <w:sz w:val="24"/>
          <w:szCs w:val="24"/>
        </w:rPr>
        <w:t>ing</w:t>
      </w:r>
      <w:r w:rsidR="00F46FBF">
        <w:rPr>
          <w:rFonts w:ascii="Times New Roman" w:hAnsi="Times New Roman" w:cs="Times New Roman"/>
          <w:sz w:val="24"/>
          <w:szCs w:val="24"/>
        </w:rPr>
        <w:t xml:space="preserve"> managers to preserve firm value</w:t>
      </w:r>
      <w:r w:rsidR="00353C58">
        <w:rPr>
          <w:rFonts w:ascii="Times New Roman" w:hAnsi="Times New Roman" w:cs="Times New Roman"/>
          <w:sz w:val="24"/>
          <w:szCs w:val="24"/>
        </w:rPr>
        <w:t xml:space="preserve"> in distress situations. Our study shows how large pension </w:t>
      </w:r>
      <w:r>
        <w:rPr>
          <w:rFonts w:ascii="Times New Roman" w:hAnsi="Times New Roman" w:cs="Times New Roman"/>
          <w:sz w:val="24"/>
          <w:szCs w:val="24"/>
        </w:rPr>
        <w:t>plans</w:t>
      </w:r>
      <w:r w:rsidR="00353C58">
        <w:rPr>
          <w:rFonts w:ascii="Times New Roman" w:hAnsi="Times New Roman" w:cs="Times New Roman"/>
          <w:sz w:val="24"/>
          <w:szCs w:val="24"/>
        </w:rPr>
        <w:t xml:space="preserve"> </w:t>
      </w:r>
      <w:r w:rsidR="00173331">
        <w:rPr>
          <w:rFonts w:ascii="Times New Roman" w:hAnsi="Times New Roman" w:cs="Times New Roman"/>
          <w:sz w:val="24"/>
          <w:szCs w:val="24"/>
        </w:rPr>
        <w:t xml:space="preserve">can </w:t>
      </w:r>
      <w:r w:rsidR="00353C58">
        <w:rPr>
          <w:rFonts w:ascii="Times New Roman" w:hAnsi="Times New Roman" w:cs="Times New Roman"/>
          <w:sz w:val="24"/>
          <w:szCs w:val="24"/>
        </w:rPr>
        <w:t>generate agency behavior incentives</w:t>
      </w:r>
      <w:r w:rsidR="007827D4">
        <w:rPr>
          <w:rFonts w:ascii="Times New Roman" w:hAnsi="Times New Roman" w:cs="Times New Roman"/>
          <w:sz w:val="24"/>
          <w:szCs w:val="24"/>
        </w:rPr>
        <w:t>, and demonstrate</w:t>
      </w:r>
      <w:r w:rsidR="004144A7">
        <w:rPr>
          <w:rFonts w:ascii="Times New Roman" w:hAnsi="Times New Roman" w:cs="Times New Roman"/>
          <w:sz w:val="24"/>
          <w:szCs w:val="24"/>
        </w:rPr>
        <w:t>s</w:t>
      </w:r>
      <w:r w:rsidR="007827D4">
        <w:rPr>
          <w:rFonts w:ascii="Times New Roman" w:hAnsi="Times New Roman" w:cs="Times New Roman"/>
          <w:sz w:val="24"/>
          <w:szCs w:val="24"/>
        </w:rPr>
        <w:t xml:space="preserve"> how managers may manipulate cash flow distributions to protect their pension.</w:t>
      </w:r>
    </w:p>
    <w:p w:rsidR="00450B86" w:rsidRPr="0085015C" w:rsidRDefault="00450B86" w:rsidP="00CC2C82">
      <w:pPr>
        <w:spacing w:after="0" w:line="480" w:lineRule="auto"/>
        <w:jc w:val="both"/>
        <w:rPr>
          <w:rFonts w:ascii="Times New Roman" w:hAnsi="Times New Roman" w:cs="Times New Roman"/>
          <w:bCs/>
          <w:sz w:val="24"/>
          <w:szCs w:val="24"/>
        </w:rPr>
      </w:pPr>
    </w:p>
    <w:p w:rsidR="00373F49" w:rsidRPr="001973D3" w:rsidRDefault="00642465" w:rsidP="00EE20C8">
      <w:pPr>
        <w:spacing w:after="0" w:line="480" w:lineRule="auto"/>
        <w:jc w:val="both"/>
        <w:rPr>
          <w:sz w:val="32"/>
          <w:szCs w:val="32"/>
        </w:rPr>
      </w:pPr>
      <w:r w:rsidRPr="001973D3">
        <w:rPr>
          <w:sz w:val="32"/>
          <w:szCs w:val="32"/>
        </w:rPr>
        <w:t>3</w:t>
      </w:r>
      <w:r w:rsidR="00EA1E99" w:rsidRPr="001973D3">
        <w:rPr>
          <w:sz w:val="32"/>
          <w:szCs w:val="32"/>
        </w:rPr>
        <w:t xml:space="preserve">. </w:t>
      </w:r>
      <w:r w:rsidR="00333A8E" w:rsidRPr="001973D3">
        <w:rPr>
          <w:sz w:val="32"/>
          <w:szCs w:val="32"/>
        </w:rPr>
        <w:t>Hypothes</w:t>
      </w:r>
      <w:r w:rsidR="004C0ABE">
        <w:rPr>
          <w:sz w:val="32"/>
          <w:szCs w:val="32"/>
        </w:rPr>
        <w:t>e</w:t>
      </w:r>
      <w:r w:rsidR="00333A8E" w:rsidRPr="001973D3">
        <w:rPr>
          <w:sz w:val="32"/>
          <w:szCs w:val="32"/>
        </w:rPr>
        <w:t xml:space="preserve">s </w:t>
      </w:r>
    </w:p>
    <w:p w:rsidR="00040760" w:rsidRDefault="00D42EBD" w:rsidP="00633CE5">
      <w:pPr>
        <w:spacing w:after="0" w:line="480" w:lineRule="auto"/>
        <w:jc w:val="both"/>
        <w:rPr>
          <w:rFonts w:ascii="Times New Roman" w:hAnsi="Times New Roman"/>
          <w:sz w:val="24"/>
          <w:szCs w:val="24"/>
        </w:rPr>
      </w:pPr>
      <w:r>
        <w:rPr>
          <w:rFonts w:ascii="Times New Roman" w:hAnsi="Times New Roman"/>
          <w:sz w:val="24"/>
          <w:szCs w:val="24"/>
        </w:rPr>
        <w:t xml:space="preserve">Manager compensation </w:t>
      </w:r>
      <w:r w:rsidR="00EE242C">
        <w:rPr>
          <w:rFonts w:ascii="Times New Roman" w:hAnsi="Times New Roman"/>
          <w:sz w:val="24"/>
          <w:szCs w:val="24"/>
        </w:rPr>
        <w:t xml:space="preserve">contains components that are more </w:t>
      </w:r>
      <w:r>
        <w:rPr>
          <w:rFonts w:ascii="Times New Roman" w:hAnsi="Times New Roman"/>
          <w:sz w:val="24"/>
          <w:szCs w:val="24"/>
        </w:rPr>
        <w:t>equity-like (stock</w:t>
      </w:r>
      <w:r w:rsidR="00EE242C">
        <w:rPr>
          <w:rFonts w:ascii="Times New Roman" w:hAnsi="Times New Roman"/>
          <w:sz w:val="24"/>
          <w:szCs w:val="24"/>
        </w:rPr>
        <w:t>s</w:t>
      </w:r>
      <w:r>
        <w:rPr>
          <w:rFonts w:ascii="Times New Roman" w:hAnsi="Times New Roman"/>
          <w:sz w:val="24"/>
          <w:szCs w:val="24"/>
        </w:rPr>
        <w:t xml:space="preserve"> and </w:t>
      </w:r>
      <w:r w:rsidR="00EE242C">
        <w:rPr>
          <w:rFonts w:ascii="Times New Roman" w:hAnsi="Times New Roman"/>
          <w:sz w:val="24"/>
          <w:szCs w:val="24"/>
        </w:rPr>
        <w:t>stock-</w:t>
      </w:r>
      <w:r>
        <w:rPr>
          <w:rFonts w:ascii="Times New Roman" w:hAnsi="Times New Roman"/>
          <w:sz w:val="24"/>
          <w:szCs w:val="24"/>
        </w:rPr>
        <w:t>option</w:t>
      </w:r>
      <w:r w:rsidR="00EE242C">
        <w:rPr>
          <w:rFonts w:ascii="Times New Roman" w:hAnsi="Times New Roman"/>
          <w:sz w:val="24"/>
          <w:szCs w:val="24"/>
        </w:rPr>
        <w:t>s) and components that are more debt</w:t>
      </w:r>
      <w:r>
        <w:rPr>
          <w:rFonts w:ascii="Times New Roman" w:hAnsi="Times New Roman"/>
          <w:sz w:val="24"/>
          <w:szCs w:val="24"/>
        </w:rPr>
        <w:t xml:space="preserve">-like (pension and deferred compensation). </w:t>
      </w:r>
      <w:r w:rsidR="00EE242C">
        <w:rPr>
          <w:rFonts w:ascii="Times New Roman" w:hAnsi="Times New Roman"/>
          <w:sz w:val="24"/>
          <w:szCs w:val="24"/>
        </w:rPr>
        <w:t xml:space="preserve">Thus </w:t>
      </w:r>
      <w:r>
        <w:rPr>
          <w:rFonts w:ascii="Times New Roman" w:hAnsi="Times New Roman"/>
          <w:sz w:val="24"/>
          <w:szCs w:val="24"/>
        </w:rPr>
        <w:t>high-level</w:t>
      </w:r>
      <w:r w:rsidR="00414CE4">
        <w:rPr>
          <w:rFonts w:ascii="Times New Roman" w:hAnsi="Times New Roman"/>
          <w:sz w:val="24"/>
          <w:szCs w:val="24"/>
        </w:rPr>
        <w:t>s</w:t>
      </w:r>
      <w:r>
        <w:rPr>
          <w:rFonts w:ascii="Times New Roman" w:hAnsi="Times New Roman"/>
          <w:sz w:val="24"/>
          <w:szCs w:val="24"/>
        </w:rPr>
        <w:t xml:space="preserve"> of equity-based </w:t>
      </w:r>
      <w:r w:rsidR="00EE242C">
        <w:rPr>
          <w:rFonts w:ascii="Times New Roman" w:hAnsi="Times New Roman"/>
          <w:sz w:val="24"/>
          <w:szCs w:val="24"/>
        </w:rPr>
        <w:t xml:space="preserve">(debt-based) </w:t>
      </w:r>
      <w:r>
        <w:rPr>
          <w:rFonts w:ascii="Times New Roman" w:hAnsi="Times New Roman"/>
          <w:sz w:val="24"/>
          <w:szCs w:val="24"/>
        </w:rPr>
        <w:t xml:space="preserve">compensation, align </w:t>
      </w:r>
      <w:r w:rsidR="00414CE4">
        <w:rPr>
          <w:rFonts w:ascii="Times New Roman" w:hAnsi="Times New Roman"/>
          <w:sz w:val="24"/>
          <w:szCs w:val="24"/>
        </w:rPr>
        <w:t xml:space="preserve">managers’ </w:t>
      </w:r>
      <w:r>
        <w:rPr>
          <w:rFonts w:ascii="Times New Roman" w:hAnsi="Times New Roman"/>
          <w:sz w:val="24"/>
          <w:szCs w:val="24"/>
        </w:rPr>
        <w:t>interests with those of the shareholder</w:t>
      </w:r>
      <w:r w:rsidR="00A42A50">
        <w:rPr>
          <w:rFonts w:ascii="Times New Roman" w:hAnsi="Times New Roman"/>
          <w:sz w:val="24"/>
          <w:szCs w:val="24"/>
        </w:rPr>
        <w:t>s</w:t>
      </w:r>
      <w:r w:rsidR="00EE242C">
        <w:rPr>
          <w:rFonts w:ascii="Times New Roman" w:hAnsi="Times New Roman"/>
          <w:sz w:val="24"/>
          <w:szCs w:val="24"/>
        </w:rPr>
        <w:t xml:space="preserve"> (bondholders). </w:t>
      </w:r>
      <w:r w:rsidR="00CB42F7">
        <w:rPr>
          <w:rFonts w:ascii="Times New Roman" w:hAnsi="Times New Roman"/>
          <w:sz w:val="24"/>
          <w:szCs w:val="24"/>
        </w:rPr>
        <w:t xml:space="preserve">One </w:t>
      </w:r>
      <w:r w:rsidR="00414CE4">
        <w:rPr>
          <w:rFonts w:ascii="Times New Roman" w:hAnsi="Times New Roman"/>
          <w:sz w:val="24"/>
          <w:szCs w:val="24"/>
        </w:rPr>
        <w:t xml:space="preserve">important </w:t>
      </w:r>
      <w:r w:rsidR="00CB42F7">
        <w:rPr>
          <w:rFonts w:ascii="Times New Roman" w:hAnsi="Times New Roman"/>
          <w:sz w:val="24"/>
          <w:szCs w:val="24"/>
        </w:rPr>
        <w:t xml:space="preserve">conflict between shareholders and bondholders concerns the firm’s divided policy. </w:t>
      </w:r>
      <w:r w:rsidR="0004218D" w:rsidRPr="0004218D">
        <w:rPr>
          <w:rFonts w:ascii="Times New Roman" w:hAnsi="Times New Roman"/>
          <w:sz w:val="24"/>
          <w:szCs w:val="24"/>
        </w:rPr>
        <w:t xml:space="preserve">When shareholders pay themselves dividends, the </w:t>
      </w:r>
      <w:r w:rsidR="006D5C0D">
        <w:rPr>
          <w:rFonts w:ascii="Times New Roman" w:hAnsi="Times New Roman"/>
          <w:sz w:val="24"/>
          <w:szCs w:val="24"/>
        </w:rPr>
        <w:t xml:space="preserve">future </w:t>
      </w:r>
      <w:r w:rsidR="0004218D" w:rsidRPr="0004218D">
        <w:rPr>
          <w:rFonts w:ascii="Times New Roman" w:hAnsi="Times New Roman"/>
          <w:sz w:val="24"/>
          <w:szCs w:val="24"/>
        </w:rPr>
        <w:t>claims of the bondholders become</w:t>
      </w:r>
      <w:r w:rsidR="0004218D">
        <w:rPr>
          <w:rFonts w:ascii="Times New Roman" w:hAnsi="Times New Roman"/>
          <w:sz w:val="24"/>
          <w:szCs w:val="24"/>
        </w:rPr>
        <w:t xml:space="preserve"> </w:t>
      </w:r>
      <w:r w:rsidR="0004218D" w:rsidRPr="0004218D">
        <w:rPr>
          <w:rFonts w:ascii="Times New Roman" w:hAnsi="Times New Roman"/>
          <w:sz w:val="24"/>
          <w:szCs w:val="24"/>
        </w:rPr>
        <w:t>less secure</w:t>
      </w:r>
      <w:r w:rsidR="0004218D">
        <w:rPr>
          <w:rFonts w:ascii="Times New Roman" w:hAnsi="Times New Roman"/>
          <w:sz w:val="24"/>
          <w:szCs w:val="24"/>
        </w:rPr>
        <w:t xml:space="preserve"> (i.e., </w:t>
      </w:r>
      <w:r w:rsidR="0004218D" w:rsidRPr="0004218D">
        <w:rPr>
          <w:rFonts w:ascii="Times New Roman" w:hAnsi="Times New Roman"/>
          <w:sz w:val="24"/>
          <w:szCs w:val="24"/>
        </w:rPr>
        <w:t>lower asset coverage)</w:t>
      </w:r>
      <w:r w:rsidR="0004218D">
        <w:rPr>
          <w:rFonts w:ascii="Times New Roman" w:hAnsi="Times New Roman"/>
          <w:sz w:val="24"/>
          <w:szCs w:val="24"/>
        </w:rPr>
        <w:t>; t</w:t>
      </w:r>
      <w:r w:rsidR="0004218D" w:rsidRPr="0004218D">
        <w:rPr>
          <w:rFonts w:ascii="Times New Roman" w:hAnsi="Times New Roman"/>
          <w:sz w:val="24"/>
          <w:szCs w:val="24"/>
        </w:rPr>
        <w:t xml:space="preserve">hus, </w:t>
      </w:r>
      <w:r w:rsidR="0004218D">
        <w:rPr>
          <w:rFonts w:ascii="Times New Roman" w:hAnsi="Times New Roman"/>
          <w:sz w:val="24"/>
          <w:szCs w:val="24"/>
        </w:rPr>
        <w:t>bondholders have a</w:t>
      </w:r>
      <w:r w:rsidR="00101586">
        <w:rPr>
          <w:rFonts w:ascii="Times New Roman" w:hAnsi="Times New Roman"/>
          <w:sz w:val="24"/>
          <w:szCs w:val="24"/>
        </w:rPr>
        <w:t xml:space="preserve"> natural aversion to dividends (see </w:t>
      </w:r>
      <w:r w:rsidR="00101586" w:rsidRPr="0004218D">
        <w:rPr>
          <w:rFonts w:ascii="Times New Roman" w:hAnsi="Times New Roman"/>
          <w:sz w:val="24"/>
          <w:szCs w:val="24"/>
        </w:rPr>
        <w:t>Smith and Warner (1979)</w:t>
      </w:r>
      <w:r w:rsidR="00101586">
        <w:rPr>
          <w:rFonts w:ascii="Times New Roman" w:hAnsi="Times New Roman"/>
          <w:sz w:val="24"/>
          <w:szCs w:val="24"/>
        </w:rPr>
        <w:t xml:space="preserve">). </w:t>
      </w:r>
    </w:p>
    <w:p w:rsidR="003E5C25" w:rsidRDefault="00DA2EED" w:rsidP="00040760">
      <w:pPr>
        <w:spacing w:before="240" w:after="0" w:line="480" w:lineRule="auto"/>
        <w:ind w:firstLine="360"/>
        <w:jc w:val="both"/>
        <w:rPr>
          <w:rFonts w:ascii="Times New Roman" w:hAnsi="Times New Roman"/>
          <w:sz w:val="24"/>
          <w:szCs w:val="24"/>
        </w:rPr>
      </w:pPr>
      <w:r>
        <w:rPr>
          <w:rFonts w:ascii="Times New Roman" w:hAnsi="Times New Roman"/>
          <w:sz w:val="24"/>
          <w:szCs w:val="24"/>
        </w:rPr>
        <w:t>We argue that the pension</w:t>
      </w:r>
      <w:r w:rsidR="00344F7F">
        <w:rPr>
          <w:rFonts w:ascii="Times New Roman" w:hAnsi="Times New Roman"/>
          <w:sz w:val="24"/>
          <w:szCs w:val="24"/>
        </w:rPr>
        <w:t xml:space="preserve"> plan</w:t>
      </w:r>
      <w:r w:rsidR="00922A95">
        <w:rPr>
          <w:rFonts w:ascii="Times New Roman" w:hAnsi="Times New Roman"/>
          <w:sz w:val="24"/>
          <w:szCs w:val="24"/>
        </w:rPr>
        <w:t xml:space="preserve"> </w:t>
      </w:r>
      <w:r w:rsidR="00344F7F">
        <w:rPr>
          <w:rFonts w:ascii="Times New Roman" w:hAnsi="Times New Roman"/>
          <w:sz w:val="24"/>
          <w:szCs w:val="24"/>
        </w:rPr>
        <w:t>s</w:t>
      </w:r>
      <w:r w:rsidR="00922A95">
        <w:rPr>
          <w:rFonts w:ascii="Times New Roman" w:hAnsi="Times New Roman"/>
          <w:sz w:val="24"/>
          <w:szCs w:val="24"/>
        </w:rPr>
        <w:t>ize</w:t>
      </w:r>
      <w:r>
        <w:rPr>
          <w:rFonts w:ascii="Times New Roman" w:hAnsi="Times New Roman"/>
          <w:sz w:val="24"/>
          <w:szCs w:val="24"/>
        </w:rPr>
        <w:t xml:space="preserve"> provides </w:t>
      </w:r>
      <w:r w:rsidR="00253FEC">
        <w:rPr>
          <w:rFonts w:ascii="Times New Roman" w:hAnsi="Times New Roman"/>
          <w:sz w:val="24"/>
          <w:szCs w:val="24"/>
        </w:rPr>
        <w:t xml:space="preserve">a similar conflict of interests between managers and shareholders. </w:t>
      </w:r>
      <w:r w:rsidR="00A42A50">
        <w:rPr>
          <w:rFonts w:ascii="Times New Roman" w:hAnsi="Times New Roman"/>
          <w:sz w:val="24"/>
          <w:szCs w:val="24"/>
        </w:rPr>
        <w:t>A</w:t>
      </w:r>
      <w:r w:rsidR="00253FEC">
        <w:rPr>
          <w:rFonts w:ascii="Times New Roman" w:hAnsi="Times New Roman"/>
          <w:sz w:val="24"/>
          <w:szCs w:val="24"/>
        </w:rPr>
        <w:t xml:space="preserve"> </w:t>
      </w:r>
      <w:r w:rsidR="00E709CD">
        <w:rPr>
          <w:rFonts w:ascii="Times New Roman" w:hAnsi="Times New Roman"/>
          <w:sz w:val="24"/>
          <w:szCs w:val="24"/>
        </w:rPr>
        <w:t xml:space="preserve">persistent </w:t>
      </w:r>
      <w:r w:rsidR="00267988">
        <w:rPr>
          <w:rFonts w:ascii="Times New Roman" w:hAnsi="Times New Roman"/>
          <w:sz w:val="24"/>
          <w:szCs w:val="24"/>
        </w:rPr>
        <w:t>distributi</w:t>
      </w:r>
      <w:r w:rsidR="00E709CD">
        <w:rPr>
          <w:rFonts w:ascii="Times New Roman" w:hAnsi="Times New Roman"/>
          <w:sz w:val="24"/>
          <w:szCs w:val="24"/>
        </w:rPr>
        <w:t>on</w:t>
      </w:r>
      <w:r w:rsidR="00267988">
        <w:rPr>
          <w:rFonts w:ascii="Times New Roman" w:hAnsi="Times New Roman"/>
          <w:sz w:val="24"/>
          <w:szCs w:val="24"/>
        </w:rPr>
        <w:t xml:space="preserve"> </w:t>
      </w:r>
      <w:r w:rsidR="00E709CD">
        <w:rPr>
          <w:rFonts w:ascii="Times New Roman" w:hAnsi="Times New Roman"/>
          <w:sz w:val="24"/>
          <w:szCs w:val="24"/>
        </w:rPr>
        <w:t xml:space="preserve">of the firm’s earnings to shareholders will lower the </w:t>
      </w:r>
      <w:r w:rsidR="00A42A50">
        <w:rPr>
          <w:rFonts w:ascii="Times New Roman" w:hAnsi="Times New Roman"/>
          <w:sz w:val="24"/>
          <w:szCs w:val="24"/>
        </w:rPr>
        <w:t xml:space="preserve">firm’s </w:t>
      </w:r>
      <w:r w:rsidR="00E709CD">
        <w:rPr>
          <w:rFonts w:ascii="Times New Roman" w:hAnsi="Times New Roman"/>
          <w:sz w:val="24"/>
          <w:szCs w:val="24"/>
        </w:rPr>
        <w:t>internal funds</w:t>
      </w:r>
      <w:r w:rsidR="00B56DAD">
        <w:rPr>
          <w:rFonts w:ascii="Times New Roman" w:hAnsi="Times New Roman"/>
          <w:sz w:val="24"/>
          <w:szCs w:val="24"/>
        </w:rPr>
        <w:t>;</w:t>
      </w:r>
      <w:r w:rsidR="00A42A50">
        <w:rPr>
          <w:rFonts w:ascii="Times New Roman" w:hAnsi="Times New Roman"/>
          <w:sz w:val="24"/>
          <w:szCs w:val="24"/>
        </w:rPr>
        <w:t xml:space="preserve"> </w:t>
      </w:r>
      <w:r w:rsidR="0023178B" w:rsidRPr="008C3E38">
        <w:rPr>
          <w:rFonts w:ascii="Times New Roman" w:hAnsi="Times New Roman" w:cs="Times New Roman"/>
          <w:sz w:val="24"/>
          <w:szCs w:val="24"/>
          <w:lang w:val="en-CA"/>
        </w:rPr>
        <w:fldChar w:fldCharType="begin"/>
      </w:r>
      <w:r w:rsidR="008C3E38" w:rsidRPr="008C3E38">
        <w:rPr>
          <w:rFonts w:ascii="Times New Roman" w:hAnsi="Times New Roman" w:cs="Times New Roman"/>
          <w:sz w:val="24"/>
          <w:szCs w:val="24"/>
          <w:lang w:val="en-CA"/>
        </w:rPr>
        <w:instrText xml:space="preserve"> SEQ CHAPTER \h \r 1</w:instrText>
      </w:r>
      <w:r w:rsidR="0023178B" w:rsidRPr="008C3E38">
        <w:rPr>
          <w:rFonts w:ascii="Times New Roman" w:hAnsi="Times New Roman" w:cs="Times New Roman"/>
          <w:sz w:val="24"/>
          <w:szCs w:val="24"/>
          <w:lang w:val="en-CA"/>
        </w:rPr>
        <w:fldChar w:fldCharType="end"/>
      </w:r>
      <w:r w:rsidR="008C3E38" w:rsidRPr="008C3E38">
        <w:rPr>
          <w:rFonts w:ascii="Times New Roman" w:hAnsi="Times New Roman" w:cs="Times New Roman"/>
          <w:sz w:val="24"/>
          <w:szCs w:val="24"/>
        </w:rPr>
        <w:t xml:space="preserve"> but to secure future pension payouts, it would be in the best interest of managers to keep funds internally. </w:t>
      </w:r>
      <w:r w:rsidR="005F3804">
        <w:rPr>
          <w:rFonts w:ascii="Times New Roman" w:hAnsi="Times New Roman"/>
          <w:sz w:val="24"/>
          <w:szCs w:val="24"/>
        </w:rPr>
        <w:t>This conflict of interest is even more significant,</w:t>
      </w:r>
      <w:r w:rsidR="00B324F4">
        <w:rPr>
          <w:rFonts w:ascii="Times New Roman" w:hAnsi="Times New Roman"/>
          <w:sz w:val="24"/>
          <w:szCs w:val="24"/>
        </w:rPr>
        <w:t xml:space="preserve"> because </w:t>
      </w:r>
      <w:r w:rsidR="007519D9">
        <w:rPr>
          <w:rFonts w:ascii="Times New Roman" w:hAnsi="Times New Roman"/>
          <w:sz w:val="24"/>
          <w:szCs w:val="24"/>
        </w:rPr>
        <w:t xml:space="preserve">the </w:t>
      </w:r>
      <w:r w:rsidR="007519D9">
        <w:rPr>
          <w:rFonts w:ascii="Times New Roman" w:hAnsi="Times New Roman"/>
          <w:sz w:val="24"/>
          <w:szCs w:val="24"/>
        </w:rPr>
        <w:lastRenderedPageBreak/>
        <w:t>manager</w:t>
      </w:r>
      <w:r w:rsidR="003E5C25">
        <w:rPr>
          <w:rFonts w:ascii="Times New Roman" w:hAnsi="Times New Roman"/>
          <w:sz w:val="24"/>
          <w:szCs w:val="24"/>
        </w:rPr>
        <w:t xml:space="preserve"> hold</w:t>
      </w:r>
      <w:r w:rsidR="00B324F4">
        <w:rPr>
          <w:rFonts w:ascii="Times New Roman" w:hAnsi="Times New Roman"/>
          <w:sz w:val="24"/>
          <w:szCs w:val="24"/>
        </w:rPr>
        <w:t xml:space="preserve">s </w:t>
      </w:r>
      <w:r w:rsidR="003E5C25">
        <w:rPr>
          <w:rFonts w:ascii="Times New Roman" w:hAnsi="Times New Roman"/>
          <w:sz w:val="24"/>
          <w:szCs w:val="24"/>
        </w:rPr>
        <w:t xml:space="preserve">“inside debt” (Jensen and </w:t>
      </w:r>
      <w:proofErr w:type="spellStart"/>
      <w:r w:rsidR="003E5C25">
        <w:rPr>
          <w:rFonts w:ascii="Times New Roman" w:hAnsi="Times New Roman"/>
          <w:sz w:val="24"/>
          <w:szCs w:val="24"/>
        </w:rPr>
        <w:t>Meckling</w:t>
      </w:r>
      <w:proofErr w:type="spellEnd"/>
      <w:r w:rsidR="003E5C25">
        <w:rPr>
          <w:rFonts w:ascii="Times New Roman" w:hAnsi="Times New Roman"/>
          <w:sz w:val="24"/>
          <w:szCs w:val="24"/>
        </w:rPr>
        <w:t xml:space="preserve"> (1976)) and at the same time controls the firm’s dividend policy. </w:t>
      </w:r>
    </w:p>
    <w:p w:rsidR="00253FEC" w:rsidRDefault="00DB2FE9" w:rsidP="00042A35">
      <w:pPr>
        <w:spacing w:before="240" w:after="0" w:line="480" w:lineRule="auto"/>
        <w:ind w:firstLine="360"/>
        <w:jc w:val="both"/>
        <w:rPr>
          <w:rFonts w:ascii="Times New Roman" w:hAnsi="Times New Roman"/>
          <w:sz w:val="24"/>
          <w:szCs w:val="24"/>
        </w:rPr>
      </w:pPr>
      <w:r>
        <w:rPr>
          <w:rFonts w:ascii="Times New Roman" w:hAnsi="Times New Roman"/>
          <w:sz w:val="24"/>
          <w:szCs w:val="24"/>
        </w:rPr>
        <w:t xml:space="preserve">The decision to pay a </w:t>
      </w:r>
      <w:r w:rsidR="00DF1057">
        <w:rPr>
          <w:rFonts w:ascii="Times New Roman" w:hAnsi="Times New Roman"/>
          <w:sz w:val="24"/>
          <w:szCs w:val="24"/>
        </w:rPr>
        <w:t xml:space="preserve">dividend in a certain year </w:t>
      </w:r>
      <w:r>
        <w:rPr>
          <w:rFonts w:ascii="Times New Roman" w:hAnsi="Times New Roman"/>
          <w:sz w:val="24"/>
          <w:szCs w:val="24"/>
        </w:rPr>
        <w:t xml:space="preserve">has two important implications: First, </w:t>
      </w:r>
      <w:r w:rsidR="0096123A">
        <w:rPr>
          <w:rFonts w:ascii="Times New Roman" w:hAnsi="Times New Roman"/>
          <w:sz w:val="24"/>
          <w:szCs w:val="24"/>
        </w:rPr>
        <w:t xml:space="preserve">the cash outflow reduces the level of funds available to </w:t>
      </w:r>
      <w:r w:rsidR="00DF1057">
        <w:rPr>
          <w:rFonts w:ascii="Times New Roman" w:hAnsi="Times New Roman"/>
          <w:sz w:val="24"/>
          <w:szCs w:val="24"/>
        </w:rPr>
        <w:t>the firm</w:t>
      </w:r>
      <w:r w:rsidR="0096123A">
        <w:rPr>
          <w:rFonts w:ascii="Times New Roman" w:hAnsi="Times New Roman"/>
          <w:sz w:val="24"/>
          <w:szCs w:val="24"/>
        </w:rPr>
        <w:t xml:space="preserve">, and second the dividend payment signals </w:t>
      </w:r>
      <w:r w:rsidR="00DF1057">
        <w:rPr>
          <w:rFonts w:ascii="Times New Roman" w:hAnsi="Times New Roman"/>
          <w:sz w:val="24"/>
          <w:szCs w:val="24"/>
        </w:rPr>
        <w:t xml:space="preserve">an unwritten commitment </w:t>
      </w:r>
      <w:r w:rsidR="00574B86">
        <w:rPr>
          <w:rFonts w:ascii="Times New Roman" w:hAnsi="Times New Roman"/>
          <w:sz w:val="24"/>
          <w:szCs w:val="24"/>
        </w:rPr>
        <w:t xml:space="preserve">that the firm will </w:t>
      </w:r>
      <w:r w:rsidR="0096123A">
        <w:rPr>
          <w:rFonts w:ascii="Times New Roman" w:hAnsi="Times New Roman"/>
          <w:sz w:val="24"/>
          <w:szCs w:val="24"/>
        </w:rPr>
        <w:t xml:space="preserve">maintain </w:t>
      </w:r>
      <w:r w:rsidR="00DF1057">
        <w:rPr>
          <w:rFonts w:ascii="Times New Roman" w:hAnsi="Times New Roman"/>
          <w:sz w:val="24"/>
          <w:szCs w:val="24"/>
        </w:rPr>
        <w:t xml:space="preserve">at least </w:t>
      </w:r>
      <w:r w:rsidR="0096123A">
        <w:rPr>
          <w:rFonts w:ascii="Times New Roman" w:hAnsi="Times New Roman"/>
          <w:sz w:val="24"/>
          <w:szCs w:val="24"/>
        </w:rPr>
        <w:t xml:space="preserve">the </w:t>
      </w:r>
      <w:r w:rsidR="00DF1057">
        <w:rPr>
          <w:rFonts w:ascii="Times New Roman" w:hAnsi="Times New Roman"/>
          <w:sz w:val="24"/>
          <w:szCs w:val="24"/>
        </w:rPr>
        <w:t xml:space="preserve">same level in the coming years. </w:t>
      </w:r>
      <w:r w:rsidR="00F94DEA">
        <w:rPr>
          <w:rFonts w:ascii="Times New Roman" w:hAnsi="Times New Roman"/>
          <w:sz w:val="24"/>
          <w:szCs w:val="24"/>
        </w:rPr>
        <w:t xml:space="preserve">Managers know that </w:t>
      </w:r>
      <w:r w:rsidR="00DF1057">
        <w:rPr>
          <w:rFonts w:ascii="Times New Roman" w:hAnsi="Times New Roman"/>
          <w:sz w:val="24"/>
          <w:szCs w:val="24"/>
        </w:rPr>
        <w:t xml:space="preserve">reducing or omitting </w:t>
      </w:r>
      <w:r w:rsidR="00F94DEA">
        <w:rPr>
          <w:rFonts w:ascii="Times New Roman" w:hAnsi="Times New Roman"/>
          <w:sz w:val="24"/>
          <w:szCs w:val="24"/>
        </w:rPr>
        <w:t xml:space="preserve">future </w:t>
      </w:r>
      <w:r w:rsidR="00DF1057">
        <w:rPr>
          <w:rFonts w:ascii="Times New Roman" w:hAnsi="Times New Roman"/>
          <w:sz w:val="24"/>
          <w:szCs w:val="24"/>
        </w:rPr>
        <w:t xml:space="preserve">dividends </w:t>
      </w:r>
      <w:r w:rsidR="00F94DEA">
        <w:rPr>
          <w:rFonts w:ascii="Times New Roman" w:hAnsi="Times New Roman"/>
          <w:sz w:val="24"/>
          <w:szCs w:val="24"/>
        </w:rPr>
        <w:t xml:space="preserve">will </w:t>
      </w:r>
      <w:r w:rsidR="00DF1057">
        <w:rPr>
          <w:rFonts w:ascii="Times New Roman" w:hAnsi="Times New Roman"/>
          <w:sz w:val="24"/>
          <w:szCs w:val="24"/>
        </w:rPr>
        <w:t>ha</w:t>
      </w:r>
      <w:r w:rsidR="008545CC">
        <w:rPr>
          <w:rFonts w:ascii="Times New Roman" w:hAnsi="Times New Roman"/>
          <w:sz w:val="24"/>
          <w:szCs w:val="24"/>
        </w:rPr>
        <w:t>ve negative consequences</w:t>
      </w:r>
      <w:r w:rsidR="00DF1057">
        <w:rPr>
          <w:rFonts w:ascii="Times New Roman" w:hAnsi="Times New Roman"/>
          <w:sz w:val="24"/>
          <w:szCs w:val="24"/>
        </w:rPr>
        <w:t xml:space="preserve"> such as a significant decline in stock price and damaging the reputation of the firm’s managers (see, e.g., </w:t>
      </w:r>
      <w:proofErr w:type="spellStart"/>
      <w:r w:rsidR="00DF1057">
        <w:rPr>
          <w:rFonts w:ascii="Times New Roman" w:hAnsi="Times New Roman"/>
          <w:sz w:val="24"/>
          <w:szCs w:val="24"/>
        </w:rPr>
        <w:t>Michaely</w:t>
      </w:r>
      <w:proofErr w:type="spellEnd"/>
      <w:r w:rsidR="00DF1057">
        <w:rPr>
          <w:rFonts w:ascii="Times New Roman" w:hAnsi="Times New Roman"/>
          <w:sz w:val="24"/>
          <w:szCs w:val="24"/>
        </w:rPr>
        <w:t xml:space="preserve">, </w:t>
      </w:r>
      <w:proofErr w:type="spellStart"/>
      <w:r w:rsidR="00DF1057" w:rsidRPr="0059543E">
        <w:rPr>
          <w:rFonts w:ascii="Times New Roman" w:hAnsi="Times New Roman"/>
          <w:sz w:val="24"/>
          <w:szCs w:val="24"/>
        </w:rPr>
        <w:t>Thaler</w:t>
      </w:r>
      <w:proofErr w:type="spellEnd"/>
      <w:r w:rsidR="00DF1057" w:rsidRPr="0059543E">
        <w:rPr>
          <w:rFonts w:ascii="Times New Roman" w:hAnsi="Times New Roman"/>
          <w:sz w:val="24"/>
          <w:szCs w:val="24"/>
        </w:rPr>
        <w:t xml:space="preserve"> and Womack (1995)</w:t>
      </w:r>
      <w:r w:rsidR="00574B86">
        <w:rPr>
          <w:rFonts w:ascii="Times New Roman" w:hAnsi="Times New Roman"/>
          <w:sz w:val="24"/>
          <w:szCs w:val="24"/>
        </w:rPr>
        <w:t>). The alternative options for using the firm’s cash flow – keeping funds in the firm</w:t>
      </w:r>
      <w:r w:rsidR="001E4D82">
        <w:rPr>
          <w:rFonts w:ascii="Times New Roman" w:hAnsi="Times New Roman"/>
          <w:sz w:val="24"/>
          <w:szCs w:val="24"/>
        </w:rPr>
        <w:t xml:space="preserve">, </w:t>
      </w:r>
      <w:r w:rsidR="00574B86">
        <w:rPr>
          <w:rFonts w:ascii="Times New Roman" w:hAnsi="Times New Roman"/>
          <w:sz w:val="24"/>
          <w:szCs w:val="24"/>
        </w:rPr>
        <w:t>open market stock repurchase</w:t>
      </w:r>
      <w:r w:rsidR="001E4D82">
        <w:rPr>
          <w:rFonts w:ascii="Times New Roman" w:hAnsi="Times New Roman"/>
          <w:sz w:val="24"/>
          <w:szCs w:val="24"/>
        </w:rPr>
        <w:t>, or even reinvestment</w:t>
      </w:r>
      <w:r w:rsidR="00574B86">
        <w:rPr>
          <w:rFonts w:ascii="Times New Roman" w:hAnsi="Times New Roman"/>
          <w:sz w:val="24"/>
          <w:szCs w:val="24"/>
        </w:rPr>
        <w:t xml:space="preserve"> – do not </w:t>
      </w:r>
      <w:r w:rsidR="00882F6B">
        <w:rPr>
          <w:rFonts w:ascii="Times New Roman" w:hAnsi="Times New Roman"/>
          <w:sz w:val="24"/>
          <w:szCs w:val="24"/>
        </w:rPr>
        <w:t xml:space="preserve">signal a continuous </w:t>
      </w:r>
      <w:r w:rsidR="00574B86">
        <w:rPr>
          <w:rFonts w:ascii="Times New Roman" w:hAnsi="Times New Roman"/>
          <w:sz w:val="24"/>
          <w:szCs w:val="24"/>
        </w:rPr>
        <w:t xml:space="preserve">payout commitment. </w:t>
      </w:r>
      <w:r w:rsidR="00215AB6">
        <w:rPr>
          <w:rFonts w:ascii="Times New Roman" w:hAnsi="Times New Roman"/>
          <w:sz w:val="24"/>
          <w:szCs w:val="24"/>
        </w:rPr>
        <w:t xml:space="preserve">We therefore expect </w:t>
      </w:r>
      <w:r w:rsidR="008921A1">
        <w:rPr>
          <w:rFonts w:ascii="Times New Roman" w:hAnsi="Times New Roman"/>
          <w:sz w:val="24"/>
          <w:szCs w:val="24"/>
        </w:rPr>
        <w:t xml:space="preserve">a negative relationship between the </w:t>
      </w:r>
      <w:r w:rsidR="00215AB6">
        <w:rPr>
          <w:rFonts w:ascii="Times New Roman" w:hAnsi="Times New Roman"/>
          <w:sz w:val="24"/>
          <w:szCs w:val="24"/>
        </w:rPr>
        <w:t xml:space="preserve">level of pension-based compensation in the form of Supplemental Executive Retirement Plans (SERPs) </w:t>
      </w:r>
      <w:r w:rsidR="008921A1">
        <w:rPr>
          <w:rFonts w:ascii="Times New Roman" w:hAnsi="Times New Roman"/>
          <w:sz w:val="24"/>
          <w:szCs w:val="24"/>
        </w:rPr>
        <w:t xml:space="preserve">and </w:t>
      </w:r>
      <w:r w:rsidR="00215AB6">
        <w:rPr>
          <w:rFonts w:ascii="Times New Roman" w:hAnsi="Times New Roman"/>
          <w:sz w:val="24"/>
          <w:szCs w:val="24"/>
        </w:rPr>
        <w:t>dividend payments</w:t>
      </w:r>
      <w:r w:rsidR="00AD33EC">
        <w:rPr>
          <w:rFonts w:ascii="Times New Roman" w:hAnsi="Times New Roman"/>
          <w:sz w:val="24"/>
          <w:szCs w:val="24"/>
        </w:rPr>
        <w:t xml:space="preserve">. </w:t>
      </w:r>
      <w:r w:rsidR="00344F7F">
        <w:rPr>
          <w:rFonts w:ascii="Times New Roman" w:hAnsi="Times New Roman"/>
          <w:sz w:val="24"/>
          <w:szCs w:val="24"/>
        </w:rPr>
        <w:t xml:space="preserve">Our first hypothesis </w:t>
      </w:r>
      <w:r w:rsidR="009E3021">
        <w:rPr>
          <w:rFonts w:ascii="Times New Roman" w:hAnsi="Times New Roman"/>
          <w:sz w:val="24"/>
          <w:szCs w:val="24"/>
        </w:rPr>
        <w:t>is</w:t>
      </w:r>
    </w:p>
    <w:p w:rsidR="00253FEC" w:rsidRPr="009E3021" w:rsidRDefault="009E3021" w:rsidP="003B6759">
      <w:pPr>
        <w:spacing w:before="240" w:after="0" w:line="480" w:lineRule="auto"/>
        <w:ind w:firstLine="720"/>
        <w:jc w:val="both"/>
        <w:rPr>
          <w:rFonts w:ascii="Times New Roman" w:hAnsi="Times New Roman"/>
          <w:i/>
          <w:sz w:val="24"/>
          <w:szCs w:val="24"/>
        </w:rPr>
      </w:pPr>
      <w:r w:rsidRPr="009E3021">
        <w:rPr>
          <w:rFonts w:ascii="Times New Roman" w:hAnsi="Times New Roman"/>
          <w:i/>
          <w:sz w:val="24"/>
          <w:szCs w:val="24"/>
        </w:rPr>
        <w:t xml:space="preserve">H1: Firms with larger </w:t>
      </w:r>
      <w:r>
        <w:rPr>
          <w:rFonts w:ascii="Times New Roman" w:hAnsi="Times New Roman"/>
          <w:i/>
          <w:sz w:val="24"/>
          <w:szCs w:val="24"/>
        </w:rPr>
        <w:t xml:space="preserve">executive </w:t>
      </w:r>
      <w:r w:rsidRPr="009E3021">
        <w:rPr>
          <w:rFonts w:ascii="Times New Roman" w:hAnsi="Times New Roman"/>
          <w:i/>
          <w:sz w:val="24"/>
          <w:szCs w:val="24"/>
        </w:rPr>
        <w:t xml:space="preserve">pension plans will pay lower dividends. </w:t>
      </w:r>
    </w:p>
    <w:p w:rsidR="003B6759" w:rsidRDefault="000D3581" w:rsidP="00042A35">
      <w:pPr>
        <w:spacing w:before="240" w:after="0" w:line="480" w:lineRule="auto"/>
        <w:ind w:firstLine="360"/>
        <w:jc w:val="both"/>
        <w:rPr>
          <w:rFonts w:ascii="Times New Roman" w:hAnsi="Times New Roman"/>
          <w:sz w:val="24"/>
          <w:szCs w:val="24"/>
        </w:rPr>
      </w:pPr>
      <w:r>
        <w:rPr>
          <w:rFonts w:ascii="Times New Roman" w:hAnsi="Times New Roman"/>
          <w:sz w:val="24"/>
          <w:szCs w:val="24"/>
        </w:rPr>
        <w:t xml:space="preserve">Note that the first hypothesis </w:t>
      </w:r>
      <w:r w:rsidRPr="000D3581">
        <w:rPr>
          <w:rFonts w:ascii="Times New Roman" w:hAnsi="Times New Roman"/>
          <w:sz w:val="24"/>
          <w:szCs w:val="24"/>
        </w:rPr>
        <w:t>capture</w:t>
      </w:r>
      <w:r>
        <w:rPr>
          <w:rFonts w:ascii="Times New Roman" w:hAnsi="Times New Roman"/>
          <w:sz w:val="24"/>
          <w:szCs w:val="24"/>
        </w:rPr>
        <w:t>s</w:t>
      </w:r>
      <w:r w:rsidRPr="000D3581">
        <w:rPr>
          <w:rFonts w:ascii="Times New Roman" w:hAnsi="Times New Roman"/>
          <w:sz w:val="24"/>
          <w:szCs w:val="24"/>
        </w:rPr>
        <w:t xml:space="preserve"> the effect o</w:t>
      </w:r>
      <w:r w:rsidR="00A42A50">
        <w:rPr>
          <w:rFonts w:ascii="Times New Roman" w:hAnsi="Times New Roman"/>
          <w:sz w:val="24"/>
          <w:szCs w:val="24"/>
        </w:rPr>
        <w:t>f</w:t>
      </w:r>
      <w:r w:rsidRPr="000D3581">
        <w:rPr>
          <w:rFonts w:ascii="Times New Roman" w:hAnsi="Times New Roman"/>
          <w:sz w:val="24"/>
          <w:szCs w:val="24"/>
        </w:rPr>
        <w:t xml:space="preserve"> pension plans on the managers’ decision to pay dividends against all other possible uses of the firm’s cash, including reinvestment or keeping funds in the company</w:t>
      </w:r>
      <w:r w:rsidR="008C3E38">
        <w:rPr>
          <w:rFonts w:ascii="Times New Roman" w:hAnsi="Times New Roman"/>
          <w:sz w:val="24"/>
          <w:szCs w:val="24"/>
        </w:rPr>
        <w:t xml:space="preserve"> for future liquidity needs</w:t>
      </w:r>
      <w:r w:rsidRPr="000D3581">
        <w:rPr>
          <w:rFonts w:ascii="Times New Roman" w:hAnsi="Times New Roman"/>
          <w:sz w:val="24"/>
          <w:szCs w:val="24"/>
        </w:rPr>
        <w:t xml:space="preserve">. </w:t>
      </w:r>
      <w:r w:rsidR="00A42A50">
        <w:rPr>
          <w:rFonts w:ascii="Times New Roman" w:hAnsi="Times New Roman"/>
          <w:sz w:val="24"/>
          <w:szCs w:val="24"/>
        </w:rPr>
        <w:t>Because</w:t>
      </w:r>
      <w:r>
        <w:rPr>
          <w:rFonts w:ascii="Times New Roman" w:hAnsi="Times New Roman"/>
          <w:sz w:val="24"/>
          <w:szCs w:val="24"/>
        </w:rPr>
        <w:t xml:space="preserve"> the manager’s decision to pay dividend</w:t>
      </w:r>
      <w:r w:rsidR="008C3E38">
        <w:rPr>
          <w:rFonts w:ascii="Times New Roman" w:hAnsi="Times New Roman"/>
          <w:sz w:val="24"/>
          <w:szCs w:val="24"/>
        </w:rPr>
        <w:t>s</w:t>
      </w:r>
      <w:r>
        <w:rPr>
          <w:rFonts w:ascii="Times New Roman" w:hAnsi="Times New Roman"/>
          <w:sz w:val="24"/>
          <w:szCs w:val="24"/>
        </w:rPr>
        <w:t xml:space="preserve"> is driven also by a set of advantages/disadvantages of dividends </w:t>
      </w:r>
      <w:r w:rsidR="003B6759">
        <w:rPr>
          <w:rFonts w:ascii="Times New Roman" w:hAnsi="Times New Roman"/>
          <w:sz w:val="24"/>
          <w:szCs w:val="24"/>
        </w:rPr>
        <w:t>versus other possible uses of the firm’s cash flows</w:t>
      </w:r>
      <w:r>
        <w:rPr>
          <w:rFonts w:ascii="Times New Roman" w:hAnsi="Times New Roman"/>
          <w:sz w:val="24"/>
          <w:szCs w:val="24"/>
        </w:rPr>
        <w:t xml:space="preserve"> (e.g., available investment</w:t>
      </w:r>
      <w:r w:rsidR="00A42A50">
        <w:rPr>
          <w:rFonts w:ascii="Times New Roman" w:hAnsi="Times New Roman"/>
          <w:sz w:val="24"/>
          <w:szCs w:val="24"/>
        </w:rPr>
        <w:t>s</w:t>
      </w:r>
      <w:r>
        <w:rPr>
          <w:rFonts w:ascii="Times New Roman" w:hAnsi="Times New Roman"/>
          <w:sz w:val="24"/>
          <w:szCs w:val="24"/>
        </w:rPr>
        <w:t xml:space="preserve">, tax effects), </w:t>
      </w:r>
      <w:r w:rsidR="003B6759">
        <w:rPr>
          <w:rFonts w:ascii="Times New Roman" w:hAnsi="Times New Roman"/>
          <w:sz w:val="24"/>
          <w:szCs w:val="24"/>
        </w:rPr>
        <w:t xml:space="preserve">we focus </w:t>
      </w:r>
      <w:r w:rsidR="004E5195">
        <w:rPr>
          <w:rFonts w:ascii="Times New Roman" w:hAnsi="Times New Roman"/>
          <w:sz w:val="24"/>
          <w:szCs w:val="24"/>
        </w:rPr>
        <w:t>next</w:t>
      </w:r>
      <w:r w:rsidR="003B6759">
        <w:rPr>
          <w:rFonts w:ascii="Times New Roman" w:hAnsi="Times New Roman"/>
          <w:sz w:val="24"/>
          <w:szCs w:val="24"/>
        </w:rPr>
        <w:t xml:space="preserve"> on the form of the payout. </w:t>
      </w:r>
      <w:r w:rsidR="003B6759">
        <w:rPr>
          <w:rFonts w:ascii="Times New Roman" w:hAnsi="Times New Roman"/>
          <w:bCs/>
          <w:sz w:val="24"/>
          <w:szCs w:val="24"/>
        </w:rPr>
        <w:t xml:space="preserve">In particular, after deciding the optimal </w:t>
      </w:r>
      <w:r w:rsidR="004E5195">
        <w:rPr>
          <w:rFonts w:ascii="Times New Roman" w:hAnsi="Times New Roman"/>
          <w:bCs/>
          <w:sz w:val="24"/>
          <w:szCs w:val="24"/>
        </w:rPr>
        <w:t xml:space="preserve">level of </w:t>
      </w:r>
      <w:r w:rsidR="003B6759">
        <w:rPr>
          <w:rFonts w:ascii="Times New Roman" w:hAnsi="Times New Roman"/>
          <w:bCs/>
          <w:sz w:val="24"/>
          <w:szCs w:val="24"/>
        </w:rPr>
        <w:t xml:space="preserve">cash that should be distributed to shareholders, the manager can still choose a preferred form of the payout: cash dividend or stock repurchase. As discussed above, </w:t>
      </w:r>
      <w:r w:rsidR="003B6759">
        <w:rPr>
          <w:rFonts w:ascii="Times New Roman" w:hAnsi="Times New Roman"/>
          <w:sz w:val="24"/>
          <w:szCs w:val="24"/>
        </w:rPr>
        <w:t xml:space="preserve">dividends are a long-term commitment, </w:t>
      </w:r>
      <w:r w:rsidR="00AB2E9A">
        <w:rPr>
          <w:rFonts w:ascii="Times New Roman" w:hAnsi="Times New Roman"/>
          <w:sz w:val="24"/>
          <w:szCs w:val="24"/>
        </w:rPr>
        <w:t xml:space="preserve">and </w:t>
      </w:r>
      <w:r w:rsidR="003B6759">
        <w:rPr>
          <w:rFonts w:ascii="Times New Roman" w:hAnsi="Times New Roman"/>
          <w:sz w:val="24"/>
          <w:szCs w:val="24"/>
        </w:rPr>
        <w:t xml:space="preserve">changes to dividend policy can substantially alter </w:t>
      </w:r>
      <w:r w:rsidR="004E5195">
        <w:rPr>
          <w:rFonts w:ascii="Times New Roman" w:hAnsi="Times New Roman"/>
          <w:sz w:val="24"/>
          <w:szCs w:val="24"/>
        </w:rPr>
        <w:t xml:space="preserve">the </w:t>
      </w:r>
      <w:r w:rsidR="003B6759">
        <w:rPr>
          <w:rFonts w:ascii="Times New Roman" w:hAnsi="Times New Roman"/>
          <w:sz w:val="24"/>
          <w:szCs w:val="24"/>
        </w:rPr>
        <w:t>market perception of the firm</w:t>
      </w:r>
      <w:r w:rsidR="004E5195">
        <w:rPr>
          <w:rFonts w:ascii="Times New Roman" w:hAnsi="Times New Roman"/>
          <w:sz w:val="24"/>
          <w:szCs w:val="24"/>
        </w:rPr>
        <w:t xml:space="preserve">. In </w:t>
      </w:r>
      <w:r w:rsidR="003B6759">
        <w:rPr>
          <w:rFonts w:ascii="Times New Roman" w:hAnsi="Times New Roman"/>
          <w:sz w:val="24"/>
          <w:szCs w:val="24"/>
        </w:rPr>
        <w:t>contrast</w:t>
      </w:r>
      <w:r w:rsidR="004E5195">
        <w:rPr>
          <w:rFonts w:ascii="Times New Roman" w:hAnsi="Times New Roman"/>
          <w:sz w:val="24"/>
          <w:szCs w:val="24"/>
        </w:rPr>
        <w:t>,</w:t>
      </w:r>
      <w:r w:rsidR="003B6759">
        <w:rPr>
          <w:rFonts w:ascii="Times New Roman" w:hAnsi="Times New Roman"/>
          <w:sz w:val="24"/>
          <w:szCs w:val="24"/>
        </w:rPr>
        <w:t xml:space="preserve"> stock repurchases are </w:t>
      </w:r>
      <w:r w:rsidR="004E5195">
        <w:rPr>
          <w:rFonts w:ascii="Times New Roman" w:hAnsi="Times New Roman"/>
          <w:sz w:val="24"/>
          <w:szCs w:val="24"/>
        </w:rPr>
        <w:t xml:space="preserve">typically </w:t>
      </w:r>
      <w:r w:rsidR="003B6759">
        <w:rPr>
          <w:rFonts w:ascii="Times New Roman" w:hAnsi="Times New Roman"/>
          <w:sz w:val="24"/>
          <w:szCs w:val="24"/>
        </w:rPr>
        <w:lastRenderedPageBreak/>
        <w:t xml:space="preserve">viewed as a one-time payout. We expect therefore </w:t>
      </w:r>
      <w:r w:rsidR="00A42A50">
        <w:rPr>
          <w:rFonts w:ascii="Times New Roman" w:hAnsi="Times New Roman"/>
          <w:sz w:val="24"/>
          <w:szCs w:val="24"/>
        </w:rPr>
        <w:t>that high</w:t>
      </w:r>
      <w:r w:rsidR="003B6759">
        <w:rPr>
          <w:rFonts w:ascii="Times New Roman" w:hAnsi="Times New Roman"/>
          <w:sz w:val="24"/>
          <w:szCs w:val="24"/>
        </w:rPr>
        <w:t xml:space="preserve"> pension-based compensation will </w:t>
      </w:r>
      <w:r w:rsidR="00A42A50">
        <w:rPr>
          <w:rFonts w:ascii="Times New Roman" w:hAnsi="Times New Roman"/>
          <w:sz w:val="24"/>
          <w:szCs w:val="24"/>
        </w:rPr>
        <w:t>result in lower level of dividend</w:t>
      </w:r>
      <w:r w:rsidR="00AB2E9A">
        <w:rPr>
          <w:rFonts w:ascii="Times New Roman" w:hAnsi="Times New Roman"/>
          <w:sz w:val="24"/>
          <w:szCs w:val="24"/>
        </w:rPr>
        <w:t>s</w:t>
      </w:r>
      <w:r w:rsidR="00A42A50">
        <w:rPr>
          <w:rFonts w:ascii="Times New Roman" w:hAnsi="Times New Roman"/>
          <w:sz w:val="24"/>
          <w:szCs w:val="24"/>
        </w:rPr>
        <w:t>, relative to stock repurchase</w:t>
      </w:r>
      <w:r w:rsidR="00AB2E9A">
        <w:rPr>
          <w:rFonts w:ascii="Times New Roman" w:hAnsi="Times New Roman"/>
          <w:sz w:val="24"/>
          <w:szCs w:val="24"/>
        </w:rPr>
        <w:t>s.</w:t>
      </w:r>
    </w:p>
    <w:p w:rsidR="003B6759" w:rsidRDefault="003B6759" w:rsidP="00AB2E9A">
      <w:pPr>
        <w:tabs>
          <w:tab w:val="left" w:pos="1260"/>
        </w:tabs>
        <w:spacing w:before="240" w:after="0" w:line="360" w:lineRule="auto"/>
        <w:ind w:left="1267" w:right="720" w:hanging="547"/>
        <w:jc w:val="both"/>
        <w:rPr>
          <w:rFonts w:ascii="Times New Roman" w:hAnsi="Times New Roman"/>
          <w:i/>
          <w:sz w:val="24"/>
          <w:szCs w:val="24"/>
        </w:rPr>
      </w:pPr>
      <w:r w:rsidRPr="009E3021">
        <w:rPr>
          <w:rFonts w:ascii="Times New Roman" w:hAnsi="Times New Roman"/>
          <w:i/>
          <w:sz w:val="24"/>
          <w:szCs w:val="24"/>
        </w:rPr>
        <w:t>H</w:t>
      </w:r>
      <w:r>
        <w:rPr>
          <w:rFonts w:ascii="Times New Roman" w:hAnsi="Times New Roman"/>
          <w:i/>
          <w:sz w:val="24"/>
          <w:szCs w:val="24"/>
        </w:rPr>
        <w:t>2</w:t>
      </w:r>
      <w:r w:rsidRPr="009E3021">
        <w:rPr>
          <w:rFonts w:ascii="Times New Roman" w:hAnsi="Times New Roman"/>
          <w:i/>
          <w:sz w:val="24"/>
          <w:szCs w:val="24"/>
        </w:rPr>
        <w:t xml:space="preserve">: </w:t>
      </w:r>
      <w:r>
        <w:rPr>
          <w:rFonts w:ascii="Times New Roman" w:hAnsi="Times New Roman"/>
          <w:i/>
          <w:sz w:val="24"/>
          <w:szCs w:val="24"/>
        </w:rPr>
        <w:tab/>
      </w:r>
      <w:r w:rsidRPr="009E3021">
        <w:rPr>
          <w:rFonts w:ascii="Times New Roman" w:hAnsi="Times New Roman"/>
          <w:i/>
          <w:sz w:val="24"/>
          <w:szCs w:val="24"/>
        </w:rPr>
        <w:t xml:space="preserve">Firms with larger </w:t>
      </w:r>
      <w:r>
        <w:rPr>
          <w:rFonts w:ascii="Times New Roman" w:hAnsi="Times New Roman"/>
          <w:i/>
          <w:sz w:val="24"/>
          <w:szCs w:val="24"/>
        </w:rPr>
        <w:t xml:space="preserve">executive </w:t>
      </w:r>
      <w:r w:rsidRPr="009E3021">
        <w:rPr>
          <w:rFonts w:ascii="Times New Roman" w:hAnsi="Times New Roman"/>
          <w:i/>
          <w:sz w:val="24"/>
          <w:szCs w:val="24"/>
        </w:rPr>
        <w:t>pension</w:t>
      </w:r>
      <w:r>
        <w:rPr>
          <w:rFonts w:ascii="Times New Roman" w:hAnsi="Times New Roman"/>
          <w:i/>
          <w:sz w:val="24"/>
          <w:szCs w:val="24"/>
        </w:rPr>
        <w:t xml:space="preserve"> plans will pay lower dividends net of stock repurchases.</w:t>
      </w:r>
      <w:r w:rsidRPr="009E3021">
        <w:rPr>
          <w:rFonts w:ascii="Times New Roman" w:hAnsi="Times New Roman"/>
          <w:i/>
          <w:sz w:val="24"/>
          <w:szCs w:val="24"/>
        </w:rPr>
        <w:t xml:space="preserve"> </w:t>
      </w:r>
    </w:p>
    <w:p w:rsidR="00D42EBD" w:rsidRDefault="0023178B" w:rsidP="00042A35">
      <w:pPr>
        <w:spacing w:before="240" w:after="0" w:line="480" w:lineRule="auto"/>
        <w:ind w:firstLine="360"/>
        <w:jc w:val="both"/>
        <w:rPr>
          <w:rFonts w:ascii="Times New Roman" w:hAnsi="Times New Roman" w:cs="Times New Roman"/>
          <w:sz w:val="24"/>
          <w:szCs w:val="24"/>
        </w:rPr>
      </w:pPr>
      <w:r w:rsidRPr="007F0407">
        <w:rPr>
          <w:rFonts w:ascii="Times New Roman" w:hAnsi="Times New Roman" w:cs="Times New Roman"/>
          <w:sz w:val="24"/>
          <w:szCs w:val="24"/>
          <w:lang w:val="en-CA"/>
        </w:rPr>
        <w:fldChar w:fldCharType="begin"/>
      </w:r>
      <w:r w:rsidR="007F0407" w:rsidRPr="007F0407">
        <w:rPr>
          <w:rFonts w:ascii="Times New Roman" w:hAnsi="Times New Roman" w:cs="Times New Roman"/>
          <w:sz w:val="24"/>
          <w:szCs w:val="24"/>
          <w:lang w:val="en-CA"/>
        </w:rPr>
        <w:instrText xml:space="preserve"> SEQ CHAPTER \h \r 1</w:instrText>
      </w:r>
      <w:r w:rsidRPr="007F0407">
        <w:rPr>
          <w:rFonts w:ascii="Times New Roman" w:hAnsi="Times New Roman" w:cs="Times New Roman"/>
          <w:sz w:val="24"/>
          <w:szCs w:val="24"/>
          <w:lang w:val="en-CA"/>
        </w:rPr>
        <w:fldChar w:fldCharType="end"/>
      </w:r>
      <w:r w:rsidR="007F0407" w:rsidRPr="007F0407">
        <w:rPr>
          <w:rFonts w:ascii="Times New Roman" w:hAnsi="Times New Roman" w:cs="Times New Roman"/>
          <w:sz w:val="24"/>
          <w:szCs w:val="24"/>
        </w:rPr>
        <w:t>The ultimate question for any manager is whether the firm will be willing and able to pay her pension entitlement upon retirement. To reduce anxiety related to the firm’s ability to pay future pension benefits, firms may choose to pre-fund the executive pension entitlements via a rabbi trust. Firms with pre-funded pensions (about 24% of our sample firms) may establish a rabbi trust to hold the pension assets of each executive. We argue that a funded pension plan reduces the manager’s cash-preserving incentives.</w:t>
      </w:r>
      <w:r w:rsidR="007F0407" w:rsidDel="00C06D9E">
        <w:rPr>
          <w:rFonts w:ascii="Times New Roman" w:hAnsi="Times New Roman"/>
          <w:bCs/>
          <w:sz w:val="24"/>
          <w:szCs w:val="24"/>
        </w:rPr>
        <w:t xml:space="preserve"> </w:t>
      </w:r>
    </w:p>
    <w:p w:rsidR="00D42EBD" w:rsidRDefault="00D42EBD" w:rsidP="00042A35">
      <w:pPr>
        <w:spacing w:before="240" w:after="0" w:line="48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Bachelder</w:t>
      </w:r>
      <w:proofErr w:type="spellEnd"/>
      <w:r>
        <w:rPr>
          <w:rFonts w:ascii="Times New Roman" w:hAnsi="Times New Roman" w:cs="Times New Roman"/>
          <w:sz w:val="24"/>
          <w:szCs w:val="24"/>
        </w:rPr>
        <w:t xml:space="preserve"> (2002) reports that a </w:t>
      </w:r>
      <w:r w:rsidR="00694954">
        <w:rPr>
          <w:rFonts w:ascii="Times New Roman" w:hAnsi="Times New Roman" w:cs="Times New Roman"/>
          <w:sz w:val="24"/>
          <w:szCs w:val="24"/>
        </w:rPr>
        <w:t>firm</w:t>
      </w:r>
      <w:r>
        <w:rPr>
          <w:rFonts w:ascii="Times New Roman" w:hAnsi="Times New Roman" w:cs="Times New Roman"/>
          <w:sz w:val="24"/>
          <w:szCs w:val="24"/>
        </w:rPr>
        <w:t xml:space="preserve"> choosing to fund a SERP for an executive has a number of regulatory hurdles to overcome. Rabbi trusts are instruments that were developed to help </w:t>
      </w:r>
      <w:r w:rsidR="004D348E">
        <w:rPr>
          <w:rFonts w:ascii="Times New Roman" w:hAnsi="Times New Roman" w:cs="Times New Roman"/>
          <w:sz w:val="24"/>
          <w:szCs w:val="24"/>
        </w:rPr>
        <w:t>deferring</w:t>
      </w:r>
      <w:r>
        <w:rPr>
          <w:rFonts w:ascii="Times New Roman" w:hAnsi="Times New Roman" w:cs="Times New Roman"/>
          <w:sz w:val="24"/>
          <w:szCs w:val="24"/>
        </w:rPr>
        <w:t xml:space="preserve"> the taxability of a corporation or individual, and are natural vehicles for funding SERPs. A company can transfer financial assets to a rabbi trust for the exclusive benefit of the executive under the condition that the assets remain liable to the company’s creditors in a default. Despite the absence of creditor protection, we argue that the </w:t>
      </w:r>
      <w:r w:rsidR="00745638">
        <w:rPr>
          <w:rFonts w:ascii="Times New Roman" w:hAnsi="Times New Roman" w:cs="Times New Roman"/>
          <w:sz w:val="24"/>
          <w:szCs w:val="24"/>
        </w:rPr>
        <w:t>presence</w:t>
      </w:r>
      <w:r>
        <w:rPr>
          <w:rFonts w:ascii="Times New Roman" w:hAnsi="Times New Roman" w:cs="Times New Roman"/>
          <w:sz w:val="24"/>
          <w:szCs w:val="24"/>
        </w:rPr>
        <w:t xml:space="preserve"> of funded pension </w:t>
      </w:r>
      <w:r w:rsidR="00A42A50">
        <w:rPr>
          <w:rFonts w:ascii="Times New Roman" w:hAnsi="Times New Roman" w:cs="Times New Roman"/>
          <w:sz w:val="24"/>
          <w:szCs w:val="24"/>
        </w:rPr>
        <w:t>neutralizes the cash-preserving incentive</w:t>
      </w:r>
      <w:r>
        <w:rPr>
          <w:rFonts w:ascii="Times New Roman" w:hAnsi="Times New Roman" w:cs="Times New Roman"/>
          <w:sz w:val="24"/>
          <w:szCs w:val="24"/>
        </w:rPr>
        <w:t>. This is especially true given that most managers are entitled to an actuarial lump-sum pension value on r</w:t>
      </w:r>
      <w:r w:rsidR="00994C89">
        <w:rPr>
          <w:rFonts w:ascii="Times New Roman" w:hAnsi="Times New Roman" w:cs="Times New Roman"/>
          <w:sz w:val="24"/>
          <w:szCs w:val="24"/>
        </w:rPr>
        <w:t>eaching retirement</w:t>
      </w:r>
      <w:r w:rsidR="00236167">
        <w:rPr>
          <w:rFonts w:ascii="Times New Roman" w:hAnsi="Times New Roman" w:cs="Times New Roman"/>
          <w:sz w:val="24"/>
          <w:szCs w:val="24"/>
        </w:rPr>
        <w:t xml:space="preserve"> age</w:t>
      </w:r>
      <w:r w:rsidR="00326B8A">
        <w:rPr>
          <w:rFonts w:ascii="Times New Roman" w:hAnsi="Times New Roman" w:cs="Times New Roman"/>
          <w:sz w:val="24"/>
          <w:szCs w:val="24"/>
        </w:rPr>
        <w:t xml:space="preserve">, </w:t>
      </w:r>
      <w:r w:rsidR="007F0407">
        <w:rPr>
          <w:rFonts w:ascii="Times New Roman" w:hAnsi="Times New Roman" w:cs="Times New Roman"/>
          <w:sz w:val="24"/>
          <w:szCs w:val="24"/>
        </w:rPr>
        <w:t xml:space="preserve">thus </w:t>
      </w:r>
      <w:r w:rsidR="00326B8A">
        <w:rPr>
          <w:rFonts w:ascii="Times New Roman" w:hAnsi="Times New Roman" w:cs="Times New Roman"/>
          <w:sz w:val="24"/>
          <w:szCs w:val="24"/>
        </w:rPr>
        <w:t>leaving concern</w:t>
      </w:r>
      <w:r w:rsidR="00AB2E9A">
        <w:rPr>
          <w:rFonts w:ascii="Times New Roman" w:hAnsi="Times New Roman" w:cs="Times New Roman"/>
          <w:sz w:val="24"/>
          <w:szCs w:val="24"/>
        </w:rPr>
        <w:t>s</w:t>
      </w:r>
      <w:r w:rsidR="00326B8A">
        <w:rPr>
          <w:rFonts w:ascii="Times New Roman" w:hAnsi="Times New Roman" w:cs="Times New Roman"/>
          <w:sz w:val="24"/>
          <w:szCs w:val="24"/>
        </w:rPr>
        <w:t xml:space="preserve"> </w:t>
      </w:r>
      <w:r w:rsidR="00AB2E9A">
        <w:rPr>
          <w:rFonts w:ascii="Times New Roman" w:hAnsi="Times New Roman" w:cs="Times New Roman"/>
          <w:sz w:val="24"/>
          <w:szCs w:val="24"/>
        </w:rPr>
        <w:t xml:space="preserve">related </w:t>
      </w:r>
      <w:r w:rsidR="00E937C2">
        <w:rPr>
          <w:rFonts w:ascii="Times New Roman" w:hAnsi="Times New Roman" w:cs="Times New Roman"/>
          <w:sz w:val="24"/>
          <w:szCs w:val="24"/>
        </w:rPr>
        <w:t xml:space="preserve">only </w:t>
      </w:r>
      <w:r w:rsidR="00AB2E9A">
        <w:rPr>
          <w:rFonts w:ascii="Times New Roman" w:hAnsi="Times New Roman" w:cs="Times New Roman"/>
          <w:sz w:val="24"/>
          <w:szCs w:val="24"/>
        </w:rPr>
        <w:t xml:space="preserve">to </w:t>
      </w:r>
      <w:r w:rsidR="00395F04">
        <w:rPr>
          <w:rFonts w:ascii="Times New Roman" w:hAnsi="Times New Roman" w:cs="Times New Roman"/>
          <w:sz w:val="24"/>
          <w:szCs w:val="24"/>
        </w:rPr>
        <w:t>losing their pension in the</w:t>
      </w:r>
      <w:r w:rsidR="002403B7">
        <w:rPr>
          <w:rFonts w:ascii="Times New Roman" w:hAnsi="Times New Roman" w:cs="Times New Roman"/>
          <w:sz w:val="24"/>
          <w:szCs w:val="24"/>
        </w:rPr>
        <w:t xml:space="preserve"> years leading up to</w:t>
      </w:r>
      <w:r w:rsidR="00236167">
        <w:rPr>
          <w:rFonts w:ascii="Times New Roman" w:hAnsi="Times New Roman" w:cs="Times New Roman"/>
          <w:sz w:val="24"/>
          <w:szCs w:val="24"/>
        </w:rPr>
        <w:t xml:space="preserve"> their retirement</w:t>
      </w:r>
      <w:r w:rsidR="002403B7">
        <w:rPr>
          <w:rFonts w:ascii="Times New Roman" w:hAnsi="Times New Roman" w:cs="Times New Roman"/>
          <w:sz w:val="24"/>
          <w:szCs w:val="24"/>
        </w:rPr>
        <w:t>.</w:t>
      </w:r>
      <w:r w:rsidR="00745638">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4D348E">
        <w:rPr>
          <w:rFonts w:ascii="Times New Roman" w:hAnsi="Times New Roman" w:cs="Times New Roman"/>
          <w:sz w:val="24"/>
          <w:szCs w:val="24"/>
        </w:rPr>
        <w:t xml:space="preserve">Our </w:t>
      </w:r>
      <w:r w:rsidR="00E2128C">
        <w:rPr>
          <w:rFonts w:ascii="Times New Roman" w:hAnsi="Times New Roman" w:cs="Times New Roman"/>
          <w:sz w:val="24"/>
          <w:szCs w:val="24"/>
        </w:rPr>
        <w:t xml:space="preserve">third </w:t>
      </w:r>
      <w:r w:rsidR="004D348E">
        <w:rPr>
          <w:rFonts w:ascii="Times New Roman" w:hAnsi="Times New Roman" w:cs="Times New Roman"/>
          <w:sz w:val="24"/>
          <w:szCs w:val="24"/>
        </w:rPr>
        <w:t>hypothesis is therefore</w:t>
      </w:r>
      <w:r>
        <w:rPr>
          <w:rFonts w:ascii="Times New Roman" w:hAnsi="Times New Roman" w:cs="Times New Roman"/>
          <w:sz w:val="24"/>
          <w:szCs w:val="24"/>
        </w:rPr>
        <w:t>:</w:t>
      </w:r>
    </w:p>
    <w:p w:rsidR="00186404" w:rsidRDefault="00186404" w:rsidP="00E2128C">
      <w:pPr>
        <w:tabs>
          <w:tab w:val="left" w:pos="450"/>
          <w:tab w:val="left" w:pos="630"/>
          <w:tab w:val="left" w:pos="900"/>
          <w:tab w:val="left" w:pos="1260"/>
        </w:tabs>
        <w:autoSpaceDE w:val="0"/>
        <w:autoSpaceDN w:val="0"/>
        <w:adjustRightInd w:val="0"/>
        <w:spacing w:before="240" w:after="0" w:line="360" w:lineRule="auto"/>
        <w:ind w:left="1267" w:right="720" w:hanging="547"/>
        <w:jc w:val="both"/>
        <w:rPr>
          <w:rFonts w:ascii="Times New Roman" w:hAnsi="Times New Roman" w:cs="Times New Roman"/>
          <w:i/>
          <w:sz w:val="24"/>
          <w:szCs w:val="24"/>
        </w:rPr>
      </w:pPr>
      <w:r w:rsidRPr="00F438A4">
        <w:rPr>
          <w:rFonts w:ascii="Times New Roman" w:hAnsi="Times New Roman" w:cs="Times New Roman"/>
          <w:i/>
          <w:sz w:val="24"/>
          <w:szCs w:val="24"/>
        </w:rPr>
        <w:lastRenderedPageBreak/>
        <w:t>H</w:t>
      </w:r>
      <w:r w:rsidR="008C272C">
        <w:rPr>
          <w:rFonts w:ascii="Times New Roman" w:hAnsi="Times New Roman" w:cs="Times New Roman"/>
          <w:i/>
          <w:sz w:val="24"/>
          <w:szCs w:val="24"/>
        </w:rPr>
        <w:t>3</w:t>
      </w:r>
      <w:r w:rsidRPr="00F438A4">
        <w:rPr>
          <w:rFonts w:ascii="Times New Roman" w:hAnsi="Times New Roman" w:cs="Times New Roman"/>
          <w:i/>
          <w:sz w:val="24"/>
          <w:szCs w:val="24"/>
        </w:rPr>
        <w:t xml:space="preserve">: </w:t>
      </w:r>
      <w:r w:rsidR="00FE49A5">
        <w:rPr>
          <w:rFonts w:ascii="Times New Roman" w:hAnsi="Times New Roman" w:cs="Times New Roman"/>
          <w:i/>
          <w:sz w:val="24"/>
          <w:szCs w:val="24"/>
        </w:rPr>
        <w:tab/>
        <w:t xml:space="preserve">The negative association between pension size and dividend payments will be weaker when pensions are pre-funded. </w:t>
      </w:r>
    </w:p>
    <w:p w:rsidR="00FE49A5" w:rsidRPr="00876E08" w:rsidRDefault="00FE49A5" w:rsidP="00FE49A5">
      <w:pPr>
        <w:tabs>
          <w:tab w:val="left" w:pos="450"/>
          <w:tab w:val="left" w:pos="630"/>
          <w:tab w:val="left" w:pos="810"/>
          <w:tab w:val="left" w:pos="900"/>
        </w:tabs>
        <w:autoSpaceDE w:val="0"/>
        <w:autoSpaceDN w:val="0"/>
        <w:adjustRightInd w:val="0"/>
        <w:spacing w:after="0" w:line="480" w:lineRule="auto"/>
        <w:ind w:left="634" w:hanging="634"/>
        <w:jc w:val="both"/>
        <w:rPr>
          <w:rFonts w:ascii="Times New Roman" w:hAnsi="Times New Roman" w:cs="Times New Roman"/>
          <w:i/>
          <w:sz w:val="24"/>
          <w:szCs w:val="24"/>
        </w:rPr>
      </w:pPr>
    </w:p>
    <w:p w:rsidR="004B0F2A" w:rsidRDefault="00642465" w:rsidP="00EE20C8">
      <w:pPr>
        <w:spacing w:after="0" w:line="480" w:lineRule="auto"/>
        <w:jc w:val="both"/>
        <w:rPr>
          <w:sz w:val="32"/>
          <w:szCs w:val="32"/>
        </w:rPr>
      </w:pPr>
      <w:r>
        <w:rPr>
          <w:sz w:val="32"/>
          <w:szCs w:val="32"/>
        </w:rPr>
        <w:t>4</w:t>
      </w:r>
      <w:r w:rsidR="00EA1E99">
        <w:rPr>
          <w:sz w:val="32"/>
          <w:szCs w:val="32"/>
        </w:rPr>
        <w:t xml:space="preserve">. </w:t>
      </w:r>
      <w:r w:rsidR="00E855D2">
        <w:rPr>
          <w:sz w:val="32"/>
          <w:szCs w:val="32"/>
        </w:rPr>
        <w:t>Variable Estimation</w:t>
      </w:r>
      <w:r w:rsidR="00EA1E99" w:rsidRPr="00275F54">
        <w:rPr>
          <w:sz w:val="32"/>
          <w:szCs w:val="32"/>
        </w:rPr>
        <w:t xml:space="preserve"> </w:t>
      </w:r>
    </w:p>
    <w:p w:rsidR="00183902" w:rsidRDefault="00183902" w:rsidP="001839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measure the level of a firm’s </w:t>
      </w:r>
      <w:r w:rsidR="00A04F5D">
        <w:rPr>
          <w:rFonts w:ascii="Times New Roman" w:hAnsi="Times New Roman" w:cs="Times New Roman"/>
          <w:sz w:val="24"/>
          <w:szCs w:val="24"/>
        </w:rPr>
        <w:t xml:space="preserve">annual </w:t>
      </w:r>
      <w:r>
        <w:rPr>
          <w:rFonts w:ascii="Times New Roman" w:hAnsi="Times New Roman" w:cs="Times New Roman"/>
          <w:sz w:val="24"/>
          <w:szCs w:val="24"/>
        </w:rPr>
        <w:t xml:space="preserve">dividend payment by both the dividend </w:t>
      </w:r>
      <w:r w:rsidR="00405C76">
        <w:rPr>
          <w:rFonts w:ascii="Times New Roman" w:hAnsi="Times New Roman" w:cs="Times New Roman"/>
          <w:sz w:val="24"/>
          <w:szCs w:val="24"/>
        </w:rPr>
        <w:t xml:space="preserve">yield </w:t>
      </w:r>
      <w:r>
        <w:rPr>
          <w:rFonts w:ascii="Times New Roman" w:hAnsi="Times New Roman" w:cs="Times New Roman"/>
          <w:sz w:val="24"/>
          <w:szCs w:val="24"/>
        </w:rPr>
        <w:t xml:space="preserve">(dividend </w:t>
      </w:r>
      <w:r w:rsidR="00A04F5D">
        <w:rPr>
          <w:rFonts w:ascii="Times New Roman" w:hAnsi="Times New Roman" w:cs="Times New Roman"/>
          <w:sz w:val="24"/>
          <w:szCs w:val="24"/>
        </w:rPr>
        <w:t xml:space="preserve">paid during the year </w:t>
      </w:r>
      <w:r>
        <w:rPr>
          <w:rFonts w:ascii="Times New Roman" w:hAnsi="Times New Roman" w:cs="Times New Roman"/>
          <w:sz w:val="24"/>
          <w:szCs w:val="24"/>
        </w:rPr>
        <w:t>divided by share price</w:t>
      </w:r>
      <w:r w:rsidR="00A04F5D">
        <w:rPr>
          <w:rFonts w:ascii="Times New Roman" w:hAnsi="Times New Roman" w:cs="Times New Roman"/>
          <w:sz w:val="24"/>
          <w:szCs w:val="24"/>
        </w:rPr>
        <w:t xml:space="preserve"> </w:t>
      </w:r>
      <w:r w:rsidR="00A04F5D" w:rsidRPr="00C91DF3">
        <w:rPr>
          <w:rFonts w:ascii="Times New Roman" w:hAnsi="Times New Roman" w:cs="Times New Roman"/>
          <w:sz w:val="24"/>
          <w:szCs w:val="24"/>
        </w:rPr>
        <w:t>at the end of the year</w:t>
      </w:r>
      <w:r>
        <w:rPr>
          <w:rFonts w:ascii="Times New Roman" w:hAnsi="Times New Roman" w:cs="Times New Roman"/>
          <w:sz w:val="24"/>
          <w:szCs w:val="24"/>
        </w:rPr>
        <w:t xml:space="preserve">) and the dividend payout ratio (dividend </w:t>
      </w:r>
      <w:r w:rsidR="00F66E43">
        <w:rPr>
          <w:rFonts w:ascii="Times New Roman" w:hAnsi="Times New Roman" w:cs="Times New Roman"/>
          <w:sz w:val="24"/>
          <w:szCs w:val="24"/>
        </w:rPr>
        <w:t xml:space="preserve">paid </w:t>
      </w:r>
      <w:r>
        <w:rPr>
          <w:rFonts w:ascii="Times New Roman" w:hAnsi="Times New Roman" w:cs="Times New Roman"/>
          <w:sz w:val="24"/>
          <w:szCs w:val="24"/>
        </w:rPr>
        <w:t xml:space="preserve">divided by available income). </w:t>
      </w:r>
      <w:r w:rsidR="008D494B">
        <w:rPr>
          <w:rFonts w:ascii="Times New Roman" w:hAnsi="Times New Roman" w:cs="Times New Roman"/>
          <w:sz w:val="24"/>
          <w:szCs w:val="24"/>
        </w:rPr>
        <w:t xml:space="preserve">We </w:t>
      </w:r>
      <w:r w:rsidR="00FB12DA">
        <w:rPr>
          <w:rFonts w:ascii="Times New Roman" w:hAnsi="Times New Roman" w:cs="Times New Roman"/>
          <w:sz w:val="24"/>
          <w:szCs w:val="24"/>
        </w:rPr>
        <w:t>measure</w:t>
      </w:r>
      <w:r w:rsidR="008D494B">
        <w:rPr>
          <w:rFonts w:ascii="Times New Roman" w:hAnsi="Times New Roman" w:cs="Times New Roman"/>
          <w:sz w:val="24"/>
          <w:szCs w:val="24"/>
        </w:rPr>
        <w:t xml:space="preserve"> the dividend net of stock repurchase by the dividend minus the difference between stock repurchase and stock issuance</w:t>
      </w:r>
      <w:r w:rsidR="008F7777">
        <w:rPr>
          <w:rFonts w:ascii="Times New Roman" w:hAnsi="Times New Roman" w:cs="Times New Roman"/>
          <w:sz w:val="24"/>
          <w:szCs w:val="24"/>
        </w:rPr>
        <w:t xml:space="preserve"> in the same year</w:t>
      </w:r>
      <w:r w:rsidR="008D494B">
        <w:rPr>
          <w:rFonts w:ascii="Times New Roman" w:hAnsi="Times New Roman" w:cs="Times New Roman"/>
          <w:sz w:val="24"/>
          <w:szCs w:val="24"/>
        </w:rPr>
        <w:t xml:space="preserve">, scaled by </w:t>
      </w:r>
      <w:r w:rsidR="00F66E43">
        <w:rPr>
          <w:rFonts w:ascii="Times New Roman" w:hAnsi="Times New Roman" w:cs="Times New Roman"/>
          <w:sz w:val="24"/>
          <w:szCs w:val="24"/>
        </w:rPr>
        <w:t xml:space="preserve">book value of </w:t>
      </w:r>
      <w:r w:rsidR="008D494B">
        <w:rPr>
          <w:rFonts w:ascii="Times New Roman" w:hAnsi="Times New Roman" w:cs="Times New Roman"/>
          <w:sz w:val="24"/>
          <w:szCs w:val="24"/>
        </w:rPr>
        <w:t>total assets</w:t>
      </w:r>
      <w:r w:rsidR="008F7777">
        <w:rPr>
          <w:rFonts w:ascii="Times New Roman" w:hAnsi="Times New Roman" w:cs="Times New Roman"/>
          <w:sz w:val="24"/>
          <w:szCs w:val="24"/>
        </w:rPr>
        <w:t xml:space="preserve"> </w:t>
      </w:r>
      <w:r w:rsidR="008F7777" w:rsidRPr="00C91DF3">
        <w:rPr>
          <w:rFonts w:ascii="Times New Roman" w:hAnsi="Times New Roman" w:cs="Times New Roman"/>
          <w:sz w:val="24"/>
          <w:szCs w:val="24"/>
        </w:rPr>
        <w:t>at the end of the year</w:t>
      </w:r>
      <w:r w:rsidR="008D494B">
        <w:rPr>
          <w:rFonts w:ascii="Times New Roman" w:hAnsi="Times New Roman" w:cs="Times New Roman"/>
          <w:sz w:val="24"/>
          <w:szCs w:val="24"/>
        </w:rPr>
        <w:t xml:space="preserve">. We adjust all measures to </w:t>
      </w:r>
      <w:r w:rsidR="008D494B" w:rsidRPr="00C91DF3">
        <w:rPr>
          <w:rFonts w:ascii="Times New Roman" w:hAnsi="Times New Roman" w:cs="Times New Roman"/>
          <w:sz w:val="24"/>
          <w:szCs w:val="24"/>
        </w:rPr>
        <w:t>industry average</w:t>
      </w:r>
      <w:r w:rsidR="005B321C" w:rsidRPr="00C91DF3">
        <w:rPr>
          <w:rFonts w:ascii="Times New Roman" w:hAnsi="Times New Roman" w:cs="Times New Roman"/>
          <w:sz w:val="24"/>
          <w:szCs w:val="24"/>
        </w:rPr>
        <w:t>s</w:t>
      </w:r>
      <w:r w:rsidR="008D494B">
        <w:rPr>
          <w:rFonts w:ascii="Times New Roman" w:hAnsi="Times New Roman" w:cs="Times New Roman"/>
          <w:sz w:val="24"/>
          <w:szCs w:val="24"/>
        </w:rPr>
        <w:t>, as</w:t>
      </w:r>
      <w:r>
        <w:rPr>
          <w:rFonts w:ascii="Times New Roman" w:hAnsi="Times New Roman" w:cs="Times New Roman"/>
          <w:sz w:val="24"/>
          <w:szCs w:val="24"/>
        </w:rPr>
        <w:t xml:space="preserve"> </w:t>
      </w:r>
      <w:r w:rsidRPr="00DF1D5A">
        <w:rPr>
          <w:rFonts w:ascii="Times New Roman" w:hAnsi="Times New Roman" w:cs="Times New Roman"/>
          <w:sz w:val="24"/>
          <w:szCs w:val="24"/>
        </w:rPr>
        <w:t xml:space="preserve">individual industries have substantially different demands </w:t>
      </w:r>
      <w:r>
        <w:rPr>
          <w:rFonts w:ascii="Times New Roman" w:hAnsi="Times New Roman" w:cs="Times New Roman"/>
          <w:sz w:val="24"/>
          <w:szCs w:val="24"/>
        </w:rPr>
        <w:t xml:space="preserve">and </w:t>
      </w:r>
      <w:r w:rsidRPr="00DF1D5A">
        <w:rPr>
          <w:rFonts w:ascii="Times New Roman" w:hAnsi="Times New Roman" w:cs="Times New Roman"/>
          <w:sz w:val="24"/>
          <w:szCs w:val="24"/>
        </w:rPr>
        <w:t xml:space="preserve">expectations </w:t>
      </w:r>
      <w:r w:rsidR="00F66E43">
        <w:rPr>
          <w:rFonts w:ascii="Times New Roman" w:hAnsi="Times New Roman" w:cs="Times New Roman"/>
          <w:sz w:val="24"/>
          <w:szCs w:val="24"/>
        </w:rPr>
        <w:t>for</w:t>
      </w:r>
      <w:r w:rsidRPr="00DF1D5A">
        <w:rPr>
          <w:rFonts w:ascii="Times New Roman" w:hAnsi="Times New Roman" w:cs="Times New Roman"/>
          <w:sz w:val="24"/>
          <w:szCs w:val="24"/>
        </w:rPr>
        <w:t xml:space="preserve"> dividend </w:t>
      </w:r>
      <w:r>
        <w:rPr>
          <w:rFonts w:ascii="Times New Roman" w:hAnsi="Times New Roman" w:cs="Times New Roman"/>
          <w:sz w:val="24"/>
          <w:szCs w:val="24"/>
        </w:rPr>
        <w:t>policy</w:t>
      </w:r>
      <w:r w:rsidR="009744C4">
        <w:rPr>
          <w:rFonts w:ascii="Times New Roman" w:hAnsi="Times New Roman" w:cs="Times New Roman"/>
          <w:sz w:val="24"/>
          <w:szCs w:val="24"/>
        </w:rPr>
        <w:t xml:space="preserve"> (we provide details in Table 2). </w:t>
      </w:r>
    </w:p>
    <w:p w:rsidR="00480714" w:rsidRDefault="00480714" w:rsidP="00183902">
      <w:pPr>
        <w:spacing w:before="240" w:after="0" w:line="480" w:lineRule="auto"/>
        <w:ind w:firstLine="360"/>
        <w:jc w:val="both"/>
        <w:rPr>
          <w:rFonts w:ascii="Times New Roman" w:hAnsi="Times New Roman"/>
          <w:sz w:val="24"/>
          <w:szCs w:val="24"/>
        </w:rPr>
      </w:pPr>
      <w:r>
        <w:rPr>
          <w:rFonts w:ascii="Times New Roman" w:hAnsi="Times New Roman"/>
          <w:sz w:val="24"/>
          <w:szCs w:val="24"/>
        </w:rPr>
        <w:t>We consider two measures of the extent of pension value. The first measure captures the relative importance of pension</w:t>
      </w:r>
      <w:r w:rsidR="001A2D70">
        <w:rPr>
          <w:rFonts w:ascii="Times New Roman" w:hAnsi="Times New Roman"/>
          <w:sz w:val="24"/>
          <w:szCs w:val="24"/>
        </w:rPr>
        <w:t>s</w:t>
      </w:r>
      <w:r>
        <w:rPr>
          <w:rFonts w:ascii="Times New Roman" w:hAnsi="Times New Roman"/>
          <w:sz w:val="24"/>
          <w:szCs w:val="24"/>
        </w:rPr>
        <w:t xml:space="preserve"> in the manager's </w:t>
      </w:r>
      <w:r w:rsidR="00EA212B">
        <w:rPr>
          <w:rFonts w:ascii="Times New Roman" w:hAnsi="Times New Roman"/>
          <w:sz w:val="24"/>
          <w:szCs w:val="24"/>
        </w:rPr>
        <w:t xml:space="preserve">total </w:t>
      </w:r>
      <w:r>
        <w:rPr>
          <w:rFonts w:ascii="Times New Roman" w:hAnsi="Times New Roman"/>
          <w:sz w:val="24"/>
          <w:szCs w:val="24"/>
        </w:rPr>
        <w:t xml:space="preserve">compensation package. We divide the </w:t>
      </w:r>
      <w:r w:rsidRPr="00483277">
        <w:rPr>
          <w:rFonts w:ascii="Times New Roman" w:hAnsi="Times New Roman"/>
          <w:sz w:val="24"/>
          <w:szCs w:val="24"/>
        </w:rPr>
        <w:t xml:space="preserve">present value of the </w:t>
      </w:r>
      <w:r w:rsidR="001A2D70">
        <w:rPr>
          <w:rFonts w:ascii="Times New Roman" w:hAnsi="Times New Roman"/>
          <w:sz w:val="24"/>
          <w:szCs w:val="24"/>
        </w:rPr>
        <w:t xml:space="preserve">manager’s </w:t>
      </w:r>
      <w:r w:rsidRPr="00483277">
        <w:rPr>
          <w:rFonts w:ascii="Times New Roman" w:hAnsi="Times New Roman"/>
          <w:sz w:val="24"/>
          <w:szCs w:val="24"/>
        </w:rPr>
        <w:t xml:space="preserve">pension by the </w:t>
      </w:r>
      <w:r>
        <w:rPr>
          <w:rFonts w:ascii="Times New Roman" w:hAnsi="Times New Roman"/>
          <w:sz w:val="24"/>
          <w:szCs w:val="24"/>
        </w:rPr>
        <w:t>sum of th</w:t>
      </w:r>
      <w:r w:rsidR="001A2D70">
        <w:rPr>
          <w:rFonts w:ascii="Times New Roman" w:hAnsi="Times New Roman"/>
          <w:sz w:val="24"/>
          <w:szCs w:val="24"/>
        </w:rPr>
        <w:t>is</w:t>
      </w:r>
      <w:r>
        <w:rPr>
          <w:rFonts w:ascii="Times New Roman" w:hAnsi="Times New Roman"/>
          <w:sz w:val="24"/>
          <w:szCs w:val="24"/>
        </w:rPr>
        <w:t xml:space="preserve"> </w:t>
      </w:r>
      <w:r w:rsidRPr="00483277">
        <w:rPr>
          <w:rFonts w:ascii="Times New Roman" w:hAnsi="Times New Roman"/>
          <w:sz w:val="24"/>
          <w:szCs w:val="24"/>
        </w:rPr>
        <w:t>present value and the values of stocks and stock-options held by th</w:t>
      </w:r>
      <w:r>
        <w:rPr>
          <w:rFonts w:ascii="Times New Roman" w:hAnsi="Times New Roman"/>
          <w:sz w:val="24"/>
          <w:szCs w:val="24"/>
        </w:rPr>
        <w:t>e manager</w:t>
      </w:r>
      <w:r w:rsidR="001A2D70">
        <w:rPr>
          <w:rFonts w:ascii="Times New Roman" w:hAnsi="Times New Roman"/>
          <w:sz w:val="24"/>
          <w:szCs w:val="24"/>
        </w:rPr>
        <w:t xml:space="preserve">. </w:t>
      </w:r>
      <w:r w:rsidR="00EA212B">
        <w:rPr>
          <w:rFonts w:ascii="Times New Roman" w:hAnsi="Times New Roman"/>
          <w:sz w:val="24"/>
          <w:szCs w:val="24"/>
        </w:rPr>
        <w:t xml:space="preserve">This ratio is typically </w:t>
      </w:r>
      <w:r w:rsidR="001A2D70">
        <w:rPr>
          <w:rFonts w:ascii="Times New Roman" w:hAnsi="Times New Roman"/>
          <w:sz w:val="24"/>
          <w:szCs w:val="24"/>
        </w:rPr>
        <w:t>refer</w:t>
      </w:r>
      <w:r w:rsidR="00EA212B">
        <w:rPr>
          <w:rFonts w:ascii="Times New Roman" w:hAnsi="Times New Roman"/>
          <w:sz w:val="24"/>
          <w:szCs w:val="24"/>
        </w:rPr>
        <w:t xml:space="preserve">red </w:t>
      </w:r>
      <w:r w:rsidR="001A2D70">
        <w:rPr>
          <w:rFonts w:ascii="Times New Roman" w:hAnsi="Times New Roman"/>
          <w:sz w:val="24"/>
          <w:szCs w:val="24"/>
        </w:rPr>
        <w:t>to</w:t>
      </w:r>
      <w:r w:rsidR="00EA212B">
        <w:rPr>
          <w:rFonts w:ascii="Times New Roman" w:hAnsi="Times New Roman"/>
          <w:sz w:val="24"/>
          <w:szCs w:val="24"/>
        </w:rPr>
        <w:t xml:space="preserve"> as</w:t>
      </w:r>
      <w:r w:rsidR="001A2D70">
        <w:rPr>
          <w:rFonts w:ascii="Times New Roman" w:hAnsi="Times New Roman"/>
          <w:sz w:val="24"/>
          <w:szCs w:val="24"/>
        </w:rPr>
        <w:t xml:space="preserve"> </w:t>
      </w:r>
      <w:r>
        <w:rPr>
          <w:rFonts w:ascii="Times New Roman" w:hAnsi="Times New Roman"/>
          <w:sz w:val="24"/>
          <w:szCs w:val="24"/>
        </w:rPr>
        <w:t>'compensation leverage'. The second measure captures the magnitude of the firm's inside debt</w:t>
      </w:r>
      <w:r w:rsidR="001A2D70">
        <w:rPr>
          <w:rFonts w:ascii="Times New Roman" w:hAnsi="Times New Roman"/>
          <w:sz w:val="24"/>
          <w:szCs w:val="24"/>
        </w:rPr>
        <w:t xml:space="preserve">; it </w:t>
      </w:r>
      <w:r>
        <w:rPr>
          <w:rFonts w:ascii="Times New Roman" w:hAnsi="Times New Roman"/>
          <w:sz w:val="24"/>
          <w:szCs w:val="24"/>
        </w:rPr>
        <w:t xml:space="preserve">is given </w:t>
      </w:r>
      <w:r w:rsidR="00B166C1">
        <w:rPr>
          <w:rFonts w:ascii="Times New Roman" w:hAnsi="Times New Roman"/>
          <w:sz w:val="24"/>
          <w:szCs w:val="24"/>
        </w:rPr>
        <w:t>by the</w:t>
      </w:r>
      <w:r>
        <w:rPr>
          <w:rFonts w:ascii="Times New Roman" w:hAnsi="Times New Roman"/>
          <w:sz w:val="24"/>
          <w:szCs w:val="24"/>
        </w:rPr>
        <w:t xml:space="preserve"> </w:t>
      </w:r>
      <w:r w:rsidRPr="00483277">
        <w:rPr>
          <w:rFonts w:ascii="Times New Roman" w:hAnsi="Times New Roman"/>
          <w:sz w:val="24"/>
          <w:szCs w:val="24"/>
        </w:rPr>
        <w:t>present value of the pension</w:t>
      </w:r>
      <w:r>
        <w:rPr>
          <w:rFonts w:ascii="Times New Roman" w:hAnsi="Times New Roman"/>
          <w:sz w:val="24"/>
          <w:szCs w:val="24"/>
        </w:rPr>
        <w:t xml:space="preserve"> divided by the book value of the firm's total assets. </w:t>
      </w:r>
      <w:r w:rsidR="009336CB">
        <w:rPr>
          <w:rFonts w:ascii="Times New Roman" w:hAnsi="Times New Roman"/>
          <w:sz w:val="24"/>
          <w:szCs w:val="24"/>
        </w:rPr>
        <w:t xml:space="preserve">Both compensation leverage and inside debt </w:t>
      </w:r>
      <w:r w:rsidR="00CB0FD9">
        <w:rPr>
          <w:rFonts w:ascii="Times New Roman" w:hAnsi="Times New Roman"/>
          <w:sz w:val="24"/>
          <w:szCs w:val="24"/>
        </w:rPr>
        <w:t xml:space="preserve">measures </w:t>
      </w:r>
      <w:r w:rsidR="009336CB">
        <w:rPr>
          <w:rFonts w:ascii="Times New Roman" w:hAnsi="Times New Roman"/>
          <w:sz w:val="24"/>
          <w:szCs w:val="24"/>
        </w:rPr>
        <w:t xml:space="preserve">are used at the CEO level and </w:t>
      </w:r>
      <w:r w:rsidR="001A2D70">
        <w:rPr>
          <w:rFonts w:ascii="Times New Roman" w:hAnsi="Times New Roman"/>
          <w:sz w:val="24"/>
          <w:szCs w:val="24"/>
        </w:rPr>
        <w:t xml:space="preserve">also for </w:t>
      </w:r>
      <w:r w:rsidR="009336CB">
        <w:rPr>
          <w:rFonts w:ascii="Times New Roman" w:hAnsi="Times New Roman"/>
          <w:sz w:val="24"/>
          <w:szCs w:val="24"/>
        </w:rPr>
        <w:t>all top executives</w:t>
      </w:r>
      <w:r w:rsidR="001A2D70">
        <w:rPr>
          <w:rFonts w:ascii="Times New Roman" w:hAnsi="Times New Roman"/>
          <w:sz w:val="24"/>
          <w:szCs w:val="24"/>
        </w:rPr>
        <w:t>; all</w:t>
      </w:r>
      <w:r w:rsidR="00CD6F37">
        <w:rPr>
          <w:rFonts w:ascii="Times New Roman" w:hAnsi="Times New Roman"/>
          <w:sz w:val="24"/>
          <w:szCs w:val="24"/>
        </w:rPr>
        <w:t xml:space="preserve"> </w:t>
      </w:r>
      <w:r w:rsidR="009336CB">
        <w:rPr>
          <w:rFonts w:ascii="Times New Roman" w:hAnsi="Times New Roman"/>
          <w:sz w:val="24"/>
          <w:szCs w:val="24"/>
        </w:rPr>
        <w:t>are adjusted to industry average</w:t>
      </w:r>
      <w:r w:rsidR="00F66E43">
        <w:rPr>
          <w:rFonts w:ascii="Times New Roman" w:hAnsi="Times New Roman"/>
          <w:sz w:val="24"/>
          <w:szCs w:val="24"/>
        </w:rPr>
        <w:t>s</w:t>
      </w:r>
      <w:r w:rsidR="009336CB">
        <w:rPr>
          <w:rFonts w:ascii="Times New Roman" w:hAnsi="Times New Roman"/>
          <w:sz w:val="24"/>
          <w:szCs w:val="24"/>
        </w:rPr>
        <w:t xml:space="preserve">. </w:t>
      </w:r>
      <w:r w:rsidR="002601F4">
        <w:rPr>
          <w:rFonts w:ascii="Times New Roman" w:hAnsi="Times New Roman"/>
          <w:sz w:val="24"/>
          <w:szCs w:val="24"/>
        </w:rPr>
        <w:t xml:space="preserve">We provide below a detail description of the </w:t>
      </w:r>
      <w:r w:rsidR="00555F99">
        <w:rPr>
          <w:rFonts w:ascii="Times New Roman" w:hAnsi="Times New Roman"/>
          <w:sz w:val="24"/>
          <w:szCs w:val="24"/>
        </w:rPr>
        <w:t>compensation</w:t>
      </w:r>
      <w:r w:rsidR="000646D4">
        <w:rPr>
          <w:rFonts w:ascii="Times New Roman" w:hAnsi="Times New Roman"/>
          <w:sz w:val="24"/>
          <w:szCs w:val="24"/>
        </w:rPr>
        <w:t xml:space="preserve"> </w:t>
      </w:r>
      <w:r w:rsidR="002601F4">
        <w:rPr>
          <w:rFonts w:ascii="Times New Roman" w:hAnsi="Times New Roman"/>
          <w:sz w:val="24"/>
          <w:szCs w:val="24"/>
        </w:rPr>
        <w:t xml:space="preserve">estimation procedures. </w:t>
      </w:r>
    </w:p>
    <w:p w:rsidR="00E855D2" w:rsidRDefault="00E855D2" w:rsidP="00B166C1">
      <w:pPr>
        <w:spacing w:after="0"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p>
    <w:p w:rsidR="005A3181" w:rsidRPr="00DF1D5A" w:rsidRDefault="00B50799" w:rsidP="005A3181">
      <w:pPr>
        <w:spacing w:after="0" w:line="480" w:lineRule="auto"/>
        <w:rPr>
          <w:rFonts w:ascii="Times New Roman" w:hAnsi="Times New Roman" w:cs="Times New Roman"/>
          <w:i/>
          <w:sz w:val="24"/>
          <w:szCs w:val="24"/>
        </w:rPr>
      </w:pPr>
      <w:r>
        <w:rPr>
          <w:rFonts w:ascii="Times New Roman" w:hAnsi="Times New Roman" w:cs="Times New Roman"/>
          <w:i/>
          <w:sz w:val="24"/>
          <w:szCs w:val="24"/>
        </w:rPr>
        <w:t>4</w:t>
      </w:r>
      <w:r w:rsidR="00B166C1">
        <w:rPr>
          <w:rFonts w:ascii="Times New Roman" w:hAnsi="Times New Roman" w:cs="Times New Roman"/>
          <w:i/>
          <w:sz w:val="24"/>
          <w:szCs w:val="24"/>
        </w:rPr>
        <w:t>.1</w:t>
      </w:r>
      <w:r w:rsidR="005A3181" w:rsidRPr="00DF1D5A">
        <w:rPr>
          <w:rFonts w:ascii="Times New Roman" w:hAnsi="Times New Roman" w:cs="Times New Roman"/>
          <w:i/>
          <w:sz w:val="24"/>
          <w:szCs w:val="24"/>
        </w:rPr>
        <w:t xml:space="preserve">. </w:t>
      </w:r>
      <w:r w:rsidR="00D623E3">
        <w:rPr>
          <w:rFonts w:ascii="Times New Roman" w:hAnsi="Times New Roman" w:cs="Times New Roman"/>
          <w:i/>
          <w:sz w:val="24"/>
          <w:szCs w:val="24"/>
        </w:rPr>
        <w:t>P</w:t>
      </w:r>
      <w:r w:rsidR="005A3181" w:rsidRPr="00DF1D5A">
        <w:rPr>
          <w:rFonts w:ascii="Times New Roman" w:hAnsi="Times New Roman" w:cs="Times New Roman"/>
          <w:i/>
          <w:sz w:val="24"/>
          <w:szCs w:val="24"/>
        </w:rPr>
        <w:t xml:space="preserve">ension </w:t>
      </w:r>
      <w:r w:rsidR="00B166C1">
        <w:rPr>
          <w:rFonts w:ascii="Times New Roman" w:hAnsi="Times New Roman" w:cs="Times New Roman"/>
          <w:i/>
          <w:sz w:val="24"/>
          <w:szCs w:val="24"/>
        </w:rPr>
        <w:t>value</w:t>
      </w:r>
    </w:p>
    <w:p w:rsidR="005A3181" w:rsidRPr="00DF1D5A" w:rsidRDefault="001A2D70" w:rsidP="00633CE5">
      <w:pPr>
        <w:spacing w:before="120" w:after="0" w:line="480" w:lineRule="auto"/>
        <w:jc w:val="both"/>
        <w:rPr>
          <w:rFonts w:ascii="Times New Roman" w:hAnsi="Times New Roman" w:cs="Times New Roman"/>
          <w:sz w:val="24"/>
          <w:szCs w:val="24"/>
        </w:rPr>
      </w:pPr>
      <w:r w:rsidRPr="00DF1D5A">
        <w:rPr>
          <w:rFonts w:ascii="Times New Roman" w:hAnsi="Times New Roman" w:cs="Times New Roman"/>
          <w:sz w:val="24"/>
          <w:szCs w:val="24"/>
        </w:rPr>
        <w:lastRenderedPageBreak/>
        <w:t xml:space="preserve">Pensions, as defined here, refer to SERPs </w:t>
      </w:r>
      <w:r>
        <w:rPr>
          <w:rFonts w:ascii="Times New Roman" w:hAnsi="Times New Roman" w:cs="Times New Roman"/>
          <w:sz w:val="24"/>
          <w:szCs w:val="24"/>
        </w:rPr>
        <w:t>(</w:t>
      </w:r>
      <w:r w:rsidRPr="00DF1D5A">
        <w:rPr>
          <w:rFonts w:ascii="Times New Roman" w:hAnsi="Times New Roman" w:cs="Times New Roman"/>
          <w:sz w:val="24"/>
          <w:szCs w:val="24"/>
        </w:rPr>
        <w:t>Supplemental Executive Retirement Plans</w:t>
      </w:r>
      <w:r>
        <w:rPr>
          <w:rFonts w:ascii="Times New Roman" w:hAnsi="Times New Roman" w:cs="Times New Roman"/>
          <w:sz w:val="24"/>
          <w:szCs w:val="24"/>
        </w:rPr>
        <w:t>)</w:t>
      </w:r>
      <w:r w:rsidRPr="00DF1D5A">
        <w:rPr>
          <w:rFonts w:ascii="Times New Roman" w:hAnsi="Times New Roman" w:cs="Times New Roman"/>
          <w:sz w:val="24"/>
          <w:szCs w:val="24"/>
        </w:rPr>
        <w:t>. SERPs allow executives to receive retirement benefits far greater than they would be normally entitled to under federal insurance guidelines. These pension benefits represent unfunded and unsecured debt claims against the firm, and in the event of insolvency, have equal standing with other unsecured creditors.</w:t>
      </w:r>
      <w:r>
        <w:rPr>
          <w:rFonts w:ascii="Times New Roman" w:hAnsi="Times New Roman" w:cs="Times New Roman"/>
          <w:sz w:val="24"/>
          <w:szCs w:val="24"/>
        </w:rPr>
        <w:t xml:space="preserve"> </w:t>
      </w:r>
      <w:proofErr w:type="spellStart"/>
      <w:r w:rsidR="005A3181" w:rsidRPr="00DF1D5A">
        <w:rPr>
          <w:rFonts w:ascii="Times New Roman" w:hAnsi="Times New Roman" w:cs="Times New Roman"/>
          <w:sz w:val="24"/>
          <w:szCs w:val="24"/>
        </w:rPr>
        <w:t>Sundaram</w:t>
      </w:r>
      <w:proofErr w:type="spellEnd"/>
      <w:r w:rsidR="005A3181" w:rsidRPr="00DF1D5A">
        <w:rPr>
          <w:rFonts w:ascii="Times New Roman" w:hAnsi="Times New Roman" w:cs="Times New Roman"/>
          <w:sz w:val="24"/>
          <w:szCs w:val="24"/>
        </w:rPr>
        <w:t xml:space="preserve"> and </w:t>
      </w:r>
      <w:proofErr w:type="spellStart"/>
      <w:r w:rsidR="005A3181" w:rsidRPr="00DF1D5A">
        <w:rPr>
          <w:rFonts w:ascii="Times New Roman" w:hAnsi="Times New Roman" w:cs="Times New Roman"/>
          <w:sz w:val="24"/>
          <w:szCs w:val="24"/>
        </w:rPr>
        <w:t>Yermack</w:t>
      </w:r>
      <w:proofErr w:type="spellEnd"/>
      <w:r w:rsidR="005A3181" w:rsidRPr="00DF1D5A">
        <w:rPr>
          <w:rFonts w:ascii="Times New Roman" w:hAnsi="Times New Roman" w:cs="Times New Roman"/>
          <w:sz w:val="24"/>
          <w:szCs w:val="24"/>
        </w:rPr>
        <w:t xml:space="preserve"> (2007) explain the calculation of pension data in great detail. Using </w:t>
      </w:r>
      <w:r>
        <w:rPr>
          <w:rFonts w:ascii="Times New Roman" w:hAnsi="Times New Roman" w:cs="Times New Roman"/>
          <w:sz w:val="24"/>
          <w:szCs w:val="24"/>
        </w:rPr>
        <w:t xml:space="preserve">a </w:t>
      </w:r>
      <w:r w:rsidR="005A3181" w:rsidRPr="00DF1D5A">
        <w:rPr>
          <w:rFonts w:ascii="Times New Roman" w:hAnsi="Times New Roman" w:cs="Times New Roman"/>
          <w:sz w:val="24"/>
          <w:szCs w:val="24"/>
        </w:rPr>
        <w:t xml:space="preserve">database of 237 Fortune 500 CEO’s over a 7-year period (1996-2002), they demonstrate the significant role of pensions as a form of debt-based compensation. </w:t>
      </w:r>
      <w:r w:rsidR="00BF7818">
        <w:rPr>
          <w:rFonts w:ascii="Times New Roman" w:hAnsi="Times New Roman" w:cs="Times New Roman"/>
          <w:sz w:val="24"/>
          <w:szCs w:val="24"/>
        </w:rPr>
        <w:t>Our</w:t>
      </w:r>
      <w:r w:rsidR="005A3181" w:rsidRPr="00DF1D5A">
        <w:rPr>
          <w:rFonts w:ascii="Times New Roman" w:hAnsi="Times New Roman" w:cs="Times New Roman"/>
          <w:sz w:val="24"/>
          <w:szCs w:val="24"/>
        </w:rPr>
        <w:t xml:space="preserve"> database </w:t>
      </w:r>
      <w:r w:rsidR="00BF7818">
        <w:rPr>
          <w:rFonts w:ascii="Times New Roman" w:hAnsi="Times New Roman" w:cs="Times New Roman"/>
          <w:sz w:val="24"/>
          <w:szCs w:val="24"/>
        </w:rPr>
        <w:t>extends</w:t>
      </w:r>
      <w:r w:rsidR="005A3181" w:rsidRPr="00DF1D5A">
        <w:rPr>
          <w:rFonts w:ascii="Times New Roman" w:hAnsi="Times New Roman" w:cs="Times New Roman"/>
          <w:sz w:val="24"/>
          <w:szCs w:val="24"/>
        </w:rPr>
        <w:t xml:space="preserve"> </w:t>
      </w:r>
      <w:proofErr w:type="spellStart"/>
      <w:r w:rsidR="005A3181" w:rsidRPr="00DF1D5A">
        <w:rPr>
          <w:rFonts w:ascii="Times New Roman" w:hAnsi="Times New Roman" w:cs="Times New Roman"/>
          <w:sz w:val="24"/>
          <w:szCs w:val="24"/>
        </w:rPr>
        <w:t>Sundaram</w:t>
      </w:r>
      <w:proofErr w:type="spellEnd"/>
      <w:r w:rsidR="005A3181" w:rsidRPr="00DF1D5A">
        <w:rPr>
          <w:rFonts w:ascii="Times New Roman" w:hAnsi="Times New Roman" w:cs="Times New Roman"/>
          <w:sz w:val="24"/>
          <w:szCs w:val="24"/>
        </w:rPr>
        <w:t xml:space="preserve"> and </w:t>
      </w:r>
      <w:proofErr w:type="spellStart"/>
      <w:r w:rsidR="005A3181" w:rsidRPr="00DF1D5A">
        <w:rPr>
          <w:rFonts w:ascii="Times New Roman" w:hAnsi="Times New Roman" w:cs="Times New Roman"/>
          <w:sz w:val="24"/>
          <w:szCs w:val="24"/>
        </w:rPr>
        <w:t>Yermack’s</w:t>
      </w:r>
      <w:proofErr w:type="spellEnd"/>
      <w:r w:rsidR="005A3181" w:rsidRPr="00DF1D5A">
        <w:rPr>
          <w:rFonts w:ascii="Times New Roman" w:hAnsi="Times New Roman" w:cs="Times New Roman"/>
          <w:sz w:val="24"/>
          <w:szCs w:val="24"/>
        </w:rPr>
        <w:t xml:space="preserve"> </w:t>
      </w:r>
      <w:r>
        <w:rPr>
          <w:rFonts w:ascii="Times New Roman" w:hAnsi="Times New Roman" w:cs="Times New Roman"/>
          <w:sz w:val="24"/>
          <w:szCs w:val="24"/>
        </w:rPr>
        <w:t>sample</w:t>
      </w:r>
      <w:r w:rsidR="005A3181" w:rsidRPr="00DF1D5A">
        <w:rPr>
          <w:rFonts w:ascii="Times New Roman" w:hAnsi="Times New Roman" w:cs="Times New Roman"/>
          <w:sz w:val="24"/>
          <w:szCs w:val="24"/>
        </w:rPr>
        <w:t xml:space="preserve"> by using hand-collected data for 272 firms drawn from the 700 largest companies by market capitalization over a 10-year period (2000-2009). Instead of a CEO-only database, </w:t>
      </w:r>
      <w:r w:rsidR="00BF7818">
        <w:rPr>
          <w:rFonts w:ascii="Times New Roman" w:hAnsi="Times New Roman" w:cs="Times New Roman"/>
          <w:sz w:val="24"/>
          <w:szCs w:val="24"/>
        </w:rPr>
        <w:t xml:space="preserve">we use data on </w:t>
      </w:r>
      <w:r w:rsidR="005A3181" w:rsidRPr="00DF1D5A">
        <w:rPr>
          <w:rFonts w:ascii="Times New Roman" w:hAnsi="Times New Roman" w:cs="Times New Roman"/>
          <w:sz w:val="24"/>
          <w:szCs w:val="24"/>
        </w:rPr>
        <w:t>all firm exec</w:t>
      </w:r>
      <w:r w:rsidR="00F66E43">
        <w:rPr>
          <w:rFonts w:ascii="Times New Roman" w:hAnsi="Times New Roman" w:cs="Times New Roman"/>
          <w:sz w:val="24"/>
          <w:szCs w:val="24"/>
        </w:rPr>
        <w:t>utives (typically five per firm-</w:t>
      </w:r>
      <w:r w:rsidR="005A3181" w:rsidRPr="00DF1D5A">
        <w:rPr>
          <w:rFonts w:ascii="Times New Roman" w:hAnsi="Times New Roman" w:cs="Times New Roman"/>
          <w:sz w:val="24"/>
          <w:szCs w:val="24"/>
        </w:rPr>
        <w:t>year)</w:t>
      </w:r>
      <w:r w:rsidR="00BF7818">
        <w:rPr>
          <w:rFonts w:ascii="Times New Roman" w:hAnsi="Times New Roman" w:cs="Times New Roman"/>
          <w:sz w:val="24"/>
          <w:szCs w:val="24"/>
        </w:rPr>
        <w:t>.</w:t>
      </w:r>
      <w:r w:rsidR="005A3181" w:rsidRPr="00DF1D5A">
        <w:rPr>
          <w:rFonts w:ascii="Times New Roman" w:hAnsi="Times New Roman" w:cs="Times New Roman"/>
          <w:sz w:val="24"/>
          <w:szCs w:val="24"/>
        </w:rPr>
        <w:t xml:space="preserve"> The resulting sample includes three additional years and approximately six times more firm-year data points than the original </w:t>
      </w:r>
      <w:proofErr w:type="spellStart"/>
      <w:r w:rsidR="005A3181" w:rsidRPr="00DF1D5A">
        <w:rPr>
          <w:rFonts w:ascii="Times New Roman" w:hAnsi="Times New Roman" w:cs="Times New Roman"/>
          <w:sz w:val="24"/>
          <w:szCs w:val="24"/>
        </w:rPr>
        <w:t>Sundaram</w:t>
      </w:r>
      <w:proofErr w:type="spellEnd"/>
      <w:r w:rsidR="005A3181" w:rsidRPr="00DF1D5A">
        <w:rPr>
          <w:rFonts w:ascii="Times New Roman" w:hAnsi="Times New Roman" w:cs="Times New Roman"/>
          <w:sz w:val="24"/>
          <w:szCs w:val="24"/>
        </w:rPr>
        <w:t xml:space="preserve"> and </w:t>
      </w:r>
      <w:proofErr w:type="spellStart"/>
      <w:r w:rsidR="005A3181" w:rsidRPr="00DF1D5A">
        <w:rPr>
          <w:rFonts w:ascii="Times New Roman" w:hAnsi="Times New Roman" w:cs="Times New Roman"/>
          <w:sz w:val="24"/>
          <w:szCs w:val="24"/>
        </w:rPr>
        <w:t>Yermack</w:t>
      </w:r>
      <w:r w:rsidR="00BF7818">
        <w:rPr>
          <w:rFonts w:ascii="Times New Roman" w:hAnsi="Times New Roman" w:cs="Times New Roman"/>
          <w:sz w:val="24"/>
          <w:szCs w:val="24"/>
        </w:rPr>
        <w:t>’s</w:t>
      </w:r>
      <w:proofErr w:type="spellEnd"/>
      <w:r w:rsidR="005A3181" w:rsidRPr="00DF1D5A">
        <w:rPr>
          <w:rFonts w:ascii="Times New Roman" w:hAnsi="Times New Roman" w:cs="Times New Roman"/>
          <w:sz w:val="24"/>
          <w:szCs w:val="24"/>
        </w:rPr>
        <w:t xml:space="preserve"> sample. </w:t>
      </w:r>
    </w:p>
    <w:p w:rsidR="005A3181" w:rsidRPr="00DF1D5A" w:rsidRDefault="005A3181" w:rsidP="001F1F2F">
      <w:pPr>
        <w:spacing w:before="240" w:after="0" w:line="480" w:lineRule="auto"/>
        <w:ind w:firstLine="360"/>
        <w:jc w:val="both"/>
        <w:rPr>
          <w:rFonts w:ascii="Times New Roman" w:hAnsi="Times New Roman" w:cs="Times New Roman"/>
          <w:sz w:val="24"/>
          <w:szCs w:val="24"/>
        </w:rPr>
      </w:pPr>
      <w:r w:rsidRPr="00DF1D5A">
        <w:rPr>
          <w:rFonts w:ascii="Times New Roman" w:hAnsi="Times New Roman" w:cs="Times New Roman"/>
          <w:sz w:val="24"/>
          <w:szCs w:val="24"/>
        </w:rPr>
        <w:t xml:space="preserve">SEC statements, as a rule, require the summary compensation information for the CEO, CFO, and three other executives. Frequently, more than five executives have information available due to changes in management, or as a function of corporate reporting policy. </w:t>
      </w:r>
      <w:r w:rsidR="00AD3CD7" w:rsidRPr="00DF1D5A">
        <w:rPr>
          <w:rFonts w:ascii="Times New Roman" w:hAnsi="Times New Roman" w:cs="Times New Roman"/>
          <w:sz w:val="24"/>
          <w:szCs w:val="24"/>
        </w:rPr>
        <w:t xml:space="preserve">The disclosure </w:t>
      </w:r>
      <w:r w:rsidR="00AD3CD7">
        <w:rPr>
          <w:rFonts w:ascii="Times New Roman" w:hAnsi="Times New Roman" w:cs="Times New Roman"/>
          <w:sz w:val="24"/>
          <w:szCs w:val="24"/>
        </w:rPr>
        <w:t>of</w:t>
      </w:r>
      <w:r w:rsidR="00AD3CD7" w:rsidRPr="00DF1D5A">
        <w:rPr>
          <w:rFonts w:ascii="Times New Roman" w:hAnsi="Times New Roman" w:cs="Times New Roman"/>
          <w:sz w:val="24"/>
          <w:szCs w:val="24"/>
        </w:rPr>
        <w:t xml:space="preserve"> pension valuation became significantly more transparent in 2006</w:t>
      </w:r>
      <w:r w:rsidR="00AD3CD7">
        <w:rPr>
          <w:rFonts w:ascii="Times New Roman" w:hAnsi="Times New Roman" w:cs="Times New Roman"/>
          <w:sz w:val="24"/>
          <w:szCs w:val="24"/>
        </w:rPr>
        <w:t>.</w:t>
      </w:r>
      <w:r w:rsidR="007D397D">
        <w:rPr>
          <w:rFonts w:ascii="Times New Roman" w:hAnsi="Times New Roman" w:cs="Times New Roman"/>
          <w:sz w:val="24"/>
          <w:szCs w:val="24"/>
        </w:rPr>
        <w:t xml:space="preserve"> </w:t>
      </w:r>
      <w:r w:rsidR="00576A39">
        <w:rPr>
          <w:rFonts w:ascii="Times New Roman" w:hAnsi="Times New Roman" w:cs="Times New Roman"/>
          <w:sz w:val="24"/>
          <w:szCs w:val="24"/>
        </w:rPr>
        <w:t>P</w:t>
      </w:r>
      <w:r w:rsidRPr="00DF1D5A">
        <w:rPr>
          <w:rFonts w:ascii="Times New Roman" w:hAnsi="Times New Roman" w:cs="Times New Roman"/>
          <w:sz w:val="24"/>
          <w:szCs w:val="24"/>
        </w:rPr>
        <w:t xml:space="preserve">rior to July 2006, the SEC required that pension values be expressed in a tabled matrix of the form given in Table A1. </w:t>
      </w:r>
      <w:r w:rsidR="00916BF3">
        <w:rPr>
          <w:rFonts w:ascii="Times New Roman" w:hAnsi="Times New Roman" w:cs="Times New Roman"/>
          <w:sz w:val="24"/>
          <w:szCs w:val="24"/>
        </w:rPr>
        <w:t>There was no requirement to provide t</w:t>
      </w:r>
      <w:r w:rsidRPr="00DF1D5A">
        <w:rPr>
          <w:rFonts w:ascii="Times New Roman" w:hAnsi="Times New Roman" w:cs="Times New Roman"/>
          <w:sz w:val="24"/>
          <w:szCs w:val="24"/>
        </w:rPr>
        <w:t>he actual present value of the benefit, but th</w:t>
      </w:r>
      <w:r w:rsidR="00916BF3">
        <w:rPr>
          <w:rFonts w:ascii="Times New Roman" w:hAnsi="Times New Roman" w:cs="Times New Roman"/>
          <w:sz w:val="24"/>
          <w:szCs w:val="24"/>
        </w:rPr>
        <w:t>is</w:t>
      </w:r>
      <w:r w:rsidRPr="00DF1D5A">
        <w:rPr>
          <w:rFonts w:ascii="Times New Roman" w:hAnsi="Times New Roman" w:cs="Times New Roman"/>
          <w:sz w:val="24"/>
          <w:szCs w:val="24"/>
        </w:rPr>
        <w:t xml:space="preserve"> value could be inferred and estimated by an investor using the procedure outlined in the next paragraphs. Firms with fiscal years on or after December 15, 2006 were required to adopt a new presentation that include</w:t>
      </w:r>
      <w:r w:rsidR="00916BF3">
        <w:rPr>
          <w:rFonts w:ascii="Times New Roman" w:hAnsi="Times New Roman" w:cs="Times New Roman"/>
          <w:sz w:val="24"/>
          <w:szCs w:val="24"/>
        </w:rPr>
        <w:t>s</w:t>
      </w:r>
      <w:r w:rsidRPr="00DF1D5A">
        <w:rPr>
          <w:rFonts w:ascii="Times New Roman" w:hAnsi="Times New Roman" w:cs="Times New Roman"/>
          <w:sz w:val="24"/>
          <w:szCs w:val="24"/>
        </w:rPr>
        <w:t xml:space="preserve"> a </w:t>
      </w:r>
      <w:r w:rsidR="00916BF3">
        <w:rPr>
          <w:rFonts w:ascii="Times New Roman" w:hAnsi="Times New Roman" w:cs="Times New Roman"/>
          <w:sz w:val="24"/>
          <w:szCs w:val="24"/>
        </w:rPr>
        <w:t xml:space="preserve">formal </w:t>
      </w:r>
      <w:r w:rsidRPr="00DF1D5A">
        <w:rPr>
          <w:rFonts w:ascii="Times New Roman" w:hAnsi="Times New Roman" w:cs="Times New Roman"/>
          <w:sz w:val="24"/>
          <w:szCs w:val="24"/>
        </w:rPr>
        <w:t xml:space="preserve">computation of </w:t>
      </w:r>
      <w:r w:rsidR="00916BF3">
        <w:rPr>
          <w:rFonts w:ascii="Times New Roman" w:hAnsi="Times New Roman" w:cs="Times New Roman"/>
          <w:sz w:val="24"/>
          <w:szCs w:val="24"/>
        </w:rPr>
        <w:t>the</w:t>
      </w:r>
      <w:r w:rsidRPr="00DF1D5A">
        <w:rPr>
          <w:rFonts w:ascii="Times New Roman" w:hAnsi="Times New Roman" w:cs="Times New Roman"/>
          <w:sz w:val="24"/>
          <w:szCs w:val="24"/>
        </w:rPr>
        <w:t xml:space="preserve"> present value </w:t>
      </w:r>
      <w:r w:rsidR="00916BF3">
        <w:rPr>
          <w:rFonts w:ascii="Times New Roman" w:hAnsi="Times New Roman" w:cs="Times New Roman"/>
          <w:sz w:val="24"/>
          <w:szCs w:val="24"/>
        </w:rPr>
        <w:t>of the pension benefit</w:t>
      </w:r>
      <w:r w:rsidRPr="00DF1D5A">
        <w:rPr>
          <w:rFonts w:ascii="Times New Roman" w:hAnsi="Times New Roman" w:cs="Times New Roman"/>
          <w:sz w:val="24"/>
          <w:szCs w:val="24"/>
        </w:rPr>
        <w:t xml:space="preserve">. </w:t>
      </w:r>
    </w:p>
    <w:p w:rsidR="005A3181" w:rsidRPr="00DF1D5A" w:rsidRDefault="005A3181" w:rsidP="00042A35">
      <w:pPr>
        <w:spacing w:before="240" w:after="0" w:line="480" w:lineRule="auto"/>
        <w:ind w:firstLine="360"/>
        <w:jc w:val="both"/>
        <w:rPr>
          <w:rFonts w:ascii="Times New Roman" w:hAnsi="Times New Roman" w:cs="Times New Roman"/>
          <w:sz w:val="24"/>
          <w:szCs w:val="24"/>
        </w:rPr>
      </w:pPr>
      <w:r w:rsidRPr="00DF1D5A">
        <w:rPr>
          <w:rFonts w:ascii="Times New Roman" w:hAnsi="Times New Roman" w:cs="Times New Roman"/>
          <w:sz w:val="24"/>
          <w:szCs w:val="24"/>
        </w:rPr>
        <w:t xml:space="preserve">The sample period encompasses both systems; prior to 2006, hand-calculation was used; after 2006, present values were used where available. Since both calculations employed identical (or </w:t>
      </w:r>
      <w:r w:rsidRPr="00DF1D5A">
        <w:rPr>
          <w:rFonts w:ascii="Times New Roman" w:hAnsi="Times New Roman" w:cs="Times New Roman"/>
          <w:sz w:val="24"/>
          <w:szCs w:val="24"/>
        </w:rPr>
        <w:lastRenderedPageBreak/>
        <w:t xml:space="preserve">nearly identical) calculation methodologies, the sample years are considered directly comparable and contiguous. The established method for computing pension values is the actuarial present value method, detailed and explained in the two equations below. A guided example using </w:t>
      </w:r>
      <w:r w:rsidR="00916BF3">
        <w:rPr>
          <w:rFonts w:ascii="Times New Roman" w:hAnsi="Times New Roman" w:cs="Times New Roman"/>
          <w:bCs/>
          <w:sz w:val="24"/>
          <w:szCs w:val="24"/>
        </w:rPr>
        <w:t>ExxonMobil</w:t>
      </w:r>
      <w:r w:rsidR="004D6889">
        <w:rPr>
          <w:rFonts w:ascii="Times New Roman" w:hAnsi="Times New Roman" w:cs="Times New Roman"/>
          <w:sz w:val="24"/>
          <w:szCs w:val="24"/>
        </w:rPr>
        <w:t xml:space="preserve"> is provided in </w:t>
      </w:r>
      <w:r w:rsidR="00930EE8">
        <w:rPr>
          <w:rFonts w:ascii="Times New Roman" w:hAnsi="Times New Roman" w:cs="Times New Roman"/>
          <w:sz w:val="24"/>
          <w:szCs w:val="24"/>
        </w:rPr>
        <w:t>the Appendix</w:t>
      </w:r>
      <w:r w:rsidRPr="00DF1D5A">
        <w:rPr>
          <w:rFonts w:ascii="Times New Roman" w:hAnsi="Times New Roman" w:cs="Times New Roman"/>
          <w:sz w:val="24"/>
          <w:szCs w:val="24"/>
        </w:rPr>
        <w:t xml:space="preserve"> to clarify the calculation procedure. </w:t>
      </w:r>
    </w:p>
    <w:p w:rsidR="005A3181" w:rsidRPr="00DF1D5A" w:rsidRDefault="005A3181" w:rsidP="00042A35">
      <w:pPr>
        <w:spacing w:after="240" w:line="480" w:lineRule="auto"/>
        <w:ind w:firstLine="360"/>
        <w:rPr>
          <w:rFonts w:ascii="Times New Roman" w:hAnsi="Times New Roman" w:cs="Times New Roman"/>
          <w:sz w:val="24"/>
          <w:szCs w:val="24"/>
        </w:rPr>
      </w:pPr>
      <w:r w:rsidRPr="00DF1D5A">
        <w:rPr>
          <w:rFonts w:ascii="Times New Roman" w:hAnsi="Times New Roman" w:cs="Times New Roman"/>
          <w:sz w:val="24"/>
          <w:szCs w:val="24"/>
        </w:rPr>
        <w:t xml:space="preserve">The present value of a pension annuity is expressed </w:t>
      </w:r>
      <w:r w:rsidR="002B0BC2">
        <w:rPr>
          <w:rFonts w:ascii="Times New Roman" w:hAnsi="Times New Roman" w:cs="Times New Roman"/>
          <w:sz w:val="24"/>
          <w:szCs w:val="24"/>
        </w:rPr>
        <w:t>as</w:t>
      </w:r>
      <w:r w:rsidRPr="00DF1D5A">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57"/>
        <w:gridCol w:w="3804"/>
        <w:gridCol w:w="3099"/>
      </w:tblGrid>
      <w:tr w:rsidR="00B16182" w:rsidTr="00576A39">
        <w:trPr>
          <w:trHeight w:val="1152"/>
        </w:trPr>
        <w:tc>
          <w:tcPr>
            <w:tcW w:w="2538" w:type="dxa"/>
          </w:tcPr>
          <w:p w:rsidR="00B16182" w:rsidRDefault="00B16182" w:rsidP="00A7546D">
            <w:pPr>
              <w:spacing w:line="480" w:lineRule="auto"/>
              <w:rPr>
                <w:rFonts w:ascii="Times New Roman" w:hAnsi="Times New Roman" w:cs="Times New Roman"/>
                <w:sz w:val="24"/>
                <w:szCs w:val="24"/>
              </w:rPr>
            </w:pPr>
          </w:p>
        </w:tc>
        <w:tc>
          <w:tcPr>
            <w:tcW w:w="3846" w:type="dxa"/>
          </w:tcPr>
          <w:p w:rsidR="00B16182" w:rsidRPr="00DE1565" w:rsidRDefault="00FD76B0" w:rsidP="00A7546D">
            <w:pPr>
              <w:spacing w:line="48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PV</m:t>
                </m:r>
                <m:r>
                  <m:rPr>
                    <m:sty m:val="p"/>
                  </m:rPr>
                  <w:rPr>
                    <w:rFonts w:ascii="Cambria Math" w:hAnsi="Cambria Math" w:cs="Times New Roman"/>
                    <w:sz w:val="24"/>
                    <w:szCs w:val="24"/>
                  </w:rPr>
                  <m:t>=</m:t>
                </m:r>
                <m:nary>
                  <m:naryPr>
                    <m:chr m:val="∑"/>
                    <m:grow m:val="1"/>
                    <m:ctrlPr>
                      <w:rPr>
                        <w:rFonts w:ascii="Cambria Math" w:hAnsi="Cambria Math" w:cs="Times New Roman"/>
                        <w:sz w:val="24"/>
                        <w:szCs w:val="24"/>
                      </w:rPr>
                    </m:ctrlPr>
                  </m:naryPr>
                  <m:sub>
                    <m:r>
                      <w:rPr>
                        <w:rFonts w:ascii="Cambria Math" w:eastAsia="Cambria Math" w:hAnsi="Cambria Math" w:cs="Times New Roman"/>
                        <w:sz w:val="24"/>
                        <w:szCs w:val="24"/>
                      </w:rPr>
                      <m:t>n=</m:t>
                    </m:r>
                    <m:func>
                      <m:funcPr>
                        <m:ctrlPr>
                          <w:rPr>
                            <w:rFonts w:ascii="Cambria Math" w:eastAsia="Cambria Math" w:hAnsi="Cambria Math" w:cs="Times New Roman"/>
                            <w:i/>
                            <w:sz w:val="24"/>
                            <w:szCs w:val="24"/>
                          </w:rPr>
                        </m:ctrlPr>
                      </m:funcPr>
                      <m:fName>
                        <m:r>
                          <w:rPr>
                            <w:rFonts w:ascii="Cambria Math" w:eastAsia="Cambria Math" w:hAnsi="Cambria Math" w:cs="Times New Roman"/>
                            <w:sz w:val="24"/>
                            <w:szCs w:val="24"/>
                          </w:rPr>
                          <m:t>max</m:t>
                        </m:r>
                      </m:fName>
                      <m:e>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0,R-A</m:t>
                            </m:r>
                          </m:e>
                        </m:d>
                      </m:e>
                    </m:func>
                  </m:sub>
                  <m:sup>
                    <m:r>
                      <w:rPr>
                        <w:rFonts w:ascii="Cambria Math" w:eastAsia="Cambria Math" w:hAnsi="Cambria Math" w:cs="Times New Roman"/>
                        <w:sz w:val="24"/>
                        <w:szCs w:val="24"/>
                      </w:rPr>
                      <m:t>K-A</m:t>
                    </m:r>
                  </m:sup>
                  <m:e>
                    <m:f>
                      <m:fPr>
                        <m:ctrlPr>
                          <w:rPr>
                            <w:rFonts w:ascii="Cambria Math" w:hAnsi="Cambria Math" w:cs="Times New Roman"/>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X</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1+d</m:t>
                                </m:r>
                              </m:e>
                            </m:d>
                          </m:e>
                          <m:sup>
                            <m:r>
                              <w:rPr>
                                <w:rFonts w:ascii="Cambria Math" w:hAnsi="Cambria Math" w:cs="Times New Roman"/>
                                <w:sz w:val="24"/>
                                <w:szCs w:val="24"/>
                              </w:rPr>
                              <m:t>n</m:t>
                            </m:r>
                          </m:sup>
                        </m:sSup>
                      </m:den>
                    </m:f>
                  </m:e>
                </m:nary>
              </m:oMath>
            </m:oMathPara>
          </w:p>
        </w:tc>
        <w:tc>
          <w:tcPr>
            <w:tcW w:w="3192" w:type="dxa"/>
          </w:tcPr>
          <w:p w:rsidR="00B16182" w:rsidRDefault="00B16182" w:rsidP="00A7546D">
            <w:pPr>
              <w:spacing w:line="480" w:lineRule="auto"/>
              <w:jc w:val="right"/>
              <w:rPr>
                <w:rFonts w:ascii="Times New Roman" w:hAnsi="Times New Roman" w:cs="Times New Roman"/>
                <w:sz w:val="24"/>
                <w:szCs w:val="24"/>
              </w:rPr>
            </w:pPr>
          </w:p>
          <w:p w:rsidR="00B16182" w:rsidRDefault="00B16182" w:rsidP="00A7546D">
            <w:pPr>
              <w:spacing w:line="480" w:lineRule="auto"/>
              <w:jc w:val="right"/>
              <w:rPr>
                <w:rFonts w:ascii="Times New Roman" w:hAnsi="Times New Roman" w:cs="Times New Roman"/>
                <w:sz w:val="24"/>
                <w:szCs w:val="24"/>
              </w:rPr>
            </w:pPr>
            <w:r>
              <w:rPr>
                <w:rFonts w:ascii="Times New Roman" w:hAnsi="Times New Roman" w:cs="Times New Roman"/>
                <w:sz w:val="24"/>
                <w:szCs w:val="24"/>
              </w:rPr>
              <w:t>(1)</w:t>
            </w:r>
          </w:p>
        </w:tc>
      </w:tr>
    </w:tbl>
    <w:p w:rsidR="005A3181" w:rsidRPr="00DF1D5A" w:rsidRDefault="002B0BC2" w:rsidP="00D105B3">
      <w:pPr>
        <w:spacing w:before="120"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r w:rsidR="005A3181" w:rsidRPr="00DF1D5A">
        <w:rPr>
          <w:rFonts w:ascii="Times New Roman" w:eastAsia="Times New Roman" w:hAnsi="Times New Roman" w:cs="Times New Roman"/>
          <w:sz w:val="24"/>
          <w:szCs w:val="24"/>
        </w:rPr>
        <w:t>here</w:t>
      </w:r>
      <w:proofErr w:type="gramEnd"/>
      <w:r w:rsidR="005A3181" w:rsidRPr="00DF1D5A">
        <w:rPr>
          <w:rFonts w:ascii="Times New Roman" w:eastAsia="Times New Roman" w:hAnsi="Times New Roman" w:cs="Times New Roman"/>
          <w:sz w:val="24"/>
          <w:szCs w:val="24"/>
        </w:rPr>
        <w:t xml:space="preserve"> </w:t>
      </w:r>
      <w:r w:rsidR="005A3181" w:rsidRPr="002B0BC2">
        <w:rPr>
          <w:rFonts w:ascii="Times New Roman" w:eastAsia="Times New Roman" w:hAnsi="Times New Roman" w:cs="Times New Roman"/>
          <w:i/>
          <w:sz w:val="24"/>
          <w:szCs w:val="24"/>
        </w:rPr>
        <w:t>X</w:t>
      </w:r>
      <w:r w:rsidR="005A3181" w:rsidRPr="00DF1D5A">
        <w:rPr>
          <w:rFonts w:ascii="Times New Roman" w:eastAsia="Times New Roman" w:hAnsi="Times New Roman" w:cs="Times New Roman"/>
          <w:sz w:val="24"/>
          <w:szCs w:val="24"/>
        </w:rPr>
        <w:t xml:space="preserve"> is defined as the amount of the annual pension, </w:t>
      </w:r>
      <w:r w:rsidR="005A3181" w:rsidRPr="002B0BC2">
        <w:rPr>
          <w:rFonts w:ascii="Times New Roman" w:eastAsia="Times New Roman" w:hAnsi="Times New Roman" w:cs="Times New Roman"/>
          <w:i/>
          <w:sz w:val="24"/>
          <w:szCs w:val="24"/>
        </w:rPr>
        <w:t>A</w:t>
      </w:r>
      <w:r w:rsidR="005A3181" w:rsidRPr="00DF1D5A">
        <w:rPr>
          <w:rFonts w:ascii="Times New Roman" w:eastAsia="Times New Roman" w:hAnsi="Times New Roman" w:cs="Times New Roman"/>
          <w:sz w:val="24"/>
          <w:szCs w:val="24"/>
        </w:rPr>
        <w:t xml:space="preserve"> is the current age of the executive, </w:t>
      </w:r>
      <w:r w:rsidR="005A3181" w:rsidRPr="002B0BC2">
        <w:rPr>
          <w:rFonts w:ascii="Times New Roman" w:eastAsia="Times New Roman" w:hAnsi="Times New Roman" w:cs="Times New Roman"/>
          <w:i/>
          <w:sz w:val="24"/>
          <w:szCs w:val="24"/>
        </w:rPr>
        <w:t>R</w:t>
      </w:r>
      <w:r w:rsidR="005A3181" w:rsidRPr="00DF1D5A">
        <w:rPr>
          <w:rFonts w:ascii="Times New Roman" w:eastAsia="Times New Roman" w:hAnsi="Times New Roman" w:cs="Times New Roman"/>
          <w:sz w:val="24"/>
          <w:szCs w:val="24"/>
        </w:rPr>
        <w:t xml:space="preserve"> is the minimum retirement age to achieve full benefit, </w:t>
      </w:r>
      <w:r w:rsidR="005A3181" w:rsidRPr="002B0BC2">
        <w:rPr>
          <w:rFonts w:ascii="Times New Roman" w:eastAsia="Times New Roman" w:hAnsi="Times New Roman" w:cs="Times New Roman"/>
          <w:i/>
          <w:sz w:val="24"/>
          <w:szCs w:val="24"/>
        </w:rPr>
        <w:t>K</w:t>
      </w:r>
      <w:r w:rsidR="005A3181" w:rsidRPr="00DF1D5A">
        <w:rPr>
          <w:rFonts w:ascii="Times New Roman" w:eastAsia="Times New Roman" w:hAnsi="Times New Roman" w:cs="Times New Roman"/>
          <w:sz w:val="24"/>
          <w:szCs w:val="24"/>
        </w:rPr>
        <w:t xml:space="preserve"> is the final year of the pension, and </w:t>
      </w:r>
      <w:r w:rsidR="005A3181" w:rsidRPr="00225C0C">
        <w:rPr>
          <w:rFonts w:ascii="Times New Roman" w:eastAsia="Times New Roman" w:hAnsi="Times New Roman" w:cs="Times New Roman"/>
          <w:i/>
          <w:sz w:val="24"/>
          <w:szCs w:val="24"/>
        </w:rPr>
        <w:t>p(n)</w:t>
      </w:r>
      <w:r w:rsidR="005A3181" w:rsidRPr="00DF1D5A">
        <w:rPr>
          <w:rFonts w:ascii="Times New Roman" w:eastAsia="Times New Roman" w:hAnsi="Times New Roman" w:cs="Times New Roman"/>
          <w:sz w:val="24"/>
          <w:szCs w:val="24"/>
        </w:rPr>
        <w:t xml:space="preserve"> is the probability that the executive will be alive in </w:t>
      </w:r>
      <w:r w:rsidR="005A3181" w:rsidRPr="00DF1D5A">
        <w:rPr>
          <w:rFonts w:ascii="Times New Roman" w:eastAsia="Times New Roman" w:hAnsi="Times New Roman" w:cs="Times New Roman"/>
          <w:i/>
          <w:sz w:val="24"/>
          <w:szCs w:val="24"/>
        </w:rPr>
        <w:t xml:space="preserve">n </w:t>
      </w:r>
      <w:r w:rsidR="005A3181" w:rsidRPr="00DF1D5A">
        <w:rPr>
          <w:rFonts w:ascii="Times New Roman" w:eastAsia="Times New Roman" w:hAnsi="Times New Roman" w:cs="Times New Roman"/>
          <w:sz w:val="24"/>
          <w:szCs w:val="24"/>
        </w:rPr>
        <w:t xml:space="preserve">years. Using the ‘Period Life Table’, an actuarial life table available from the Social Security administration, the mortality probabilities for an executive of age </w:t>
      </w:r>
      <w:r w:rsidR="005A3181" w:rsidRPr="00EF582E">
        <w:rPr>
          <w:rFonts w:ascii="Times New Roman" w:eastAsia="Times New Roman" w:hAnsi="Times New Roman" w:cs="Times New Roman"/>
          <w:i/>
          <w:sz w:val="24"/>
          <w:szCs w:val="24"/>
        </w:rPr>
        <w:t>A</w:t>
      </w:r>
      <w:r w:rsidR="005A3181" w:rsidRPr="00DF1D5A">
        <w:rPr>
          <w:rFonts w:ascii="Times New Roman" w:eastAsia="Times New Roman" w:hAnsi="Times New Roman" w:cs="Times New Roman"/>
          <w:sz w:val="24"/>
          <w:szCs w:val="24"/>
        </w:rPr>
        <w:t xml:space="preserve"> can be projected. While it is hypothetically possible </w:t>
      </w:r>
      <w:r w:rsidR="00E2128C">
        <w:rPr>
          <w:rFonts w:ascii="Times New Roman" w:eastAsia="Times New Roman" w:hAnsi="Times New Roman" w:cs="Times New Roman"/>
          <w:sz w:val="24"/>
          <w:szCs w:val="24"/>
        </w:rPr>
        <w:t xml:space="preserve">for </w:t>
      </w:r>
      <w:r w:rsidR="005A3181" w:rsidRPr="00DF1D5A">
        <w:rPr>
          <w:rFonts w:ascii="Times New Roman" w:eastAsia="Times New Roman" w:hAnsi="Times New Roman" w:cs="Times New Roman"/>
          <w:sz w:val="24"/>
          <w:szCs w:val="24"/>
        </w:rPr>
        <w:t xml:space="preserve">an executive </w:t>
      </w:r>
      <w:r w:rsidR="00BF7BB7">
        <w:rPr>
          <w:rFonts w:ascii="Times New Roman" w:eastAsia="Times New Roman" w:hAnsi="Times New Roman" w:cs="Times New Roman"/>
          <w:sz w:val="24"/>
          <w:szCs w:val="24"/>
        </w:rPr>
        <w:t xml:space="preserve">to </w:t>
      </w:r>
      <w:r w:rsidR="005A3181" w:rsidRPr="00DF1D5A">
        <w:rPr>
          <w:rFonts w:ascii="Times New Roman" w:eastAsia="Times New Roman" w:hAnsi="Times New Roman" w:cs="Times New Roman"/>
          <w:sz w:val="24"/>
          <w:szCs w:val="24"/>
        </w:rPr>
        <w:t xml:space="preserve">receive a pension benefit indefinitely, the mortality projections of the Social Security administration end at 119 years, so </w:t>
      </w:r>
      <w:r w:rsidR="005A3181" w:rsidRPr="00EF582E">
        <w:rPr>
          <w:rFonts w:ascii="Times New Roman" w:eastAsia="Times New Roman" w:hAnsi="Times New Roman" w:cs="Times New Roman"/>
          <w:i/>
          <w:sz w:val="24"/>
          <w:szCs w:val="24"/>
        </w:rPr>
        <w:t>K</w:t>
      </w:r>
      <w:r w:rsidR="005A3181" w:rsidRPr="00DF1D5A">
        <w:rPr>
          <w:rFonts w:ascii="Times New Roman" w:eastAsia="Times New Roman" w:hAnsi="Times New Roman" w:cs="Times New Roman"/>
          <w:sz w:val="24"/>
          <w:szCs w:val="24"/>
        </w:rPr>
        <w:t xml:space="preserve"> is for practical purposes set at 120 </w:t>
      </w:r>
      <w:r w:rsidR="00BF7BB7">
        <w:rPr>
          <w:rFonts w:ascii="Times New Roman" w:eastAsia="Times New Roman" w:hAnsi="Times New Roman" w:cs="Times New Roman"/>
          <w:sz w:val="24"/>
          <w:szCs w:val="24"/>
        </w:rPr>
        <w:t>(</w:t>
      </w:r>
      <w:proofErr w:type="spellStart"/>
      <w:r w:rsidR="005A3181" w:rsidRPr="00DF1D5A">
        <w:rPr>
          <w:rFonts w:ascii="Times New Roman" w:eastAsia="Times New Roman" w:hAnsi="Times New Roman" w:cs="Times New Roman"/>
          <w:sz w:val="24"/>
          <w:szCs w:val="24"/>
        </w:rPr>
        <w:t>Sundaram</w:t>
      </w:r>
      <w:proofErr w:type="spellEnd"/>
      <w:r w:rsidR="005A3181" w:rsidRPr="00DF1D5A">
        <w:rPr>
          <w:rFonts w:ascii="Times New Roman" w:eastAsia="Times New Roman" w:hAnsi="Times New Roman" w:cs="Times New Roman"/>
          <w:sz w:val="24"/>
          <w:szCs w:val="24"/>
        </w:rPr>
        <w:t xml:space="preserve"> and </w:t>
      </w:r>
      <w:proofErr w:type="spellStart"/>
      <w:r w:rsidR="005A3181" w:rsidRPr="00DF1D5A">
        <w:rPr>
          <w:rFonts w:ascii="Times New Roman" w:eastAsia="Times New Roman" w:hAnsi="Times New Roman" w:cs="Times New Roman"/>
          <w:sz w:val="24"/>
          <w:szCs w:val="24"/>
        </w:rPr>
        <w:t>Yermack</w:t>
      </w:r>
      <w:proofErr w:type="spellEnd"/>
      <w:r w:rsidR="005A3181" w:rsidRPr="00DF1D5A">
        <w:rPr>
          <w:rFonts w:ascii="Times New Roman" w:eastAsia="Times New Roman" w:hAnsi="Times New Roman" w:cs="Times New Roman"/>
          <w:sz w:val="24"/>
          <w:szCs w:val="24"/>
        </w:rPr>
        <w:t xml:space="preserve"> (2007)</w:t>
      </w:r>
      <w:r w:rsidR="00BF7BB7">
        <w:rPr>
          <w:rFonts w:ascii="Times New Roman" w:eastAsia="Times New Roman" w:hAnsi="Times New Roman" w:cs="Times New Roman"/>
          <w:sz w:val="24"/>
          <w:szCs w:val="24"/>
        </w:rPr>
        <w:t xml:space="preserve"> assume the same value for </w:t>
      </w:r>
      <w:r w:rsidR="00BF7BB7" w:rsidRPr="00BF7BB7">
        <w:rPr>
          <w:rFonts w:ascii="Times New Roman" w:eastAsia="Times New Roman" w:hAnsi="Times New Roman" w:cs="Times New Roman"/>
          <w:i/>
          <w:sz w:val="24"/>
          <w:szCs w:val="24"/>
        </w:rPr>
        <w:t>K</w:t>
      </w:r>
      <w:r w:rsidR="00BF7BB7">
        <w:rPr>
          <w:rFonts w:ascii="Times New Roman" w:eastAsia="Times New Roman" w:hAnsi="Times New Roman" w:cs="Times New Roman"/>
          <w:sz w:val="24"/>
          <w:szCs w:val="24"/>
        </w:rPr>
        <w:t>)</w:t>
      </w:r>
      <w:r w:rsidR="005A3181" w:rsidRPr="00DF1D5A">
        <w:rPr>
          <w:rFonts w:ascii="Times New Roman" w:eastAsia="Times New Roman" w:hAnsi="Times New Roman" w:cs="Times New Roman"/>
          <w:sz w:val="24"/>
          <w:szCs w:val="24"/>
        </w:rPr>
        <w:t xml:space="preserve">. </w:t>
      </w:r>
    </w:p>
    <w:p w:rsidR="005A3181" w:rsidRPr="00DF1D5A" w:rsidRDefault="005A3181" w:rsidP="00042A35">
      <w:pPr>
        <w:spacing w:before="240" w:after="0" w:line="480" w:lineRule="auto"/>
        <w:ind w:firstLine="360"/>
        <w:jc w:val="both"/>
        <w:rPr>
          <w:rFonts w:ascii="Times New Roman" w:eastAsia="Times New Roman" w:hAnsi="Times New Roman" w:cs="Times New Roman"/>
          <w:sz w:val="24"/>
          <w:szCs w:val="24"/>
        </w:rPr>
      </w:pPr>
      <w:r w:rsidRPr="00DF1D5A">
        <w:rPr>
          <w:rFonts w:ascii="Times New Roman" w:eastAsia="Times New Roman" w:hAnsi="Times New Roman" w:cs="Times New Roman"/>
          <w:sz w:val="24"/>
          <w:szCs w:val="24"/>
        </w:rPr>
        <w:t xml:space="preserve">The discount rate, </w:t>
      </w:r>
      <w:r w:rsidRPr="00EF582E">
        <w:rPr>
          <w:rFonts w:ascii="Times New Roman" w:eastAsia="Times New Roman" w:hAnsi="Times New Roman" w:cs="Times New Roman"/>
          <w:i/>
          <w:sz w:val="24"/>
          <w:szCs w:val="24"/>
        </w:rPr>
        <w:t>d</w:t>
      </w:r>
      <w:r w:rsidRPr="00DF1D5A">
        <w:rPr>
          <w:rFonts w:ascii="Times New Roman" w:eastAsia="Times New Roman" w:hAnsi="Times New Roman" w:cs="Times New Roman"/>
          <w:sz w:val="24"/>
          <w:szCs w:val="24"/>
        </w:rPr>
        <w:t xml:space="preserve">, is defined as the annualized Moody’s Seasoned </w:t>
      </w:r>
      <w:proofErr w:type="spellStart"/>
      <w:r w:rsidRPr="00DF1D5A">
        <w:rPr>
          <w:rFonts w:ascii="Times New Roman" w:eastAsia="Times New Roman" w:hAnsi="Times New Roman" w:cs="Times New Roman"/>
          <w:sz w:val="24"/>
          <w:szCs w:val="24"/>
        </w:rPr>
        <w:t>Aaa</w:t>
      </w:r>
      <w:proofErr w:type="spellEnd"/>
      <w:r w:rsidRPr="00DF1D5A">
        <w:rPr>
          <w:rFonts w:ascii="Times New Roman" w:eastAsia="Times New Roman" w:hAnsi="Times New Roman" w:cs="Times New Roman"/>
          <w:sz w:val="24"/>
          <w:szCs w:val="24"/>
        </w:rPr>
        <w:t xml:space="preserve"> bond-rating for a given year, taken from the Federal Reserve Board’s H.15 release</w:t>
      </w:r>
      <w:r w:rsidRPr="00DF1D5A">
        <w:rPr>
          <w:rStyle w:val="FootnoteReference"/>
          <w:rFonts w:ascii="Times New Roman" w:eastAsia="Times New Roman" w:hAnsi="Times New Roman" w:cs="Times New Roman"/>
          <w:sz w:val="24"/>
          <w:szCs w:val="24"/>
        </w:rPr>
        <w:footnoteReference w:id="2"/>
      </w:r>
      <w:r w:rsidRPr="00DF1D5A">
        <w:rPr>
          <w:rFonts w:ascii="Times New Roman" w:eastAsia="Times New Roman" w:hAnsi="Times New Roman" w:cs="Times New Roman"/>
          <w:sz w:val="24"/>
          <w:szCs w:val="24"/>
        </w:rPr>
        <w:t xml:space="preserve">. </w:t>
      </w:r>
      <w:r w:rsidR="0096370D">
        <w:rPr>
          <w:rFonts w:ascii="Times New Roman" w:eastAsia="Times New Roman" w:hAnsi="Times New Roman" w:cs="Times New Roman"/>
          <w:sz w:val="24"/>
          <w:szCs w:val="24"/>
        </w:rPr>
        <w:t xml:space="preserve">Sample </w:t>
      </w:r>
      <w:r w:rsidRPr="00DF1D5A">
        <w:rPr>
          <w:rFonts w:ascii="Times New Roman" w:eastAsia="Times New Roman" w:hAnsi="Times New Roman" w:cs="Times New Roman"/>
          <w:sz w:val="24"/>
          <w:szCs w:val="24"/>
        </w:rPr>
        <w:t xml:space="preserve">firms maintaining pensions tend to be larger and older than average, and many have established a comparable bond rating. Furthermore, firms that volunteered </w:t>
      </w:r>
      <w:r w:rsidR="00225C0C">
        <w:rPr>
          <w:rFonts w:ascii="Times New Roman" w:eastAsia="Times New Roman" w:hAnsi="Times New Roman" w:cs="Times New Roman"/>
          <w:sz w:val="24"/>
          <w:szCs w:val="24"/>
        </w:rPr>
        <w:t xml:space="preserve">to provide </w:t>
      </w:r>
      <w:r w:rsidRPr="00DF1D5A">
        <w:rPr>
          <w:rFonts w:ascii="Times New Roman" w:eastAsia="Times New Roman" w:hAnsi="Times New Roman" w:cs="Times New Roman"/>
          <w:sz w:val="24"/>
          <w:szCs w:val="24"/>
        </w:rPr>
        <w:t xml:space="preserve">present value data </w:t>
      </w:r>
      <w:r w:rsidR="0096370D">
        <w:rPr>
          <w:rFonts w:ascii="Times New Roman" w:eastAsia="Times New Roman" w:hAnsi="Times New Roman" w:cs="Times New Roman"/>
          <w:sz w:val="24"/>
          <w:szCs w:val="24"/>
        </w:rPr>
        <w:t xml:space="preserve">on </w:t>
      </w:r>
      <w:r w:rsidRPr="00DF1D5A">
        <w:rPr>
          <w:rFonts w:ascii="Times New Roman" w:eastAsia="Times New Roman" w:hAnsi="Times New Roman" w:cs="Times New Roman"/>
          <w:sz w:val="24"/>
          <w:szCs w:val="24"/>
        </w:rPr>
        <w:t xml:space="preserve">pensions prior to 2006 used </w:t>
      </w:r>
      <w:r w:rsidR="00225C0C">
        <w:rPr>
          <w:rFonts w:ascii="Times New Roman" w:eastAsia="Times New Roman" w:hAnsi="Times New Roman" w:cs="Times New Roman"/>
          <w:sz w:val="24"/>
          <w:szCs w:val="24"/>
        </w:rPr>
        <w:t xml:space="preserve">the yield of </w:t>
      </w:r>
      <w:r w:rsidRPr="00DF1D5A">
        <w:rPr>
          <w:rFonts w:ascii="Times New Roman" w:eastAsia="Times New Roman" w:hAnsi="Times New Roman" w:cs="Times New Roman"/>
          <w:sz w:val="24"/>
          <w:szCs w:val="24"/>
        </w:rPr>
        <w:t xml:space="preserve">either the 10-year </w:t>
      </w:r>
      <w:r w:rsidR="00F0084E" w:rsidRPr="00DF1D5A">
        <w:rPr>
          <w:rFonts w:ascii="Times New Roman" w:eastAsia="Times New Roman" w:hAnsi="Times New Roman" w:cs="Times New Roman"/>
          <w:sz w:val="24"/>
          <w:szCs w:val="24"/>
        </w:rPr>
        <w:t>Treasury</w:t>
      </w:r>
      <w:r w:rsidRPr="00DF1D5A">
        <w:rPr>
          <w:rFonts w:ascii="Times New Roman" w:eastAsia="Times New Roman" w:hAnsi="Times New Roman" w:cs="Times New Roman"/>
          <w:sz w:val="24"/>
          <w:szCs w:val="24"/>
        </w:rPr>
        <w:t xml:space="preserve"> bond </w:t>
      </w:r>
      <w:r w:rsidR="00225C0C">
        <w:rPr>
          <w:rFonts w:ascii="Times New Roman" w:eastAsia="Times New Roman" w:hAnsi="Times New Roman" w:cs="Times New Roman"/>
          <w:sz w:val="24"/>
          <w:szCs w:val="24"/>
        </w:rPr>
        <w:t xml:space="preserve">or </w:t>
      </w:r>
      <w:r w:rsidR="0096370D">
        <w:rPr>
          <w:rFonts w:ascii="Times New Roman" w:eastAsia="Times New Roman" w:hAnsi="Times New Roman" w:cs="Times New Roman"/>
          <w:sz w:val="24"/>
          <w:szCs w:val="24"/>
        </w:rPr>
        <w:t xml:space="preserve">the </w:t>
      </w:r>
      <w:proofErr w:type="spellStart"/>
      <w:r w:rsidR="00225C0C">
        <w:rPr>
          <w:rFonts w:ascii="Times New Roman" w:eastAsia="Times New Roman" w:hAnsi="Times New Roman" w:cs="Times New Roman"/>
          <w:sz w:val="24"/>
          <w:szCs w:val="24"/>
        </w:rPr>
        <w:t>Aaa</w:t>
      </w:r>
      <w:proofErr w:type="spellEnd"/>
      <w:r w:rsidR="00225C0C">
        <w:rPr>
          <w:rFonts w:ascii="Times New Roman" w:eastAsia="Times New Roman" w:hAnsi="Times New Roman" w:cs="Times New Roman"/>
          <w:sz w:val="24"/>
          <w:szCs w:val="24"/>
        </w:rPr>
        <w:t>-rated</w:t>
      </w:r>
      <w:r w:rsidRPr="00DF1D5A">
        <w:rPr>
          <w:rFonts w:ascii="Times New Roman" w:eastAsia="Times New Roman" w:hAnsi="Times New Roman" w:cs="Times New Roman"/>
          <w:sz w:val="24"/>
          <w:szCs w:val="24"/>
        </w:rPr>
        <w:t xml:space="preserve"> </w:t>
      </w:r>
      <w:r w:rsidR="00225C0C">
        <w:rPr>
          <w:rFonts w:ascii="Times New Roman" w:eastAsia="Times New Roman" w:hAnsi="Times New Roman" w:cs="Times New Roman"/>
          <w:sz w:val="24"/>
          <w:szCs w:val="24"/>
        </w:rPr>
        <w:t xml:space="preserve">corporate </w:t>
      </w:r>
      <w:r w:rsidR="00225C0C" w:rsidRPr="00DF1D5A">
        <w:rPr>
          <w:rFonts w:ascii="Times New Roman" w:eastAsia="Times New Roman" w:hAnsi="Times New Roman" w:cs="Times New Roman"/>
          <w:sz w:val="24"/>
          <w:szCs w:val="24"/>
        </w:rPr>
        <w:t xml:space="preserve">bond </w:t>
      </w:r>
      <w:r w:rsidRPr="00DF1D5A">
        <w:rPr>
          <w:rFonts w:ascii="Times New Roman" w:eastAsia="Times New Roman" w:hAnsi="Times New Roman" w:cs="Times New Roman"/>
          <w:sz w:val="24"/>
          <w:szCs w:val="24"/>
        </w:rPr>
        <w:t xml:space="preserve">for that year. </w:t>
      </w:r>
    </w:p>
    <w:p w:rsidR="005A3181" w:rsidRPr="00DF1D5A" w:rsidRDefault="005A3181" w:rsidP="00042A35">
      <w:pPr>
        <w:spacing w:before="240" w:after="0" w:line="480" w:lineRule="auto"/>
        <w:ind w:firstLine="360"/>
        <w:jc w:val="both"/>
        <w:rPr>
          <w:rFonts w:ascii="Times New Roman" w:eastAsia="Times New Roman" w:hAnsi="Times New Roman" w:cs="Times New Roman"/>
          <w:sz w:val="24"/>
          <w:szCs w:val="24"/>
        </w:rPr>
      </w:pPr>
      <w:r w:rsidRPr="00DF1D5A">
        <w:rPr>
          <w:rFonts w:ascii="Times New Roman" w:eastAsia="Times New Roman" w:hAnsi="Times New Roman" w:cs="Times New Roman"/>
          <w:sz w:val="24"/>
          <w:szCs w:val="24"/>
        </w:rPr>
        <w:lastRenderedPageBreak/>
        <w:t xml:space="preserve">The most difficult portion of this calculation involves the computation of </w:t>
      </w:r>
      <w:r w:rsidRPr="00F0084E">
        <w:rPr>
          <w:rFonts w:ascii="Times New Roman" w:eastAsia="Times New Roman" w:hAnsi="Times New Roman" w:cs="Times New Roman"/>
          <w:i/>
          <w:sz w:val="24"/>
          <w:szCs w:val="24"/>
        </w:rPr>
        <w:t>X</w:t>
      </w:r>
      <w:r w:rsidRPr="00DF1D5A">
        <w:rPr>
          <w:rFonts w:ascii="Times New Roman" w:eastAsia="Times New Roman" w:hAnsi="Times New Roman" w:cs="Times New Roman"/>
          <w:sz w:val="24"/>
          <w:szCs w:val="24"/>
        </w:rPr>
        <w:t>, the annual pension benefit. Companies offering executive pensions will typically report defined pension annuities in the form of a generic table relating final average earnings with years of credit service. Final average earnings reflect the executives’ highest annual average salary and bonus over a specified number of years. In this study, we assume that the most recent years’ of executive compensation are also the highest.</w:t>
      </w:r>
    </w:p>
    <w:p w:rsidR="00B16182" w:rsidRPr="00DF1D5A" w:rsidRDefault="00F0084E" w:rsidP="00633CE5">
      <w:pPr>
        <w:spacing w:before="24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005A3181" w:rsidRPr="00DF1D5A">
        <w:rPr>
          <w:rFonts w:ascii="Times New Roman" w:eastAsia="Times New Roman" w:hAnsi="Times New Roman" w:cs="Times New Roman"/>
          <w:sz w:val="24"/>
          <w:szCs w:val="24"/>
        </w:rPr>
        <w:t xml:space="preserve"> com</w:t>
      </w:r>
      <w:r>
        <w:rPr>
          <w:rFonts w:ascii="Times New Roman" w:eastAsia="Times New Roman" w:hAnsi="Times New Roman" w:cs="Times New Roman"/>
          <w:sz w:val="24"/>
          <w:szCs w:val="24"/>
        </w:rPr>
        <w:t>pute the annual pension benefit</w:t>
      </w:r>
      <w:r w:rsidR="005A3181" w:rsidRPr="00DF1D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w:t>
      </w:r>
      <w:r w:rsidR="005A3181" w:rsidRPr="00DF1D5A">
        <w:rPr>
          <w:rFonts w:ascii="Times New Roman" w:eastAsia="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70"/>
        <w:gridCol w:w="5984"/>
        <w:gridCol w:w="906"/>
      </w:tblGrid>
      <w:tr w:rsidR="00B16182" w:rsidTr="00F55DF9">
        <w:trPr>
          <w:trHeight w:val="1152"/>
        </w:trPr>
        <w:tc>
          <w:tcPr>
            <w:tcW w:w="2538" w:type="dxa"/>
          </w:tcPr>
          <w:p w:rsidR="00B16182" w:rsidRDefault="00B16182" w:rsidP="00A7546D">
            <w:pPr>
              <w:spacing w:line="480" w:lineRule="auto"/>
              <w:rPr>
                <w:rFonts w:ascii="Times New Roman" w:hAnsi="Times New Roman" w:cs="Times New Roman"/>
                <w:sz w:val="24"/>
                <w:szCs w:val="24"/>
              </w:rPr>
            </w:pPr>
          </w:p>
        </w:tc>
        <w:tc>
          <w:tcPr>
            <w:tcW w:w="6120" w:type="dxa"/>
          </w:tcPr>
          <w:p w:rsidR="00B16182" w:rsidRPr="00F0084E" w:rsidRDefault="00F55DF9" w:rsidP="003974B4">
            <w:pPr>
              <w:spacing w:line="480" w:lineRule="auto"/>
              <w:rPr>
                <w:rFonts w:ascii="Times New Roman" w:hAnsi="Times New Roman" w:cs="Times New Roman"/>
                <w:i/>
                <w:sz w:val="24"/>
                <w:szCs w:val="24"/>
              </w:rPr>
            </w:pPr>
            <w:r w:rsidRPr="00FD76B0">
              <w:rPr>
                <w:rFonts w:asciiTheme="majorHAnsi" w:hAnsiTheme="majorHAnsi" w:cs="Times New Roman"/>
                <w:i/>
                <w:sz w:val="24"/>
                <w:szCs w:val="24"/>
              </w:rPr>
              <w:t>Pension Benefit</w:t>
            </w:r>
            <w:r>
              <w:rPr>
                <w:rFonts w:ascii="Times New Roman" w:hAnsi="Times New Roman" w:cs="Times New Roman"/>
                <w:sz w:val="24"/>
                <w:szCs w:val="24"/>
              </w:rPr>
              <w:t xml:space="preserve"> = </w:t>
            </w:r>
            <m:oMath>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k=1</m:t>
                  </m:r>
                </m:sub>
                <m:sup>
                  <m:r>
                    <w:rPr>
                      <w:rFonts w:ascii="Cambria Math" w:eastAsia="Cambria Math" w:hAnsi="Cambria Math" w:cs="Times New Roman"/>
                      <w:sz w:val="24"/>
                      <w:szCs w:val="24"/>
                    </w:rPr>
                    <m:t>P</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t-k</m:t>
                          </m:r>
                        </m:sub>
                      </m:sSub>
                    </m:num>
                    <m:den>
                      <m:r>
                        <w:rPr>
                          <w:rFonts w:ascii="Cambria Math" w:hAnsi="Cambria Math" w:cs="Times New Roman"/>
                          <w:sz w:val="24"/>
                          <w:szCs w:val="24"/>
                        </w:rPr>
                        <m:t>P</m:t>
                      </m:r>
                    </m:den>
                  </m:f>
                </m:e>
              </m:nary>
              <m:r>
                <w:rPr>
                  <w:rFonts w:ascii="Cambria Math" w:hAnsi="Cambria Math" w:cs="Times New Roman"/>
                  <w:sz w:val="24"/>
                  <w:szCs w:val="24"/>
                </w:rPr>
                <m:t>× M × S</m:t>
              </m:r>
            </m:oMath>
          </w:p>
        </w:tc>
        <w:tc>
          <w:tcPr>
            <w:tcW w:w="918" w:type="dxa"/>
          </w:tcPr>
          <w:p w:rsidR="00B16182" w:rsidRDefault="00F55DF9" w:rsidP="00F55DF9">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r>
    </w:tbl>
    <w:p w:rsidR="00EA212B" w:rsidRDefault="00F0084E" w:rsidP="00633CE5">
      <w:pPr>
        <w:spacing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w:t>
      </w:r>
      <w:r w:rsidR="005A3181" w:rsidRPr="00DF1D5A">
        <w:rPr>
          <w:rFonts w:ascii="Times New Roman" w:eastAsia="Times New Roman" w:hAnsi="Times New Roman" w:cs="Times New Roman"/>
          <w:sz w:val="24"/>
          <w:szCs w:val="24"/>
        </w:rPr>
        <w:t>here</w:t>
      </w:r>
      <w:proofErr w:type="gramEnd"/>
      <w:r w:rsidR="005A3181" w:rsidRPr="00DF1D5A">
        <w:rPr>
          <w:rFonts w:ascii="Times New Roman" w:eastAsia="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005A3181" w:rsidRPr="00DF1D5A">
        <w:rPr>
          <w:rFonts w:ascii="Times New Roman" w:eastAsia="Times New Roman" w:hAnsi="Times New Roman" w:cs="Times New Roman"/>
          <w:sz w:val="24"/>
          <w:szCs w:val="24"/>
        </w:rPr>
        <w:t xml:space="preserve"> refers to the cash salary and bonus compensation to each executive for year </w:t>
      </w:r>
      <w:r w:rsidR="005A3181" w:rsidRPr="00F0084E">
        <w:rPr>
          <w:rFonts w:ascii="Times New Roman" w:eastAsia="Times New Roman" w:hAnsi="Times New Roman" w:cs="Times New Roman"/>
          <w:i/>
          <w:sz w:val="24"/>
          <w:szCs w:val="24"/>
        </w:rPr>
        <w:t>t</w:t>
      </w:r>
      <w:r w:rsidR="005A3181" w:rsidRPr="00DF1D5A">
        <w:rPr>
          <w:rFonts w:ascii="Times New Roman" w:eastAsia="Times New Roman" w:hAnsi="Times New Roman" w:cs="Times New Roman"/>
          <w:sz w:val="24"/>
          <w:szCs w:val="24"/>
        </w:rPr>
        <w:t xml:space="preserve">, </w:t>
      </w:r>
      <m:oMath>
        <m:r>
          <w:rPr>
            <w:rFonts w:ascii="Cambria Math" w:hAnsi="Cambria Math" w:cs="Times New Roman"/>
            <w:sz w:val="24"/>
            <w:szCs w:val="24"/>
          </w:rPr>
          <m:t>P</m:t>
        </m:r>
      </m:oMath>
      <w:r w:rsidR="005A3181" w:rsidRPr="00DF1D5A">
        <w:rPr>
          <w:rFonts w:ascii="Times New Roman" w:eastAsia="Times New Roman" w:hAnsi="Times New Roman" w:cs="Times New Roman"/>
          <w:sz w:val="24"/>
          <w:szCs w:val="24"/>
        </w:rPr>
        <w:t xml:space="preserve"> refers to the number of prior years whose compensation is averaged together, and </w:t>
      </w:r>
      <w:r w:rsidR="005A3181" w:rsidRPr="00DF1D5A">
        <w:rPr>
          <w:rFonts w:ascii="Times New Roman" w:eastAsia="Times New Roman" w:hAnsi="Times New Roman" w:cs="Times New Roman"/>
          <w:i/>
          <w:sz w:val="24"/>
          <w:szCs w:val="24"/>
        </w:rPr>
        <w:t xml:space="preserve">S </w:t>
      </w:r>
      <w:r w:rsidR="005A3181" w:rsidRPr="00DF1D5A">
        <w:rPr>
          <w:rFonts w:ascii="Times New Roman" w:eastAsia="Times New Roman" w:hAnsi="Times New Roman" w:cs="Times New Roman"/>
          <w:sz w:val="24"/>
          <w:szCs w:val="24"/>
        </w:rPr>
        <w:t>refers to the executives’ years of service. The years of service figure may relate to</w:t>
      </w:r>
      <w:r>
        <w:rPr>
          <w:rFonts w:ascii="Times New Roman" w:eastAsia="Times New Roman" w:hAnsi="Times New Roman" w:cs="Times New Roman"/>
          <w:sz w:val="24"/>
          <w:szCs w:val="24"/>
        </w:rPr>
        <w:t xml:space="preserve"> </w:t>
      </w:r>
      <w:r w:rsidR="005A3181" w:rsidRPr="00DF1D5A">
        <w:rPr>
          <w:rFonts w:ascii="Times New Roman" w:eastAsia="Times New Roman" w:hAnsi="Times New Roman" w:cs="Times New Roman"/>
          <w:sz w:val="24"/>
          <w:szCs w:val="24"/>
        </w:rPr>
        <w:t xml:space="preserve">date of first hire, years of total work experience, or a number of methodologies employed by the firm. </w:t>
      </w:r>
      <w:r w:rsidR="005A3181" w:rsidRPr="00C91DF3">
        <w:rPr>
          <w:rFonts w:ascii="Times New Roman" w:eastAsia="Times New Roman" w:hAnsi="Times New Roman" w:cs="Times New Roman"/>
          <w:sz w:val="24"/>
          <w:szCs w:val="24"/>
        </w:rPr>
        <w:t xml:space="preserve">This information is provided </w:t>
      </w:r>
      <w:r w:rsidR="00265C0B" w:rsidRPr="00C91DF3">
        <w:rPr>
          <w:rFonts w:ascii="Times New Roman" w:eastAsia="Times New Roman" w:hAnsi="Times New Roman" w:cs="Times New Roman"/>
          <w:sz w:val="24"/>
          <w:szCs w:val="24"/>
        </w:rPr>
        <w:t>with</w:t>
      </w:r>
      <w:r w:rsidR="005A3181" w:rsidRPr="00C91DF3">
        <w:rPr>
          <w:rFonts w:ascii="Times New Roman" w:eastAsia="Times New Roman" w:hAnsi="Times New Roman" w:cs="Times New Roman"/>
          <w:sz w:val="24"/>
          <w:szCs w:val="24"/>
        </w:rPr>
        <w:t xml:space="preserve"> the pension plan table</w:t>
      </w:r>
      <w:r w:rsidR="00E83B96" w:rsidRPr="00C91DF3">
        <w:rPr>
          <w:rFonts w:ascii="Times New Roman" w:eastAsia="Times New Roman" w:hAnsi="Times New Roman" w:cs="Times New Roman"/>
          <w:sz w:val="24"/>
          <w:szCs w:val="24"/>
        </w:rPr>
        <w:t xml:space="preserve"> (see </w:t>
      </w:r>
      <w:r w:rsidR="00C91DF3">
        <w:rPr>
          <w:rFonts w:ascii="Times New Roman" w:eastAsia="Times New Roman" w:hAnsi="Times New Roman" w:cs="Times New Roman"/>
          <w:sz w:val="24"/>
          <w:szCs w:val="24"/>
        </w:rPr>
        <w:t>a</w:t>
      </w:r>
      <w:r w:rsidR="00E83B96" w:rsidRPr="00C91DF3">
        <w:rPr>
          <w:rFonts w:ascii="Times New Roman" w:eastAsia="Times New Roman" w:hAnsi="Times New Roman" w:cs="Times New Roman"/>
          <w:sz w:val="24"/>
          <w:szCs w:val="24"/>
        </w:rPr>
        <w:t>ppendix)</w:t>
      </w:r>
      <w:r w:rsidR="005A3181" w:rsidRPr="00C91DF3">
        <w:rPr>
          <w:rFonts w:ascii="Times New Roman" w:eastAsia="Times New Roman" w:hAnsi="Times New Roman" w:cs="Times New Roman"/>
          <w:sz w:val="24"/>
          <w:szCs w:val="24"/>
        </w:rPr>
        <w:t>.</w:t>
      </w:r>
      <w:r w:rsidR="005A3181" w:rsidRPr="00DF1D5A">
        <w:rPr>
          <w:rFonts w:ascii="Times New Roman" w:eastAsia="Times New Roman" w:hAnsi="Times New Roman" w:cs="Times New Roman"/>
          <w:sz w:val="24"/>
          <w:szCs w:val="24"/>
        </w:rPr>
        <w:t xml:space="preserve"> </w:t>
      </w:r>
      <w:r w:rsidR="005A3181" w:rsidRPr="00DF1D5A">
        <w:rPr>
          <w:rFonts w:ascii="Times New Roman" w:eastAsia="Times New Roman" w:hAnsi="Times New Roman" w:cs="Times New Roman"/>
          <w:i/>
          <w:sz w:val="24"/>
          <w:szCs w:val="24"/>
        </w:rPr>
        <w:t xml:space="preserve">M </w:t>
      </w:r>
      <w:r w:rsidR="005A3181" w:rsidRPr="00DF1D5A">
        <w:rPr>
          <w:rFonts w:ascii="Times New Roman" w:eastAsia="Times New Roman" w:hAnsi="Times New Roman" w:cs="Times New Roman"/>
          <w:sz w:val="24"/>
          <w:szCs w:val="24"/>
        </w:rPr>
        <w:t xml:space="preserve">refers to the multiplicative factor that describes the pension plan table, and is best interpreted as the amount </w:t>
      </w:r>
      <w:r w:rsidR="003974B4">
        <w:rPr>
          <w:rFonts w:ascii="Times New Roman" w:eastAsia="Times New Roman" w:hAnsi="Times New Roman" w:cs="Times New Roman"/>
          <w:sz w:val="24"/>
          <w:szCs w:val="24"/>
        </w:rPr>
        <w:t xml:space="preserve">(in percent) </w:t>
      </w:r>
      <w:r w:rsidR="005A3181" w:rsidRPr="00DF1D5A">
        <w:rPr>
          <w:rFonts w:ascii="Times New Roman" w:eastAsia="Times New Roman" w:hAnsi="Times New Roman" w:cs="Times New Roman"/>
          <w:sz w:val="24"/>
          <w:szCs w:val="24"/>
        </w:rPr>
        <w:t>of pension benefit earned per year of service. For most firms, this figure is between 1.5 and 2.0% of average compensation per year of service. The net combination of equations</w:t>
      </w:r>
      <w:r w:rsidR="00F55DF9">
        <w:rPr>
          <w:rFonts w:ascii="Times New Roman" w:eastAsia="Times New Roman" w:hAnsi="Times New Roman" w:cs="Times New Roman"/>
          <w:sz w:val="24"/>
          <w:szCs w:val="24"/>
        </w:rPr>
        <w:t xml:space="preserve"> (1) and (2)</w:t>
      </w:r>
      <w:r w:rsidR="005A3181" w:rsidRPr="00DF1D5A">
        <w:rPr>
          <w:rFonts w:ascii="Times New Roman" w:eastAsia="Times New Roman" w:hAnsi="Times New Roman" w:cs="Times New Roman"/>
          <w:sz w:val="24"/>
          <w:szCs w:val="24"/>
        </w:rPr>
        <w:t xml:space="preserve"> produces the actuarial present value for the executive pension for </w:t>
      </w:r>
      <w:r>
        <w:rPr>
          <w:rFonts w:ascii="Times New Roman" w:eastAsia="Times New Roman" w:hAnsi="Times New Roman" w:cs="Times New Roman"/>
          <w:sz w:val="24"/>
          <w:szCs w:val="24"/>
        </w:rPr>
        <w:t>a given</w:t>
      </w:r>
      <w:r w:rsidR="005A3181" w:rsidRPr="00DF1D5A">
        <w:rPr>
          <w:rFonts w:ascii="Times New Roman" w:eastAsia="Times New Roman" w:hAnsi="Times New Roman" w:cs="Times New Roman"/>
          <w:sz w:val="24"/>
          <w:szCs w:val="24"/>
        </w:rPr>
        <w:t xml:space="preserve"> year.</w:t>
      </w:r>
      <w:r w:rsidR="005A3181" w:rsidRPr="00DF1D5A">
        <w:rPr>
          <w:rStyle w:val="FootnoteReference"/>
          <w:rFonts w:ascii="Times New Roman" w:eastAsia="Times New Roman" w:hAnsi="Times New Roman" w:cs="Times New Roman"/>
          <w:sz w:val="24"/>
          <w:szCs w:val="24"/>
        </w:rPr>
        <w:footnoteReference w:id="3"/>
      </w:r>
    </w:p>
    <w:p w:rsidR="00991871" w:rsidRPr="00DF1D5A" w:rsidRDefault="00991871" w:rsidP="005A3181">
      <w:pPr>
        <w:spacing w:after="0" w:line="480" w:lineRule="auto"/>
        <w:rPr>
          <w:rFonts w:ascii="Times New Roman" w:eastAsia="Times New Roman" w:hAnsi="Times New Roman" w:cs="Times New Roman"/>
          <w:sz w:val="24"/>
          <w:szCs w:val="24"/>
        </w:rPr>
      </w:pPr>
    </w:p>
    <w:p w:rsidR="005A3181" w:rsidRPr="00DF1D5A" w:rsidRDefault="00450B86" w:rsidP="000E67C5">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4</w:t>
      </w:r>
      <w:r w:rsidR="00D623E3">
        <w:rPr>
          <w:rFonts w:ascii="Times New Roman" w:hAnsi="Times New Roman" w:cs="Times New Roman"/>
          <w:i/>
          <w:sz w:val="24"/>
          <w:szCs w:val="24"/>
        </w:rPr>
        <w:t>.2.</w:t>
      </w:r>
      <w:r w:rsidR="005A3181" w:rsidRPr="00DF1D5A">
        <w:rPr>
          <w:rFonts w:ascii="Times New Roman" w:hAnsi="Times New Roman" w:cs="Times New Roman"/>
          <w:i/>
          <w:sz w:val="24"/>
          <w:szCs w:val="24"/>
        </w:rPr>
        <w:t xml:space="preserve"> </w:t>
      </w:r>
      <w:r w:rsidR="00D623E3">
        <w:rPr>
          <w:rFonts w:ascii="Times New Roman" w:hAnsi="Times New Roman" w:cs="Times New Roman"/>
          <w:i/>
          <w:sz w:val="24"/>
          <w:szCs w:val="24"/>
        </w:rPr>
        <w:t>Stock and stock-option value</w:t>
      </w:r>
    </w:p>
    <w:p w:rsidR="00D623E3" w:rsidRPr="00D623E3" w:rsidRDefault="00D623E3" w:rsidP="00633CE5">
      <w:pPr>
        <w:spacing w:before="120" w:after="0" w:line="480" w:lineRule="auto"/>
        <w:jc w:val="both"/>
        <w:rPr>
          <w:rFonts w:ascii="Times New Roman" w:hAnsi="Times New Roman" w:cs="Times New Roman"/>
          <w:sz w:val="24"/>
          <w:szCs w:val="24"/>
        </w:rPr>
      </w:pPr>
      <w:r w:rsidRPr="00D623E3">
        <w:rPr>
          <w:rFonts w:ascii="Times New Roman" w:hAnsi="Times New Roman" w:cs="Times New Roman"/>
          <w:sz w:val="24"/>
          <w:szCs w:val="24"/>
        </w:rPr>
        <w:lastRenderedPageBreak/>
        <w:t xml:space="preserve">The market value of common equity of a manager is estimated by the number of shares held by the manager multiplied by the share price. To estimate the value of the unexercised stock-options held by the manager we employ the procedure developed by Core and </w:t>
      </w:r>
      <w:proofErr w:type="spellStart"/>
      <w:r w:rsidRPr="00D623E3">
        <w:rPr>
          <w:rFonts w:ascii="Times New Roman" w:hAnsi="Times New Roman" w:cs="Times New Roman"/>
          <w:sz w:val="24"/>
          <w:szCs w:val="24"/>
        </w:rPr>
        <w:t>Guay</w:t>
      </w:r>
      <w:proofErr w:type="spellEnd"/>
      <w:r w:rsidRPr="00D623E3">
        <w:rPr>
          <w:rFonts w:ascii="Times New Roman" w:hAnsi="Times New Roman" w:cs="Times New Roman"/>
          <w:sz w:val="24"/>
          <w:szCs w:val="24"/>
        </w:rPr>
        <w:t xml:space="preserve"> (2002) (also used by </w:t>
      </w:r>
      <w:proofErr w:type="spellStart"/>
      <w:r w:rsidRPr="00D623E3">
        <w:rPr>
          <w:rFonts w:ascii="Times New Roman" w:hAnsi="Times New Roman" w:cs="Times New Roman"/>
          <w:sz w:val="24"/>
          <w:szCs w:val="24"/>
        </w:rPr>
        <w:t>Sundaram</w:t>
      </w:r>
      <w:proofErr w:type="spellEnd"/>
      <w:r w:rsidRPr="00D623E3">
        <w:rPr>
          <w:rFonts w:ascii="Times New Roman" w:hAnsi="Times New Roman" w:cs="Times New Roman"/>
          <w:sz w:val="24"/>
          <w:szCs w:val="24"/>
        </w:rPr>
        <w:t xml:space="preserve"> and </w:t>
      </w:r>
      <w:proofErr w:type="spellStart"/>
      <w:r w:rsidRPr="00D623E3">
        <w:rPr>
          <w:rFonts w:ascii="Times New Roman" w:hAnsi="Times New Roman" w:cs="Times New Roman"/>
          <w:sz w:val="24"/>
          <w:szCs w:val="24"/>
        </w:rPr>
        <w:t>Yermack</w:t>
      </w:r>
      <w:proofErr w:type="spellEnd"/>
      <w:r w:rsidRPr="00D623E3">
        <w:rPr>
          <w:rFonts w:ascii="Times New Roman" w:hAnsi="Times New Roman" w:cs="Times New Roman"/>
          <w:sz w:val="24"/>
          <w:szCs w:val="24"/>
        </w:rPr>
        <w:t xml:space="preserve"> (2007)). The options’ value is estimated by the Black and Scholes (1973) model, with the following inputs’ estimates.</w:t>
      </w:r>
    </w:p>
    <w:p w:rsidR="00D623E3" w:rsidRDefault="00D623E3" w:rsidP="00ED085E">
      <w:pPr>
        <w:spacing w:before="240" w:after="0" w:line="480" w:lineRule="auto"/>
        <w:ind w:firstLine="360"/>
        <w:jc w:val="both"/>
        <w:rPr>
          <w:rFonts w:ascii="Times New Roman" w:hAnsi="Times New Roman" w:cs="Times New Roman"/>
          <w:sz w:val="24"/>
          <w:szCs w:val="24"/>
        </w:rPr>
      </w:pPr>
      <w:r w:rsidRPr="00D623E3">
        <w:rPr>
          <w:rFonts w:ascii="Times New Roman" w:hAnsi="Times New Roman" w:cs="Times New Roman"/>
          <w:sz w:val="24"/>
          <w:szCs w:val="24"/>
        </w:rPr>
        <w:t xml:space="preserve">The exercise price of the unexercised stock-options is measured in two steps. Using </w:t>
      </w:r>
      <w:proofErr w:type="spellStart"/>
      <w:r w:rsidRPr="00D623E3">
        <w:rPr>
          <w:rFonts w:ascii="Times New Roman" w:hAnsi="Times New Roman" w:cs="Times New Roman"/>
          <w:sz w:val="24"/>
          <w:szCs w:val="24"/>
        </w:rPr>
        <w:t>ExecuComp</w:t>
      </w:r>
      <w:proofErr w:type="spellEnd"/>
      <w:r w:rsidRPr="00D623E3">
        <w:rPr>
          <w:rFonts w:ascii="Times New Roman" w:hAnsi="Times New Roman" w:cs="Times New Roman"/>
          <w:sz w:val="24"/>
          <w:szCs w:val="24"/>
        </w:rPr>
        <w:t xml:space="preserve"> data we first compute the ratio of the realizable value of in-the-money exercisable options to the number of unexercised exercisable options; we then estimate the exercise price by subtracting this ratio from the firm’s stock price at the end of its fiscal year. Following </w:t>
      </w:r>
      <w:proofErr w:type="spellStart"/>
      <w:r w:rsidRPr="00D623E3">
        <w:rPr>
          <w:rFonts w:ascii="Times New Roman" w:hAnsi="Times New Roman" w:cs="Times New Roman"/>
          <w:sz w:val="24"/>
          <w:szCs w:val="24"/>
        </w:rPr>
        <w:t>Sundaram</w:t>
      </w:r>
      <w:proofErr w:type="spellEnd"/>
      <w:r w:rsidRPr="00D623E3">
        <w:rPr>
          <w:rFonts w:ascii="Times New Roman" w:hAnsi="Times New Roman" w:cs="Times New Roman"/>
          <w:sz w:val="24"/>
          <w:szCs w:val="24"/>
        </w:rPr>
        <w:t xml:space="preserve"> and </w:t>
      </w:r>
      <w:proofErr w:type="spellStart"/>
      <w:r w:rsidRPr="00D623E3">
        <w:rPr>
          <w:rFonts w:ascii="Times New Roman" w:hAnsi="Times New Roman" w:cs="Times New Roman"/>
          <w:sz w:val="24"/>
          <w:szCs w:val="24"/>
        </w:rPr>
        <w:t>Yermack</w:t>
      </w:r>
      <w:proofErr w:type="spellEnd"/>
      <w:r w:rsidRPr="00D623E3">
        <w:rPr>
          <w:rFonts w:ascii="Times New Roman" w:hAnsi="Times New Roman" w:cs="Times New Roman"/>
          <w:sz w:val="24"/>
          <w:szCs w:val="24"/>
        </w:rPr>
        <w:t xml:space="preserve"> (2007) the maturity of all outstanding stock-options is set to six years. Stock price volatility is measured by the standard deviation of the stock return in the previous 60 months. The dividend yield</w:t>
      </w:r>
      <w:r w:rsidR="00576A39">
        <w:rPr>
          <w:rFonts w:ascii="Times New Roman" w:hAnsi="Times New Roman" w:cs="Times New Roman"/>
          <w:sz w:val="24"/>
          <w:szCs w:val="24"/>
        </w:rPr>
        <w:t>,</w:t>
      </w:r>
      <w:r w:rsidRPr="00D623E3">
        <w:rPr>
          <w:rFonts w:ascii="Times New Roman" w:hAnsi="Times New Roman" w:cs="Times New Roman"/>
          <w:sz w:val="24"/>
          <w:szCs w:val="24"/>
        </w:rPr>
        <w:t xml:space="preserve"> taken over a three-year period, </w:t>
      </w:r>
      <w:r w:rsidR="00576A39">
        <w:rPr>
          <w:rFonts w:ascii="Times New Roman" w:hAnsi="Times New Roman" w:cs="Times New Roman"/>
          <w:sz w:val="24"/>
          <w:szCs w:val="24"/>
        </w:rPr>
        <w:t xml:space="preserve">is </w:t>
      </w:r>
      <w:r w:rsidRPr="00D623E3">
        <w:rPr>
          <w:rFonts w:ascii="Times New Roman" w:hAnsi="Times New Roman" w:cs="Times New Roman"/>
          <w:sz w:val="24"/>
          <w:szCs w:val="24"/>
        </w:rPr>
        <w:t xml:space="preserve">estimated by </w:t>
      </w:r>
      <w:r w:rsidR="00576A39">
        <w:rPr>
          <w:rFonts w:ascii="Times New Roman" w:hAnsi="Times New Roman" w:cs="Times New Roman"/>
          <w:sz w:val="24"/>
          <w:szCs w:val="24"/>
        </w:rPr>
        <w:t xml:space="preserve">the </w:t>
      </w:r>
      <w:proofErr w:type="spellStart"/>
      <w:r w:rsidRPr="00D623E3">
        <w:rPr>
          <w:rFonts w:ascii="Times New Roman" w:hAnsi="Times New Roman" w:cs="Times New Roman"/>
          <w:sz w:val="24"/>
          <w:szCs w:val="24"/>
        </w:rPr>
        <w:t>Fama</w:t>
      </w:r>
      <w:proofErr w:type="spellEnd"/>
      <w:r w:rsidRPr="00D623E3">
        <w:rPr>
          <w:rFonts w:ascii="Times New Roman" w:hAnsi="Times New Roman" w:cs="Times New Roman"/>
          <w:sz w:val="24"/>
          <w:szCs w:val="24"/>
        </w:rPr>
        <w:t xml:space="preserve"> and French (1988) procedure.  The risk-free rate is </w:t>
      </w:r>
      <w:r w:rsidR="00576A39">
        <w:rPr>
          <w:rFonts w:ascii="Times New Roman" w:hAnsi="Times New Roman" w:cs="Times New Roman"/>
          <w:sz w:val="24"/>
          <w:szCs w:val="24"/>
        </w:rPr>
        <w:t xml:space="preserve">set equal to </w:t>
      </w:r>
      <w:r w:rsidRPr="00D623E3">
        <w:rPr>
          <w:rFonts w:ascii="Times New Roman" w:hAnsi="Times New Roman" w:cs="Times New Roman"/>
          <w:sz w:val="24"/>
          <w:szCs w:val="24"/>
        </w:rPr>
        <w:t xml:space="preserve">the one-year T-bill yield.  </w:t>
      </w:r>
    </w:p>
    <w:p w:rsidR="00D623E3" w:rsidRPr="00D623E3" w:rsidRDefault="00D623E3" w:rsidP="00D623E3">
      <w:pPr>
        <w:spacing w:after="0" w:line="480" w:lineRule="auto"/>
        <w:ind w:firstLine="720"/>
        <w:jc w:val="both"/>
        <w:rPr>
          <w:rFonts w:ascii="Times New Roman" w:hAnsi="Times New Roman" w:cs="Times New Roman"/>
          <w:sz w:val="24"/>
          <w:szCs w:val="24"/>
        </w:rPr>
      </w:pPr>
    </w:p>
    <w:p w:rsidR="00D623E3" w:rsidRPr="00DF1D5A" w:rsidRDefault="00D623E3" w:rsidP="00D623E3">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4.</w:t>
      </w:r>
      <w:r w:rsidR="00D105B3">
        <w:rPr>
          <w:rFonts w:ascii="Times New Roman" w:hAnsi="Times New Roman" w:cs="Times New Roman"/>
          <w:i/>
          <w:sz w:val="24"/>
          <w:szCs w:val="24"/>
        </w:rPr>
        <w:t>3</w:t>
      </w:r>
      <w:r>
        <w:rPr>
          <w:rFonts w:ascii="Times New Roman" w:hAnsi="Times New Roman" w:cs="Times New Roman"/>
          <w:i/>
          <w:sz w:val="24"/>
          <w:szCs w:val="24"/>
        </w:rPr>
        <w:t>.</w:t>
      </w:r>
      <w:r w:rsidRPr="00DF1D5A">
        <w:rPr>
          <w:rFonts w:ascii="Times New Roman" w:hAnsi="Times New Roman" w:cs="Times New Roman"/>
          <w:i/>
          <w:sz w:val="24"/>
          <w:szCs w:val="24"/>
        </w:rPr>
        <w:t xml:space="preserve"> </w:t>
      </w:r>
      <w:r w:rsidR="00ED085E">
        <w:rPr>
          <w:rFonts w:ascii="Times New Roman" w:hAnsi="Times New Roman" w:cs="Times New Roman"/>
          <w:i/>
          <w:sz w:val="24"/>
          <w:szCs w:val="24"/>
        </w:rPr>
        <w:t>C</w:t>
      </w:r>
      <w:r>
        <w:rPr>
          <w:rFonts w:ascii="Times New Roman" w:hAnsi="Times New Roman" w:cs="Times New Roman"/>
          <w:i/>
          <w:sz w:val="24"/>
          <w:szCs w:val="24"/>
        </w:rPr>
        <w:t>ompensation leverage</w:t>
      </w:r>
      <w:r w:rsidR="00830CAC">
        <w:rPr>
          <w:rFonts w:ascii="Times New Roman" w:hAnsi="Times New Roman" w:cs="Times New Roman"/>
          <w:i/>
          <w:sz w:val="24"/>
          <w:szCs w:val="24"/>
        </w:rPr>
        <w:t xml:space="preserve"> and inside debt</w:t>
      </w:r>
    </w:p>
    <w:p w:rsidR="00D623E3" w:rsidRDefault="00D623E3" w:rsidP="00633CE5">
      <w:pPr>
        <w:spacing w:before="120" w:line="480" w:lineRule="auto"/>
        <w:jc w:val="both"/>
        <w:rPr>
          <w:rFonts w:ascii="Times New Roman" w:hAnsi="Times New Roman" w:cs="Times New Roman"/>
          <w:sz w:val="24"/>
          <w:szCs w:val="24"/>
        </w:rPr>
      </w:pPr>
      <w:r w:rsidRPr="00D623E3">
        <w:rPr>
          <w:rFonts w:ascii="Times New Roman" w:hAnsi="Times New Roman" w:cs="Times New Roman"/>
          <w:sz w:val="24"/>
          <w:szCs w:val="24"/>
        </w:rPr>
        <w:t xml:space="preserve">Given the values of pension, stocks, and stock-options of the individual manager, the compensation leverage </w:t>
      </w:r>
      <w:r w:rsidR="00487F7A">
        <w:rPr>
          <w:rFonts w:ascii="Times New Roman" w:hAnsi="Times New Roman" w:cs="Times New Roman"/>
          <w:sz w:val="24"/>
          <w:szCs w:val="24"/>
        </w:rPr>
        <w:t xml:space="preserve">of the CEO is given by her pension value divided by the sum of her pension value and her stock and stock-option values. The compensation leverage </w:t>
      </w:r>
      <w:r w:rsidR="00976338">
        <w:rPr>
          <w:rFonts w:ascii="Times New Roman" w:hAnsi="Times New Roman" w:cs="Times New Roman"/>
          <w:sz w:val="24"/>
          <w:szCs w:val="24"/>
        </w:rPr>
        <w:t>for all top executives</w:t>
      </w:r>
      <w:r w:rsidRPr="00D623E3">
        <w:rPr>
          <w:rFonts w:ascii="Times New Roman" w:hAnsi="Times New Roman" w:cs="Times New Roman"/>
          <w:sz w:val="24"/>
          <w:szCs w:val="24"/>
        </w:rPr>
        <w:t xml:space="preserve"> is defined as: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10"/>
        <w:gridCol w:w="4991"/>
        <w:gridCol w:w="2459"/>
      </w:tblGrid>
      <w:tr w:rsidR="00D105B3" w:rsidTr="00576A39">
        <w:trPr>
          <w:trHeight w:val="468"/>
        </w:trPr>
        <w:tc>
          <w:tcPr>
            <w:tcW w:w="1998" w:type="dxa"/>
          </w:tcPr>
          <w:p w:rsidR="00ED085E" w:rsidRDefault="00ED085E" w:rsidP="00ED085E">
            <w:pPr>
              <w:spacing w:line="480" w:lineRule="auto"/>
              <w:rPr>
                <w:rFonts w:ascii="Times New Roman" w:hAnsi="Times New Roman" w:cs="Times New Roman"/>
                <w:sz w:val="24"/>
                <w:szCs w:val="24"/>
              </w:rPr>
            </w:pPr>
          </w:p>
        </w:tc>
        <w:tc>
          <w:tcPr>
            <w:tcW w:w="5016" w:type="dxa"/>
          </w:tcPr>
          <w:p w:rsidR="00ED085E" w:rsidRPr="00D105B3" w:rsidRDefault="00576A39" w:rsidP="00D105B3">
            <w:pPr>
              <w:spacing w:line="480" w:lineRule="auto"/>
              <w:rPr>
                <w:rFonts w:ascii="Times New Roman" w:hAnsi="Times New Roman" w:cs="Times New Roman"/>
                <w:i/>
                <w:sz w:val="24"/>
                <w:szCs w:val="24"/>
              </w:rPr>
            </w:pPr>
            <m:oMathPara>
              <m:oMathParaPr>
                <m:jc m:val="center"/>
              </m:oMathParaPr>
              <m:oMath>
                <m:r>
                  <w:rPr>
                    <w:rFonts w:ascii="Cambria Math" w:hAnsi="Cambria Math" w:cs="Times New Roman"/>
                    <w:sz w:val="24"/>
                    <w:szCs w:val="24"/>
                  </w:rPr>
                  <m:t>CL=</m:t>
                </m:r>
                <m:f>
                  <m:fPr>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J</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sSub>
                          <m:sSubPr>
                            <m:ctrlPr>
                              <w:rPr>
                                <w:rFonts w:ascii="Cambria Math" w:hAnsi="Cambria Math" w:cs="Times New Roman"/>
                                <w:i/>
                                <w:sz w:val="24"/>
                                <w:szCs w:val="24"/>
                              </w:rPr>
                            </m:ctrlPr>
                          </m:sSubPr>
                          <m:e>
                            <m:r>
                              <w:rPr>
                                <w:rFonts w:ascii="Cambria Math" w:hAnsi="Cambria Math" w:cs="Times New Roman"/>
                                <w:sz w:val="24"/>
                                <w:szCs w:val="24"/>
                              </w:rPr>
                              <m:t>Pension</m:t>
                            </m:r>
                          </m:e>
                          <m:sub>
                            <m:r>
                              <w:rPr>
                                <w:rFonts w:ascii="Cambria Math" w:hAnsi="Cambria Math" w:cs="Times New Roman"/>
                                <w:sz w:val="24"/>
                                <w:szCs w:val="24"/>
                              </w:rPr>
                              <m:t>j</m:t>
                            </m:r>
                          </m:sub>
                        </m:sSub>
                      </m:e>
                    </m:nary>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J</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Pension</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Stocks</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Options</m:t>
                            </m:r>
                          </m:e>
                          <m:sub>
                            <m:r>
                              <w:rPr>
                                <w:rFonts w:ascii="Cambria Math" w:hAnsi="Cambria Math" w:cs="Times New Roman"/>
                                <w:sz w:val="24"/>
                                <w:szCs w:val="24"/>
                              </w:rPr>
                              <m:t>j</m:t>
                            </m:r>
                          </m:sub>
                        </m:sSub>
                        <m:r>
                          <w:rPr>
                            <w:rFonts w:ascii="Cambria Math" w:hAnsi="Cambria Math" w:cs="Times New Roman"/>
                            <w:sz w:val="24"/>
                            <w:szCs w:val="24"/>
                          </w:rPr>
                          <m:t>)</m:t>
                        </m:r>
                      </m:e>
                    </m:nary>
                  </m:den>
                </m:f>
              </m:oMath>
            </m:oMathPara>
          </w:p>
        </w:tc>
        <w:tc>
          <w:tcPr>
            <w:tcW w:w="2562" w:type="dxa"/>
          </w:tcPr>
          <w:p w:rsidR="00ED085E" w:rsidRDefault="00ED085E" w:rsidP="00ED085E">
            <w:pPr>
              <w:spacing w:line="480" w:lineRule="auto"/>
              <w:jc w:val="right"/>
              <w:rPr>
                <w:rFonts w:ascii="Times New Roman" w:hAnsi="Times New Roman" w:cs="Times New Roman"/>
                <w:sz w:val="24"/>
                <w:szCs w:val="24"/>
              </w:rPr>
            </w:pPr>
            <w:r>
              <w:rPr>
                <w:rFonts w:ascii="Times New Roman" w:hAnsi="Times New Roman" w:cs="Times New Roman"/>
                <w:sz w:val="24"/>
                <w:szCs w:val="24"/>
              </w:rPr>
              <w:t>(3)</w:t>
            </w:r>
          </w:p>
        </w:tc>
      </w:tr>
    </w:tbl>
    <w:p w:rsidR="00D623E3" w:rsidRDefault="00D623E3" w:rsidP="00633CE5">
      <w:pPr>
        <w:spacing w:after="0" w:line="480" w:lineRule="auto"/>
        <w:jc w:val="both"/>
        <w:rPr>
          <w:rFonts w:ascii="Times New Roman" w:hAnsi="Times New Roman" w:cs="Times New Roman"/>
          <w:sz w:val="24"/>
          <w:szCs w:val="24"/>
        </w:rPr>
      </w:pPr>
      <w:proofErr w:type="gramStart"/>
      <w:r w:rsidRPr="00D623E3">
        <w:rPr>
          <w:rFonts w:ascii="Times New Roman" w:hAnsi="Times New Roman" w:cs="Times New Roman"/>
          <w:sz w:val="24"/>
          <w:szCs w:val="24"/>
        </w:rPr>
        <w:lastRenderedPageBreak/>
        <w:t>where</w:t>
      </w:r>
      <w:proofErr w:type="gramEnd"/>
      <w:r w:rsidRPr="00D623E3">
        <w:rPr>
          <w:rFonts w:ascii="Times New Roman" w:hAnsi="Times New Roman" w:cs="Times New Roman"/>
          <w:sz w:val="24"/>
          <w:szCs w:val="24"/>
        </w:rPr>
        <w:t xml:space="preserve"> </w:t>
      </w:r>
      <w:r w:rsidRPr="00D623E3">
        <w:rPr>
          <w:rFonts w:ascii="Times New Roman" w:hAnsi="Times New Roman" w:cs="Times New Roman"/>
          <w:i/>
          <w:sz w:val="24"/>
          <w:szCs w:val="24"/>
        </w:rPr>
        <w:t>J</w:t>
      </w:r>
      <w:r w:rsidRPr="00D623E3">
        <w:rPr>
          <w:rFonts w:ascii="Times New Roman" w:hAnsi="Times New Roman" w:cs="Times New Roman"/>
          <w:sz w:val="24"/>
          <w:szCs w:val="24"/>
        </w:rPr>
        <w:t xml:space="preserve"> represents the number of top managers (typically five) in each firm in each year.</w:t>
      </w:r>
      <w:r>
        <w:rPr>
          <w:rFonts w:ascii="Times New Roman" w:hAnsi="Times New Roman" w:cs="Times New Roman"/>
          <w:sz w:val="24"/>
          <w:szCs w:val="24"/>
        </w:rPr>
        <w:t xml:space="preserve"> </w:t>
      </w:r>
      <w:r w:rsidRPr="00D623E3">
        <w:rPr>
          <w:rFonts w:ascii="Times New Roman" w:hAnsi="Times New Roman" w:cs="Times New Roman"/>
          <w:sz w:val="24"/>
          <w:szCs w:val="24"/>
        </w:rPr>
        <w:t xml:space="preserve">This measure of compensation leverage weighs the compensation leverage ratios of the firm’s top executive according to the value of their compensation components. </w:t>
      </w:r>
      <w:r w:rsidR="00830CAC">
        <w:rPr>
          <w:rFonts w:ascii="Times New Roman" w:hAnsi="Times New Roman" w:cs="Times New Roman"/>
          <w:sz w:val="24"/>
          <w:szCs w:val="24"/>
        </w:rPr>
        <w:t xml:space="preserve">The inside debt at the CEO level is given by the value of the CEO’s pension divided by the book value of total assets, and </w:t>
      </w:r>
      <w:r w:rsidR="00976338">
        <w:rPr>
          <w:rFonts w:ascii="Times New Roman" w:hAnsi="Times New Roman" w:cs="Times New Roman"/>
          <w:sz w:val="24"/>
          <w:szCs w:val="24"/>
        </w:rPr>
        <w:t>for all executives</w:t>
      </w:r>
      <w:r w:rsidR="00830CAC">
        <w:rPr>
          <w:rFonts w:ascii="Times New Roman" w:hAnsi="Times New Roman" w:cs="Times New Roman"/>
          <w:sz w:val="24"/>
          <w:szCs w:val="24"/>
        </w:rPr>
        <w:t xml:space="preserve"> by the sum of the values of pensions of all top executives divided by total assets. </w:t>
      </w:r>
    </w:p>
    <w:p w:rsidR="005E3F84" w:rsidRPr="00DF1D5A" w:rsidRDefault="005E3F84" w:rsidP="004B0F2A">
      <w:pPr>
        <w:spacing w:after="0" w:line="480" w:lineRule="auto"/>
        <w:rPr>
          <w:rFonts w:ascii="Times New Roman" w:hAnsi="Times New Roman" w:cs="Times New Roman"/>
          <w:sz w:val="24"/>
          <w:szCs w:val="24"/>
        </w:rPr>
      </w:pPr>
    </w:p>
    <w:p w:rsidR="00873155" w:rsidRPr="004B0F2A" w:rsidRDefault="00873155" w:rsidP="00873155">
      <w:pPr>
        <w:spacing w:after="0" w:line="480" w:lineRule="auto"/>
        <w:rPr>
          <w:rFonts w:ascii="Times New Roman" w:hAnsi="Times New Roman" w:cs="Times New Roman"/>
          <w:sz w:val="32"/>
          <w:szCs w:val="32"/>
        </w:rPr>
      </w:pPr>
      <w:r>
        <w:rPr>
          <w:rFonts w:ascii="Times New Roman" w:hAnsi="Times New Roman" w:cs="Times New Roman"/>
          <w:sz w:val="32"/>
          <w:szCs w:val="32"/>
        </w:rPr>
        <w:t xml:space="preserve">5. Data </w:t>
      </w:r>
    </w:p>
    <w:p w:rsidR="001974A7" w:rsidRDefault="00503583" w:rsidP="0050358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build our database we consider the 700 largest firms </w:t>
      </w:r>
      <w:r w:rsidR="00D41360">
        <w:rPr>
          <w:rFonts w:ascii="Times New Roman" w:hAnsi="Times New Roman" w:cs="Times New Roman"/>
          <w:sz w:val="24"/>
          <w:szCs w:val="24"/>
        </w:rPr>
        <w:t xml:space="preserve">by </w:t>
      </w:r>
      <w:r w:rsidR="00D41360" w:rsidRPr="004B0F2A">
        <w:rPr>
          <w:rFonts w:ascii="Times New Roman" w:hAnsi="Times New Roman" w:cs="Times New Roman"/>
          <w:sz w:val="24"/>
          <w:szCs w:val="24"/>
        </w:rPr>
        <w:t xml:space="preserve">US market capitalization </w:t>
      </w:r>
      <w:r w:rsidR="00D41360">
        <w:rPr>
          <w:rFonts w:ascii="Times New Roman" w:hAnsi="Times New Roman" w:cs="Times New Roman"/>
          <w:sz w:val="24"/>
          <w:szCs w:val="24"/>
        </w:rPr>
        <w:t>as of December 31, 2009</w:t>
      </w:r>
      <w:r>
        <w:rPr>
          <w:rFonts w:ascii="Times New Roman" w:hAnsi="Times New Roman" w:cs="Times New Roman"/>
          <w:sz w:val="24"/>
          <w:szCs w:val="24"/>
        </w:rPr>
        <w:t>.</w:t>
      </w:r>
      <w:r w:rsidR="00D41360">
        <w:rPr>
          <w:rFonts w:ascii="Times New Roman" w:hAnsi="Times New Roman" w:cs="Times New Roman"/>
          <w:sz w:val="24"/>
          <w:szCs w:val="24"/>
        </w:rPr>
        <w:t xml:space="preserve"> </w:t>
      </w:r>
      <w:r>
        <w:rPr>
          <w:rFonts w:ascii="Times New Roman" w:hAnsi="Times New Roman" w:cs="Times New Roman"/>
          <w:sz w:val="24"/>
          <w:szCs w:val="24"/>
        </w:rPr>
        <w:t xml:space="preserve">Out of these firms, </w:t>
      </w:r>
      <w:r w:rsidR="00873155" w:rsidRPr="004B0F2A">
        <w:rPr>
          <w:rFonts w:ascii="Times New Roman" w:hAnsi="Times New Roman" w:cs="Times New Roman"/>
          <w:sz w:val="24"/>
          <w:szCs w:val="24"/>
        </w:rPr>
        <w:t xml:space="preserve">300 offer executive pensions (42%), while 290 (41%) </w:t>
      </w:r>
      <w:r w:rsidR="00D41360" w:rsidRPr="004B0F2A">
        <w:rPr>
          <w:rFonts w:ascii="Times New Roman" w:hAnsi="Times New Roman" w:cs="Times New Roman"/>
          <w:sz w:val="24"/>
          <w:szCs w:val="24"/>
        </w:rPr>
        <w:t>provide</w:t>
      </w:r>
      <w:r w:rsidR="00873155" w:rsidRPr="004B0F2A">
        <w:rPr>
          <w:rFonts w:ascii="Times New Roman" w:hAnsi="Times New Roman" w:cs="Times New Roman"/>
          <w:sz w:val="24"/>
          <w:szCs w:val="24"/>
        </w:rPr>
        <w:t xml:space="preserve"> </w:t>
      </w:r>
      <w:r w:rsidR="003974B4">
        <w:rPr>
          <w:rFonts w:ascii="Times New Roman" w:hAnsi="Times New Roman" w:cs="Times New Roman"/>
          <w:sz w:val="24"/>
          <w:szCs w:val="24"/>
        </w:rPr>
        <w:t xml:space="preserve">information that allows us to calculate pensions using the methodology </w:t>
      </w:r>
      <w:r w:rsidR="001A2C1A">
        <w:rPr>
          <w:rFonts w:ascii="Times New Roman" w:hAnsi="Times New Roman" w:cs="Times New Roman"/>
          <w:sz w:val="24"/>
          <w:szCs w:val="24"/>
        </w:rPr>
        <w:t>in section 4.1.</w:t>
      </w:r>
      <w:r w:rsidR="00873155" w:rsidRPr="004B0F2A">
        <w:rPr>
          <w:rFonts w:ascii="Times New Roman" w:hAnsi="Times New Roman" w:cs="Times New Roman"/>
          <w:sz w:val="24"/>
          <w:szCs w:val="24"/>
        </w:rPr>
        <w:t xml:space="preserve"> </w:t>
      </w:r>
      <w:r w:rsidR="00806D45">
        <w:rPr>
          <w:rFonts w:ascii="Times New Roman" w:hAnsi="Times New Roman" w:cs="Times New Roman"/>
          <w:sz w:val="24"/>
          <w:szCs w:val="24"/>
        </w:rPr>
        <w:t xml:space="preserve">The sample size is slightly reduced when merging with </w:t>
      </w:r>
      <w:r w:rsidR="00854930">
        <w:rPr>
          <w:rFonts w:ascii="Times New Roman" w:hAnsi="Times New Roman" w:cs="Times New Roman"/>
          <w:sz w:val="24"/>
          <w:szCs w:val="24"/>
        </w:rPr>
        <w:t xml:space="preserve">data from CRSP and </w:t>
      </w:r>
      <w:proofErr w:type="spellStart"/>
      <w:r w:rsidR="00854930">
        <w:rPr>
          <w:rFonts w:ascii="Times New Roman" w:hAnsi="Times New Roman" w:cs="Times New Roman"/>
          <w:sz w:val="24"/>
          <w:szCs w:val="24"/>
        </w:rPr>
        <w:t>Compustat</w:t>
      </w:r>
      <w:proofErr w:type="spellEnd"/>
      <w:r w:rsidR="00854930">
        <w:rPr>
          <w:rFonts w:ascii="Times New Roman" w:hAnsi="Times New Roman" w:cs="Times New Roman"/>
          <w:sz w:val="24"/>
          <w:szCs w:val="24"/>
        </w:rPr>
        <w:t xml:space="preserve">. </w:t>
      </w:r>
      <w:r w:rsidR="00873155" w:rsidRPr="004B0F2A">
        <w:rPr>
          <w:rFonts w:ascii="Times New Roman" w:hAnsi="Times New Roman" w:cs="Times New Roman"/>
          <w:sz w:val="24"/>
          <w:szCs w:val="24"/>
        </w:rPr>
        <w:t>The resulting dataset include</w:t>
      </w:r>
      <w:r w:rsidR="001974A7">
        <w:rPr>
          <w:rFonts w:ascii="Times New Roman" w:hAnsi="Times New Roman" w:cs="Times New Roman"/>
          <w:sz w:val="24"/>
          <w:szCs w:val="24"/>
        </w:rPr>
        <w:t>s</w:t>
      </w:r>
      <w:r w:rsidR="00873155" w:rsidRPr="004B0F2A">
        <w:rPr>
          <w:rFonts w:ascii="Times New Roman" w:hAnsi="Times New Roman" w:cs="Times New Roman"/>
          <w:sz w:val="24"/>
          <w:szCs w:val="24"/>
        </w:rPr>
        <w:t xml:space="preserve"> 272 firms and 8,955 executive-year data points, consisting of 2,114 CEO-years (23.6%) and 6,851 Non-CEO executive-years (76.4%) over the period 2000-2009. </w:t>
      </w:r>
    </w:p>
    <w:p w:rsidR="009744C4" w:rsidRDefault="00873155" w:rsidP="00AF2406">
      <w:pPr>
        <w:spacing w:before="240" w:after="0" w:line="480" w:lineRule="auto"/>
        <w:ind w:firstLine="360"/>
        <w:jc w:val="both"/>
        <w:rPr>
          <w:rFonts w:ascii="Times New Roman" w:hAnsi="Times New Roman" w:cs="Times New Roman"/>
          <w:sz w:val="24"/>
          <w:szCs w:val="24"/>
        </w:rPr>
      </w:pPr>
      <w:r w:rsidRPr="004B0F2A">
        <w:rPr>
          <w:rFonts w:ascii="Times New Roman" w:hAnsi="Times New Roman" w:cs="Times New Roman"/>
          <w:sz w:val="24"/>
          <w:szCs w:val="24"/>
        </w:rPr>
        <w:t xml:space="preserve"> Table </w:t>
      </w:r>
      <w:r>
        <w:rPr>
          <w:rFonts w:ascii="Times New Roman" w:hAnsi="Times New Roman" w:cs="Times New Roman"/>
          <w:sz w:val="24"/>
          <w:szCs w:val="24"/>
        </w:rPr>
        <w:t xml:space="preserve">1 </w:t>
      </w:r>
      <w:r w:rsidRPr="004B0F2A">
        <w:rPr>
          <w:rFonts w:ascii="Times New Roman" w:hAnsi="Times New Roman" w:cs="Times New Roman"/>
          <w:sz w:val="24"/>
          <w:szCs w:val="24"/>
        </w:rPr>
        <w:t xml:space="preserve">provides </w:t>
      </w:r>
      <w:r w:rsidR="00854930">
        <w:rPr>
          <w:rFonts w:ascii="Times New Roman" w:hAnsi="Times New Roman" w:cs="Times New Roman"/>
          <w:sz w:val="24"/>
          <w:szCs w:val="24"/>
        </w:rPr>
        <w:t>descriptive statistics of the main variables.</w:t>
      </w:r>
      <w:r w:rsidR="00F331F3">
        <w:rPr>
          <w:rFonts w:ascii="Times New Roman" w:hAnsi="Times New Roman" w:cs="Times New Roman"/>
          <w:sz w:val="24"/>
          <w:szCs w:val="24"/>
        </w:rPr>
        <w:t xml:space="preserve"> </w:t>
      </w:r>
      <w:r w:rsidRPr="004B0F2A">
        <w:rPr>
          <w:rFonts w:ascii="Times New Roman" w:hAnsi="Times New Roman" w:cs="Times New Roman"/>
          <w:sz w:val="24"/>
          <w:szCs w:val="24"/>
        </w:rPr>
        <w:t xml:space="preserve">The average actuarial pension value across </w:t>
      </w:r>
      <w:r w:rsidR="00225C0C">
        <w:rPr>
          <w:rFonts w:ascii="Times New Roman" w:hAnsi="Times New Roman" w:cs="Times New Roman"/>
          <w:sz w:val="24"/>
          <w:szCs w:val="24"/>
        </w:rPr>
        <w:t>all</w:t>
      </w:r>
      <w:r w:rsidRPr="004B0F2A">
        <w:rPr>
          <w:rFonts w:ascii="Times New Roman" w:hAnsi="Times New Roman" w:cs="Times New Roman"/>
          <w:sz w:val="24"/>
          <w:szCs w:val="24"/>
        </w:rPr>
        <w:t xml:space="preserve"> executive firm-years </w:t>
      </w:r>
      <w:r w:rsidR="00AD55DC">
        <w:rPr>
          <w:rFonts w:ascii="Times New Roman" w:hAnsi="Times New Roman" w:cs="Times New Roman"/>
          <w:sz w:val="24"/>
          <w:szCs w:val="24"/>
        </w:rPr>
        <w:t>is</w:t>
      </w:r>
      <w:r w:rsidRPr="004B0F2A">
        <w:rPr>
          <w:rFonts w:ascii="Times New Roman" w:hAnsi="Times New Roman" w:cs="Times New Roman"/>
          <w:sz w:val="24"/>
          <w:szCs w:val="24"/>
        </w:rPr>
        <w:t xml:space="preserve"> $3.712 million, equating to roughly 28% of total executive annual compensation in any given period. </w:t>
      </w:r>
      <w:r w:rsidR="00AD55DC" w:rsidRPr="00AD55DC">
        <w:rPr>
          <w:rFonts w:ascii="Times New Roman" w:hAnsi="Times New Roman" w:cs="Times New Roman"/>
          <w:sz w:val="24"/>
          <w:szCs w:val="24"/>
        </w:rPr>
        <w:t>The mean compensation leverage</w:t>
      </w:r>
      <w:r w:rsidR="00AD55DC">
        <w:rPr>
          <w:rFonts w:ascii="Times New Roman" w:hAnsi="Times New Roman" w:cs="Times New Roman"/>
          <w:sz w:val="24"/>
          <w:szCs w:val="24"/>
        </w:rPr>
        <w:t xml:space="preserve"> </w:t>
      </w:r>
      <w:r w:rsidR="00AD55DC" w:rsidRPr="00AD55DC">
        <w:rPr>
          <w:rFonts w:ascii="Times New Roman" w:hAnsi="Times New Roman" w:cs="Times New Roman"/>
          <w:sz w:val="24"/>
          <w:szCs w:val="24"/>
        </w:rPr>
        <w:t xml:space="preserve">is </w:t>
      </w:r>
      <w:r w:rsidR="00AD55DC">
        <w:rPr>
          <w:rFonts w:ascii="Times New Roman" w:hAnsi="Times New Roman" w:cs="Times New Roman"/>
          <w:sz w:val="24"/>
          <w:szCs w:val="24"/>
        </w:rPr>
        <w:t xml:space="preserve">0.18 at the CEO level and </w:t>
      </w:r>
      <w:r w:rsidR="00AD55DC" w:rsidRPr="00AD55DC">
        <w:rPr>
          <w:rFonts w:ascii="Times New Roman" w:hAnsi="Times New Roman" w:cs="Times New Roman"/>
          <w:sz w:val="24"/>
          <w:szCs w:val="24"/>
        </w:rPr>
        <w:t xml:space="preserve">0.21 </w:t>
      </w:r>
      <w:r w:rsidR="00AD55DC">
        <w:rPr>
          <w:rFonts w:ascii="Times New Roman" w:hAnsi="Times New Roman" w:cs="Times New Roman"/>
          <w:sz w:val="24"/>
          <w:szCs w:val="24"/>
        </w:rPr>
        <w:t>for all top executive</w:t>
      </w:r>
      <w:r w:rsidR="00576A39">
        <w:rPr>
          <w:rFonts w:ascii="Times New Roman" w:hAnsi="Times New Roman" w:cs="Times New Roman"/>
          <w:sz w:val="24"/>
          <w:szCs w:val="24"/>
        </w:rPr>
        <w:t>s</w:t>
      </w:r>
      <w:r w:rsidR="00AD55DC">
        <w:rPr>
          <w:rFonts w:ascii="Times New Roman" w:hAnsi="Times New Roman" w:cs="Times New Roman"/>
          <w:sz w:val="24"/>
          <w:szCs w:val="24"/>
        </w:rPr>
        <w:t xml:space="preserve">. </w:t>
      </w:r>
      <w:r w:rsidR="00AD55DC" w:rsidRPr="00AD55DC">
        <w:rPr>
          <w:rFonts w:ascii="Times New Roman" w:hAnsi="Times New Roman" w:cs="Times New Roman"/>
          <w:sz w:val="24"/>
          <w:szCs w:val="24"/>
        </w:rPr>
        <w:t>These</w:t>
      </w:r>
      <w:r w:rsidR="00AD55DC">
        <w:rPr>
          <w:rFonts w:ascii="Times New Roman" w:hAnsi="Times New Roman" w:cs="Times New Roman"/>
          <w:sz w:val="24"/>
          <w:szCs w:val="24"/>
        </w:rPr>
        <w:t xml:space="preserve"> </w:t>
      </w:r>
      <w:r w:rsidR="00AD55DC" w:rsidRPr="00AD55DC">
        <w:rPr>
          <w:rFonts w:ascii="Times New Roman" w:hAnsi="Times New Roman" w:cs="Times New Roman"/>
          <w:sz w:val="24"/>
          <w:szCs w:val="24"/>
        </w:rPr>
        <w:t xml:space="preserve">ratios are slightly higher than the estimates reported in </w:t>
      </w:r>
      <w:proofErr w:type="spellStart"/>
      <w:r w:rsidR="00AD55DC" w:rsidRPr="00AD55DC">
        <w:rPr>
          <w:rFonts w:ascii="Times New Roman" w:hAnsi="Times New Roman" w:cs="Times New Roman"/>
          <w:sz w:val="24"/>
          <w:szCs w:val="24"/>
        </w:rPr>
        <w:t>Sundaram</w:t>
      </w:r>
      <w:proofErr w:type="spellEnd"/>
      <w:r w:rsidR="00AD55DC">
        <w:rPr>
          <w:rFonts w:ascii="Times New Roman" w:hAnsi="Times New Roman" w:cs="Times New Roman"/>
          <w:sz w:val="24"/>
          <w:szCs w:val="24"/>
        </w:rPr>
        <w:t xml:space="preserve"> </w:t>
      </w:r>
      <w:r w:rsidR="00AD55DC" w:rsidRPr="00AD55DC">
        <w:rPr>
          <w:rFonts w:ascii="Times New Roman" w:hAnsi="Times New Roman" w:cs="Times New Roman"/>
          <w:sz w:val="24"/>
          <w:szCs w:val="24"/>
        </w:rPr>
        <w:t xml:space="preserve">and </w:t>
      </w:r>
      <w:proofErr w:type="spellStart"/>
      <w:r w:rsidR="00AD55DC" w:rsidRPr="00AD55DC">
        <w:rPr>
          <w:rFonts w:ascii="Times New Roman" w:hAnsi="Times New Roman" w:cs="Times New Roman"/>
          <w:sz w:val="24"/>
          <w:szCs w:val="24"/>
        </w:rPr>
        <w:t>Yermack</w:t>
      </w:r>
      <w:proofErr w:type="spellEnd"/>
      <w:r w:rsidR="00AD55DC" w:rsidRPr="00AD55DC">
        <w:rPr>
          <w:rFonts w:ascii="Times New Roman" w:hAnsi="Times New Roman" w:cs="Times New Roman"/>
          <w:sz w:val="24"/>
          <w:szCs w:val="24"/>
        </w:rPr>
        <w:t xml:space="preserve"> (2007)</w:t>
      </w:r>
      <w:r w:rsidR="00AD55DC">
        <w:rPr>
          <w:rFonts w:ascii="Times New Roman" w:hAnsi="Times New Roman" w:cs="Times New Roman"/>
          <w:sz w:val="24"/>
          <w:szCs w:val="24"/>
        </w:rPr>
        <w:t>.</w:t>
      </w:r>
      <w:r w:rsidRPr="004B0F2A">
        <w:rPr>
          <w:rFonts w:ascii="Times New Roman" w:hAnsi="Times New Roman" w:cs="Times New Roman"/>
          <w:sz w:val="24"/>
          <w:szCs w:val="24"/>
        </w:rPr>
        <w:t xml:space="preserve"> Th</w:t>
      </w:r>
      <w:r w:rsidR="00AD55DC">
        <w:rPr>
          <w:rFonts w:ascii="Times New Roman" w:hAnsi="Times New Roman" w:cs="Times New Roman"/>
          <w:sz w:val="24"/>
          <w:szCs w:val="24"/>
        </w:rPr>
        <w:t>is</w:t>
      </w:r>
      <w:r w:rsidR="00576A39">
        <w:rPr>
          <w:rFonts w:ascii="Times New Roman" w:hAnsi="Times New Roman" w:cs="Times New Roman"/>
          <w:sz w:val="24"/>
          <w:szCs w:val="24"/>
        </w:rPr>
        <w:t xml:space="preserve"> small difference</w:t>
      </w:r>
      <w:r w:rsidR="00AD55DC">
        <w:rPr>
          <w:rFonts w:ascii="Times New Roman" w:hAnsi="Times New Roman" w:cs="Times New Roman"/>
          <w:sz w:val="24"/>
          <w:szCs w:val="24"/>
        </w:rPr>
        <w:t xml:space="preserve"> might reflect the</w:t>
      </w:r>
      <w:r w:rsidRPr="004B0F2A">
        <w:rPr>
          <w:rFonts w:ascii="Times New Roman" w:hAnsi="Times New Roman" w:cs="Times New Roman"/>
          <w:sz w:val="24"/>
          <w:szCs w:val="24"/>
        </w:rPr>
        <w:t xml:space="preserve"> substantial increase in compensation leverage </w:t>
      </w:r>
      <w:r w:rsidR="00AD55DC">
        <w:rPr>
          <w:rFonts w:ascii="Times New Roman" w:hAnsi="Times New Roman" w:cs="Times New Roman"/>
          <w:sz w:val="24"/>
          <w:szCs w:val="24"/>
        </w:rPr>
        <w:t xml:space="preserve">ratios </w:t>
      </w:r>
      <w:r w:rsidRPr="004B0F2A">
        <w:rPr>
          <w:rFonts w:ascii="Times New Roman" w:hAnsi="Times New Roman" w:cs="Times New Roman"/>
          <w:sz w:val="24"/>
          <w:szCs w:val="24"/>
        </w:rPr>
        <w:t>d</w:t>
      </w:r>
      <w:r w:rsidR="00AD55DC">
        <w:rPr>
          <w:rFonts w:ascii="Times New Roman" w:hAnsi="Times New Roman" w:cs="Times New Roman"/>
          <w:sz w:val="24"/>
          <w:szCs w:val="24"/>
        </w:rPr>
        <w:t>uring the 2008 financial crisis;</w:t>
      </w:r>
      <w:r w:rsidRPr="004B0F2A">
        <w:rPr>
          <w:rFonts w:ascii="Times New Roman" w:hAnsi="Times New Roman" w:cs="Times New Roman"/>
          <w:sz w:val="24"/>
          <w:szCs w:val="24"/>
        </w:rPr>
        <w:t xml:space="preserve"> leverage </w:t>
      </w:r>
      <w:r w:rsidR="00AD55DC">
        <w:rPr>
          <w:rFonts w:ascii="Times New Roman" w:hAnsi="Times New Roman" w:cs="Times New Roman"/>
          <w:sz w:val="24"/>
          <w:szCs w:val="24"/>
        </w:rPr>
        <w:t>ratios</w:t>
      </w:r>
      <w:r w:rsidRPr="004B0F2A">
        <w:rPr>
          <w:rFonts w:ascii="Times New Roman" w:hAnsi="Times New Roman" w:cs="Times New Roman"/>
          <w:sz w:val="24"/>
          <w:szCs w:val="24"/>
        </w:rPr>
        <w:t xml:space="preserve"> </w:t>
      </w:r>
      <w:r w:rsidR="00AD55DC">
        <w:rPr>
          <w:rFonts w:ascii="Times New Roman" w:hAnsi="Times New Roman" w:cs="Times New Roman"/>
          <w:sz w:val="24"/>
          <w:szCs w:val="24"/>
        </w:rPr>
        <w:t xml:space="preserve">have doubled </w:t>
      </w:r>
      <w:r w:rsidR="00D72129">
        <w:rPr>
          <w:rFonts w:ascii="Times New Roman" w:hAnsi="Times New Roman" w:cs="Times New Roman"/>
          <w:sz w:val="24"/>
          <w:szCs w:val="24"/>
        </w:rPr>
        <w:t xml:space="preserve">on average </w:t>
      </w:r>
      <w:r w:rsidR="00AD55DC">
        <w:rPr>
          <w:rFonts w:ascii="Times New Roman" w:hAnsi="Times New Roman" w:cs="Times New Roman"/>
          <w:sz w:val="24"/>
          <w:szCs w:val="24"/>
        </w:rPr>
        <w:t xml:space="preserve">as a result of the decline in the </w:t>
      </w:r>
      <w:r w:rsidR="00D72129">
        <w:rPr>
          <w:rFonts w:ascii="Times New Roman" w:hAnsi="Times New Roman" w:cs="Times New Roman"/>
          <w:sz w:val="24"/>
          <w:szCs w:val="24"/>
        </w:rPr>
        <w:t xml:space="preserve">values of executive </w:t>
      </w:r>
      <w:r w:rsidR="00225C0C">
        <w:rPr>
          <w:rFonts w:ascii="Times New Roman" w:hAnsi="Times New Roman" w:cs="Times New Roman"/>
          <w:sz w:val="24"/>
          <w:szCs w:val="24"/>
        </w:rPr>
        <w:t>stocks and stock-</w:t>
      </w:r>
      <w:r w:rsidR="00AD55DC">
        <w:rPr>
          <w:rFonts w:ascii="Times New Roman" w:hAnsi="Times New Roman" w:cs="Times New Roman"/>
          <w:sz w:val="24"/>
          <w:szCs w:val="24"/>
        </w:rPr>
        <w:t xml:space="preserve">options. </w:t>
      </w:r>
      <w:r w:rsidR="009744C4">
        <w:rPr>
          <w:rFonts w:ascii="Times New Roman" w:hAnsi="Times New Roman" w:cs="Times New Roman"/>
          <w:sz w:val="24"/>
          <w:szCs w:val="24"/>
        </w:rPr>
        <w:t>The mean dividend yield and dividend payout ratios of 0.022 and 0.329, respectively, are comparable to the values reported in prior studies.</w:t>
      </w:r>
    </w:p>
    <w:p w:rsidR="0047798D" w:rsidRDefault="00F331F3" w:rsidP="0047798D">
      <w:pPr>
        <w:spacing w:before="240"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2 shows the </w:t>
      </w:r>
      <w:r w:rsidR="001E7CFA">
        <w:rPr>
          <w:rFonts w:ascii="Times New Roman" w:hAnsi="Times New Roman" w:cs="Times New Roman"/>
          <w:sz w:val="24"/>
          <w:szCs w:val="24"/>
        </w:rPr>
        <w:t xml:space="preserve">dividend and </w:t>
      </w:r>
      <w:r>
        <w:rPr>
          <w:rFonts w:ascii="Times New Roman" w:hAnsi="Times New Roman" w:cs="Times New Roman"/>
          <w:sz w:val="24"/>
          <w:szCs w:val="24"/>
        </w:rPr>
        <w:t>pension variables for the 10 individual 2-digit SIC industries in our sample.</w:t>
      </w:r>
      <w:r w:rsidR="00873155" w:rsidRPr="004B0F2A">
        <w:rPr>
          <w:rFonts w:ascii="Times New Roman" w:hAnsi="Times New Roman" w:cs="Times New Roman"/>
          <w:sz w:val="24"/>
          <w:szCs w:val="24"/>
        </w:rPr>
        <w:t xml:space="preserve"> Manufacturing firms dominated the overall sample with 130 (48%) </w:t>
      </w:r>
      <w:r w:rsidR="0047798D">
        <w:rPr>
          <w:rFonts w:ascii="Times New Roman" w:hAnsi="Times New Roman" w:cs="Times New Roman"/>
          <w:sz w:val="24"/>
          <w:szCs w:val="24"/>
        </w:rPr>
        <w:t>firms, followed by</w:t>
      </w:r>
      <w:r w:rsidR="00873155" w:rsidRPr="004B0F2A">
        <w:rPr>
          <w:rFonts w:ascii="Times New Roman" w:hAnsi="Times New Roman" w:cs="Times New Roman"/>
          <w:sz w:val="24"/>
          <w:szCs w:val="24"/>
        </w:rPr>
        <w:t xml:space="preserve"> 47 firms (17.3%) in the Financial Sector, 46 (16.9%) in the Utility sector, and 15 (5.5%) in the Mining sector. </w:t>
      </w:r>
      <w:r w:rsidR="0047798D">
        <w:rPr>
          <w:rFonts w:ascii="Times New Roman" w:hAnsi="Times New Roman" w:cs="Times New Roman"/>
          <w:sz w:val="24"/>
          <w:szCs w:val="24"/>
        </w:rPr>
        <w:t>As expected, there is significant variation in the dividend policy across industries; for example, the mean dividend payout ratio var</w:t>
      </w:r>
      <w:r w:rsidR="00BB7E16">
        <w:rPr>
          <w:rFonts w:ascii="Times New Roman" w:hAnsi="Times New Roman" w:cs="Times New Roman"/>
          <w:sz w:val="24"/>
          <w:szCs w:val="24"/>
        </w:rPr>
        <w:t>ies</w:t>
      </w:r>
      <w:r w:rsidR="0047798D">
        <w:rPr>
          <w:rFonts w:ascii="Times New Roman" w:hAnsi="Times New Roman" w:cs="Times New Roman"/>
          <w:sz w:val="24"/>
          <w:szCs w:val="24"/>
        </w:rPr>
        <w:t xml:space="preserve"> from </w:t>
      </w:r>
      <w:r w:rsidR="00E67DA1">
        <w:rPr>
          <w:rFonts w:ascii="Times New Roman" w:hAnsi="Times New Roman" w:cs="Times New Roman"/>
          <w:sz w:val="24"/>
          <w:szCs w:val="24"/>
        </w:rPr>
        <w:t>0.1</w:t>
      </w:r>
      <w:r w:rsidR="0047798D" w:rsidRPr="0047798D">
        <w:rPr>
          <w:rFonts w:ascii="Times New Roman" w:hAnsi="Times New Roman" w:cs="Times New Roman"/>
          <w:sz w:val="24"/>
          <w:szCs w:val="24"/>
        </w:rPr>
        <w:t>3 (Construction) to 0.74 (Agriculture, Forestry, &amp; Fishing)</w:t>
      </w:r>
      <w:r w:rsidR="0047798D">
        <w:rPr>
          <w:rFonts w:ascii="Times New Roman" w:hAnsi="Times New Roman" w:cs="Times New Roman"/>
          <w:sz w:val="24"/>
          <w:szCs w:val="24"/>
        </w:rPr>
        <w:t xml:space="preserve">. Similarly, the pension-based measures also vary considerably across industries; for example, the compensation leverage at the CEO level is 0.06 in the </w:t>
      </w:r>
      <w:r w:rsidR="0047798D" w:rsidRPr="0047798D">
        <w:rPr>
          <w:rFonts w:ascii="Times New Roman" w:hAnsi="Times New Roman" w:cs="Times New Roman"/>
          <w:sz w:val="24"/>
          <w:szCs w:val="24"/>
        </w:rPr>
        <w:t>Agriculture, Forestry, &amp; Fishing</w:t>
      </w:r>
      <w:r w:rsidR="00BB7E16">
        <w:rPr>
          <w:rFonts w:ascii="Times New Roman" w:hAnsi="Times New Roman" w:cs="Times New Roman"/>
          <w:sz w:val="24"/>
          <w:szCs w:val="24"/>
        </w:rPr>
        <w:t xml:space="preserve"> sector</w:t>
      </w:r>
      <w:r w:rsidR="0047798D">
        <w:rPr>
          <w:rFonts w:ascii="Times New Roman" w:hAnsi="Times New Roman" w:cs="Times New Roman"/>
          <w:sz w:val="24"/>
          <w:szCs w:val="24"/>
        </w:rPr>
        <w:t xml:space="preserve"> and 0.248 in the </w:t>
      </w:r>
      <w:r w:rsidR="001E7CFA" w:rsidRPr="001E7CFA">
        <w:rPr>
          <w:rFonts w:ascii="Times New Roman" w:hAnsi="Times New Roman" w:cs="Times New Roman"/>
          <w:sz w:val="24"/>
          <w:szCs w:val="24"/>
        </w:rPr>
        <w:t>Transportation &amp; Public Utilities</w:t>
      </w:r>
      <w:r w:rsidR="001E7CFA">
        <w:rPr>
          <w:rFonts w:ascii="Times New Roman" w:hAnsi="Times New Roman" w:cs="Times New Roman"/>
          <w:sz w:val="24"/>
          <w:szCs w:val="24"/>
        </w:rPr>
        <w:t xml:space="preserve"> sect</w:t>
      </w:r>
      <w:r w:rsidR="00BB7E16">
        <w:rPr>
          <w:rFonts w:ascii="Times New Roman" w:hAnsi="Times New Roman" w:cs="Times New Roman"/>
          <w:sz w:val="24"/>
          <w:szCs w:val="24"/>
        </w:rPr>
        <w:t>or</w:t>
      </w:r>
      <w:r w:rsidR="001E7CFA">
        <w:rPr>
          <w:rFonts w:ascii="Times New Roman" w:hAnsi="Times New Roman" w:cs="Times New Roman"/>
          <w:sz w:val="24"/>
          <w:szCs w:val="24"/>
        </w:rPr>
        <w:t xml:space="preserve">. These differences provides a </w:t>
      </w:r>
      <w:r w:rsidR="001E7CFA" w:rsidRPr="004B0F2A">
        <w:rPr>
          <w:rFonts w:ascii="Times New Roman" w:hAnsi="Times New Roman" w:cs="Times New Roman"/>
          <w:sz w:val="24"/>
          <w:szCs w:val="24"/>
        </w:rPr>
        <w:t xml:space="preserve">satisfactory basis for </w:t>
      </w:r>
      <w:r w:rsidR="001E7CFA">
        <w:rPr>
          <w:rFonts w:ascii="Times New Roman" w:hAnsi="Times New Roman" w:cs="Times New Roman"/>
          <w:sz w:val="24"/>
          <w:szCs w:val="24"/>
        </w:rPr>
        <w:t xml:space="preserve">the use of industry-adjustment values of the dividend and pension variables in </w:t>
      </w:r>
      <w:r w:rsidR="00BB7E16">
        <w:rPr>
          <w:rFonts w:ascii="Times New Roman" w:hAnsi="Times New Roman" w:cs="Times New Roman"/>
          <w:sz w:val="24"/>
          <w:szCs w:val="24"/>
        </w:rPr>
        <w:t>the empirical tests</w:t>
      </w:r>
      <w:r w:rsidR="001E7CFA">
        <w:rPr>
          <w:rFonts w:ascii="Times New Roman" w:hAnsi="Times New Roman" w:cs="Times New Roman"/>
          <w:sz w:val="24"/>
          <w:szCs w:val="24"/>
        </w:rPr>
        <w:t xml:space="preserve">. </w:t>
      </w:r>
    </w:p>
    <w:p w:rsidR="00873155" w:rsidRPr="004B0F2A" w:rsidRDefault="00873155" w:rsidP="00873155">
      <w:pPr>
        <w:spacing w:after="0" w:line="480" w:lineRule="auto"/>
        <w:ind w:firstLine="720"/>
        <w:rPr>
          <w:rFonts w:ascii="Times New Roman" w:hAnsi="Times New Roman" w:cs="Times New Roman"/>
          <w:sz w:val="24"/>
          <w:szCs w:val="24"/>
        </w:rPr>
      </w:pPr>
    </w:p>
    <w:p w:rsidR="00873155" w:rsidRPr="00FE354F" w:rsidRDefault="00873155" w:rsidP="00EE20C8">
      <w:pPr>
        <w:spacing w:after="0" w:line="480" w:lineRule="auto"/>
        <w:ind w:left="360" w:hanging="360"/>
        <w:jc w:val="both"/>
        <w:rPr>
          <w:sz w:val="32"/>
          <w:szCs w:val="32"/>
        </w:rPr>
      </w:pPr>
      <w:r>
        <w:rPr>
          <w:sz w:val="32"/>
          <w:szCs w:val="32"/>
        </w:rPr>
        <w:t xml:space="preserve">6. Empirical </w:t>
      </w:r>
      <w:r w:rsidR="00456D25">
        <w:rPr>
          <w:sz w:val="32"/>
          <w:szCs w:val="32"/>
        </w:rPr>
        <w:t>Test</w:t>
      </w:r>
      <w:r w:rsidR="00F1654B">
        <w:rPr>
          <w:sz w:val="32"/>
          <w:szCs w:val="32"/>
        </w:rPr>
        <w:t xml:space="preserve"> Result</w:t>
      </w:r>
      <w:r w:rsidR="00456D25">
        <w:rPr>
          <w:sz w:val="32"/>
          <w:szCs w:val="32"/>
        </w:rPr>
        <w:t>s</w:t>
      </w:r>
    </w:p>
    <w:p w:rsidR="00873155" w:rsidRDefault="00873155" w:rsidP="00633CE5">
      <w:pPr>
        <w:tabs>
          <w:tab w:val="left" w:pos="360"/>
          <w:tab w:val="left" w:pos="450"/>
          <w:tab w:val="left" w:pos="540"/>
        </w:tabs>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t>6</w:t>
      </w:r>
      <w:r w:rsidRPr="0074704D">
        <w:rPr>
          <w:rFonts w:ascii="Times New Roman" w:hAnsi="Times New Roman" w:cs="Times New Roman"/>
          <w:bCs/>
          <w:i/>
          <w:sz w:val="24"/>
          <w:szCs w:val="24"/>
        </w:rPr>
        <w:t>.</w:t>
      </w:r>
      <w:r>
        <w:rPr>
          <w:rFonts w:ascii="Times New Roman" w:hAnsi="Times New Roman" w:cs="Times New Roman"/>
          <w:bCs/>
          <w:i/>
          <w:sz w:val="24"/>
          <w:szCs w:val="24"/>
        </w:rPr>
        <w:t>1</w:t>
      </w:r>
      <w:r>
        <w:rPr>
          <w:rFonts w:ascii="Times New Roman" w:hAnsi="Times New Roman" w:cs="Times New Roman"/>
          <w:bCs/>
          <w:i/>
          <w:sz w:val="24"/>
          <w:szCs w:val="24"/>
        </w:rPr>
        <w:tab/>
      </w:r>
      <w:r>
        <w:rPr>
          <w:rFonts w:ascii="Times New Roman" w:hAnsi="Times New Roman" w:cs="Times New Roman"/>
          <w:bCs/>
          <w:i/>
          <w:sz w:val="24"/>
          <w:szCs w:val="24"/>
        </w:rPr>
        <w:tab/>
        <w:t>Hypothesi</w:t>
      </w:r>
      <w:r w:rsidR="00485A07">
        <w:rPr>
          <w:rFonts w:ascii="Times New Roman" w:hAnsi="Times New Roman" w:cs="Times New Roman"/>
          <w:bCs/>
          <w:i/>
          <w:sz w:val="24"/>
          <w:szCs w:val="24"/>
        </w:rPr>
        <w:t>s 1</w:t>
      </w:r>
    </w:p>
    <w:p w:rsidR="00756D47" w:rsidRDefault="00485A07" w:rsidP="00633CE5">
      <w:pPr>
        <w:tabs>
          <w:tab w:val="left" w:pos="360"/>
          <w:tab w:val="left" w:pos="450"/>
          <w:tab w:val="left" w:pos="540"/>
        </w:tabs>
        <w:spacing w:before="120" w:after="0" w:line="480" w:lineRule="auto"/>
        <w:jc w:val="both"/>
        <w:rPr>
          <w:rFonts w:ascii="Times New Roman" w:hAnsi="Times New Roman" w:cs="Times New Roman"/>
          <w:sz w:val="24"/>
          <w:szCs w:val="24"/>
        </w:rPr>
      </w:pPr>
      <w:r>
        <w:rPr>
          <w:rFonts w:ascii="Times New Roman" w:hAnsi="Times New Roman" w:cs="Times New Roman"/>
          <w:bCs/>
          <w:sz w:val="24"/>
          <w:szCs w:val="24"/>
        </w:rPr>
        <w:t>We begin our analysis by regressing a firm's dividend yield on the extent of pension</w:t>
      </w:r>
      <w:r w:rsidR="00F1654B">
        <w:rPr>
          <w:rFonts w:ascii="Times New Roman" w:hAnsi="Times New Roman" w:cs="Times New Roman"/>
          <w:bCs/>
          <w:sz w:val="24"/>
          <w:szCs w:val="24"/>
        </w:rPr>
        <w:t>s</w:t>
      </w:r>
      <w:r>
        <w:rPr>
          <w:rFonts w:ascii="Times New Roman" w:hAnsi="Times New Roman" w:cs="Times New Roman"/>
          <w:bCs/>
          <w:sz w:val="24"/>
          <w:szCs w:val="24"/>
        </w:rPr>
        <w:t xml:space="preserve">, as measured by compensation leverage and inside debt </w:t>
      </w:r>
      <w:r w:rsidR="00BB7E16">
        <w:rPr>
          <w:rFonts w:ascii="Times New Roman" w:hAnsi="Times New Roman" w:cs="Times New Roman"/>
          <w:bCs/>
          <w:sz w:val="24"/>
          <w:szCs w:val="24"/>
        </w:rPr>
        <w:t>of</w:t>
      </w:r>
      <w:r>
        <w:rPr>
          <w:rFonts w:ascii="Times New Roman" w:hAnsi="Times New Roman" w:cs="Times New Roman"/>
          <w:bCs/>
          <w:sz w:val="24"/>
          <w:szCs w:val="24"/>
        </w:rPr>
        <w:t xml:space="preserve"> </w:t>
      </w:r>
      <w:r w:rsidR="00976338">
        <w:rPr>
          <w:rFonts w:ascii="Times New Roman" w:hAnsi="Times New Roman" w:cs="Times New Roman"/>
          <w:bCs/>
          <w:sz w:val="24"/>
          <w:szCs w:val="24"/>
        </w:rPr>
        <w:t>the</w:t>
      </w:r>
      <w:r>
        <w:rPr>
          <w:rFonts w:ascii="Times New Roman" w:hAnsi="Times New Roman" w:cs="Times New Roman"/>
          <w:bCs/>
          <w:sz w:val="24"/>
          <w:szCs w:val="24"/>
        </w:rPr>
        <w:t xml:space="preserve"> CEO </w:t>
      </w:r>
      <w:r w:rsidR="00976338">
        <w:rPr>
          <w:rFonts w:ascii="Times New Roman" w:hAnsi="Times New Roman" w:cs="Times New Roman"/>
          <w:bCs/>
          <w:sz w:val="24"/>
          <w:szCs w:val="24"/>
        </w:rPr>
        <w:t>only and for all top executives</w:t>
      </w:r>
      <w:r>
        <w:rPr>
          <w:rFonts w:ascii="Times New Roman" w:hAnsi="Times New Roman" w:cs="Times New Roman"/>
          <w:bCs/>
          <w:sz w:val="24"/>
          <w:szCs w:val="24"/>
        </w:rPr>
        <w:t xml:space="preserve">. All dividend and pension measures are adjusted to industry averages. </w:t>
      </w:r>
      <w:r w:rsidR="00224A6C" w:rsidRPr="00DF1D5A">
        <w:rPr>
          <w:rFonts w:ascii="Times New Roman" w:hAnsi="Times New Roman" w:cs="Times New Roman"/>
          <w:sz w:val="24"/>
          <w:szCs w:val="24"/>
        </w:rPr>
        <w:t xml:space="preserve">We </w:t>
      </w:r>
      <w:r w:rsidR="00224A6C">
        <w:rPr>
          <w:rFonts w:ascii="Times New Roman" w:hAnsi="Times New Roman" w:cs="Times New Roman"/>
          <w:sz w:val="24"/>
          <w:szCs w:val="24"/>
        </w:rPr>
        <w:t>control</w:t>
      </w:r>
      <w:r w:rsidR="00224A6C" w:rsidRPr="00DF1D5A">
        <w:rPr>
          <w:rFonts w:ascii="Times New Roman" w:hAnsi="Times New Roman" w:cs="Times New Roman"/>
          <w:sz w:val="24"/>
          <w:szCs w:val="24"/>
        </w:rPr>
        <w:t xml:space="preserve"> </w:t>
      </w:r>
      <w:r w:rsidR="00224A6C">
        <w:rPr>
          <w:rFonts w:ascii="Times New Roman" w:hAnsi="Times New Roman" w:cs="Times New Roman"/>
          <w:sz w:val="24"/>
          <w:szCs w:val="24"/>
        </w:rPr>
        <w:t>for compensation components that can affect dividend payments incentives</w:t>
      </w:r>
      <w:r w:rsidR="00FF3E97">
        <w:rPr>
          <w:rFonts w:ascii="Times New Roman" w:hAnsi="Times New Roman" w:cs="Times New Roman"/>
          <w:sz w:val="24"/>
          <w:szCs w:val="24"/>
        </w:rPr>
        <w:t>:</w:t>
      </w:r>
      <w:r w:rsidR="00224A6C">
        <w:rPr>
          <w:rFonts w:ascii="Times New Roman" w:hAnsi="Times New Roman" w:cs="Times New Roman"/>
          <w:sz w:val="24"/>
          <w:szCs w:val="24"/>
        </w:rPr>
        <w:t xml:space="preserve"> salary and bonus and stock-options </w:t>
      </w:r>
      <w:r w:rsidR="00EF5669">
        <w:rPr>
          <w:rFonts w:ascii="Times New Roman" w:hAnsi="Times New Roman" w:cs="Times New Roman"/>
          <w:sz w:val="24"/>
          <w:szCs w:val="24"/>
        </w:rPr>
        <w:t>value</w:t>
      </w:r>
      <w:r w:rsidR="00224A6C">
        <w:rPr>
          <w:rFonts w:ascii="Times New Roman" w:hAnsi="Times New Roman" w:cs="Times New Roman"/>
          <w:sz w:val="24"/>
          <w:szCs w:val="24"/>
        </w:rPr>
        <w:t xml:space="preserve">, and </w:t>
      </w:r>
      <w:r w:rsidR="00FF3E97">
        <w:rPr>
          <w:rFonts w:ascii="Times New Roman" w:hAnsi="Times New Roman" w:cs="Times New Roman"/>
          <w:sz w:val="24"/>
          <w:szCs w:val="24"/>
        </w:rPr>
        <w:t xml:space="preserve">for additional </w:t>
      </w:r>
      <w:r w:rsidR="00E148C2">
        <w:rPr>
          <w:rFonts w:ascii="Times New Roman" w:hAnsi="Times New Roman" w:cs="Times New Roman"/>
          <w:bCs/>
          <w:sz w:val="24"/>
          <w:szCs w:val="24"/>
        </w:rPr>
        <w:t xml:space="preserve">variables that are found in prior studies to affect dividend policy. These </w:t>
      </w:r>
      <w:r w:rsidR="00224A6C">
        <w:rPr>
          <w:rFonts w:ascii="Times New Roman" w:hAnsi="Times New Roman" w:cs="Times New Roman"/>
          <w:bCs/>
          <w:sz w:val="24"/>
          <w:szCs w:val="24"/>
        </w:rPr>
        <w:t>include size,</w:t>
      </w:r>
      <w:r w:rsidR="00FF3E97">
        <w:rPr>
          <w:rFonts w:ascii="Times New Roman" w:hAnsi="Times New Roman" w:cs="Times New Roman"/>
          <w:bCs/>
          <w:sz w:val="24"/>
          <w:szCs w:val="24"/>
        </w:rPr>
        <w:t xml:space="preserve"> </w:t>
      </w:r>
      <w:r w:rsidR="00BB7E16">
        <w:rPr>
          <w:rFonts w:ascii="Times New Roman" w:hAnsi="Times New Roman" w:cs="Times New Roman"/>
          <w:bCs/>
          <w:sz w:val="24"/>
          <w:szCs w:val="24"/>
        </w:rPr>
        <w:t xml:space="preserve">book-to-market ratio, </w:t>
      </w:r>
      <w:r w:rsidR="00FF3E97">
        <w:rPr>
          <w:rFonts w:ascii="Times New Roman" w:hAnsi="Times New Roman" w:cs="Times New Roman"/>
          <w:bCs/>
          <w:sz w:val="24"/>
          <w:szCs w:val="24"/>
        </w:rPr>
        <w:t xml:space="preserve">leverage ratio, </w:t>
      </w:r>
      <w:r w:rsidR="00BB7E16">
        <w:rPr>
          <w:rFonts w:ascii="Times New Roman" w:hAnsi="Times New Roman" w:cs="Times New Roman"/>
          <w:sz w:val="24"/>
          <w:szCs w:val="24"/>
        </w:rPr>
        <w:t>prior year capital expenditures, cash flow from operations,</w:t>
      </w:r>
      <w:r w:rsidR="00BB7E16" w:rsidRPr="000A62B5">
        <w:rPr>
          <w:rFonts w:ascii="Times New Roman" w:hAnsi="Times New Roman" w:cs="Times New Roman"/>
          <w:sz w:val="24"/>
          <w:szCs w:val="24"/>
        </w:rPr>
        <w:t xml:space="preserve"> </w:t>
      </w:r>
      <w:r w:rsidR="00FF3E97" w:rsidRPr="000A62B5">
        <w:rPr>
          <w:rFonts w:ascii="Times New Roman" w:hAnsi="Times New Roman" w:cs="Times New Roman"/>
          <w:sz w:val="24"/>
          <w:szCs w:val="24"/>
        </w:rPr>
        <w:t>distance-to-default</w:t>
      </w:r>
      <w:r w:rsidR="00FF3E97">
        <w:rPr>
          <w:rFonts w:ascii="Times New Roman" w:hAnsi="Times New Roman" w:cs="Times New Roman"/>
          <w:sz w:val="24"/>
          <w:szCs w:val="24"/>
        </w:rPr>
        <w:t xml:space="preserve"> (</w:t>
      </w:r>
      <w:r w:rsidR="00E148C2" w:rsidRPr="000A62B5">
        <w:rPr>
          <w:rFonts w:ascii="Times New Roman" w:hAnsi="Times New Roman" w:cs="Times New Roman"/>
          <w:sz w:val="24"/>
          <w:szCs w:val="24"/>
        </w:rPr>
        <w:t xml:space="preserve">calculated via the Merton-KMV framework; see </w:t>
      </w:r>
      <w:proofErr w:type="spellStart"/>
      <w:r w:rsidR="0014460A" w:rsidRPr="0014460A">
        <w:rPr>
          <w:rFonts w:ascii="Times New Roman" w:hAnsi="Times New Roman" w:cs="Times New Roman"/>
          <w:sz w:val="24"/>
          <w:szCs w:val="24"/>
        </w:rPr>
        <w:t>Crosbie</w:t>
      </w:r>
      <w:proofErr w:type="spellEnd"/>
      <w:r w:rsidR="0014460A" w:rsidRPr="0014460A">
        <w:rPr>
          <w:rFonts w:ascii="Times New Roman" w:hAnsi="Times New Roman" w:cs="Times New Roman"/>
          <w:sz w:val="24"/>
          <w:szCs w:val="24"/>
        </w:rPr>
        <w:t xml:space="preserve"> and Bohn (2002)</w:t>
      </w:r>
      <w:r w:rsidR="00E148C2" w:rsidRPr="000A62B5">
        <w:rPr>
          <w:rFonts w:ascii="Times New Roman" w:hAnsi="Times New Roman" w:cs="Times New Roman"/>
          <w:sz w:val="24"/>
          <w:szCs w:val="24"/>
        </w:rPr>
        <w:t xml:space="preserve">), </w:t>
      </w:r>
      <w:r w:rsidR="00FF3E97">
        <w:rPr>
          <w:rFonts w:ascii="Times New Roman" w:hAnsi="Times New Roman" w:cs="Times New Roman"/>
          <w:sz w:val="24"/>
          <w:szCs w:val="24"/>
        </w:rPr>
        <w:t>firm age,</w:t>
      </w:r>
      <w:r w:rsidR="00E148C2" w:rsidRPr="000A62B5">
        <w:rPr>
          <w:rFonts w:ascii="Times New Roman" w:hAnsi="Times New Roman" w:cs="Times New Roman"/>
          <w:sz w:val="24"/>
          <w:szCs w:val="24"/>
        </w:rPr>
        <w:t xml:space="preserve"> </w:t>
      </w:r>
      <w:r w:rsidR="00BB7E16">
        <w:rPr>
          <w:rFonts w:ascii="Times New Roman" w:hAnsi="Times New Roman" w:cs="Times New Roman"/>
          <w:sz w:val="24"/>
          <w:szCs w:val="24"/>
        </w:rPr>
        <w:t xml:space="preserve">past </w:t>
      </w:r>
      <w:r w:rsidR="00BB7E16" w:rsidRPr="000A62B5">
        <w:rPr>
          <w:rFonts w:ascii="Times New Roman" w:hAnsi="Times New Roman" w:cs="Times New Roman"/>
          <w:sz w:val="24"/>
          <w:szCs w:val="24"/>
        </w:rPr>
        <w:t>stock return</w:t>
      </w:r>
      <w:r w:rsidR="00BB7E16">
        <w:rPr>
          <w:rFonts w:ascii="Times New Roman" w:hAnsi="Times New Roman" w:cs="Times New Roman"/>
          <w:sz w:val="24"/>
          <w:szCs w:val="24"/>
        </w:rPr>
        <w:t xml:space="preserve">, </w:t>
      </w:r>
      <w:r w:rsidR="00840586">
        <w:rPr>
          <w:rFonts w:ascii="Times New Roman" w:hAnsi="Times New Roman" w:cs="Times New Roman"/>
          <w:sz w:val="24"/>
          <w:szCs w:val="24"/>
        </w:rPr>
        <w:t xml:space="preserve">liquidity </w:t>
      </w:r>
      <w:r w:rsidR="00BB7E16">
        <w:rPr>
          <w:rFonts w:ascii="Times New Roman" w:hAnsi="Times New Roman" w:cs="Times New Roman"/>
          <w:sz w:val="24"/>
          <w:szCs w:val="24"/>
        </w:rPr>
        <w:t xml:space="preserve">constraint </w:t>
      </w:r>
      <w:r w:rsidR="00840586">
        <w:rPr>
          <w:rFonts w:ascii="Times New Roman" w:hAnsi="Times New Roman" w:cs="Times New Roman"/>
          <w:sz w:val="24"/>
          <w:szCs w:val="24"/>
        </w:rPr>
        <w:t xml:space="preserve">(measured by a binary variable that </w:t>
      </w:r>
      <w:r w:rsidR="00E148C2" w:rsidRPr="000A62B5">
        <w:rPr>
          <w:rFonts w:ascii="Times New Roman" w:hAnsi="Times New Roman" w:cs="Times New Roman"/>
          <w:sz w:val="24"/>
          <w:szCs w:val="24"/>
        </w:rPr>
        <w:t>equal</w:t>
      </w:r>
      <w:r w:rsidR="00840586">
        <w:rPr>
          <w:rFonts w:ascii="Times New Roman" w:hAnsi="Times New Roman" w:cs="Times New Roman"/>
          <w:sz w:val="24"/>
          <w:szCs w:val="24"/>
        </w:rPr>
        <w:t>s</w:t>
      </w:r>
      <w:r w:rsidR="00E148C2" w:rsidRPr="000A62B5">
        <w:rPr>
          <w:rFonts w:ascii="Times New Roman" w:hAnsi="Times New Roman" w:cs="Times New Roman"/>
          <w:sz w:val="24"/>
          <w:szCs w:val="24"/>
        </w:rPr>
        <w:t xml:space="preserve"> 1 if a negative operating income was posted for that year</w:t>
      </w:r>
      <w:r w:rsidR="00840586">
        <w:rPr>
          <w:rFonts w:ascii="Times New Roman" w:hAnsi="Times New Roman" w:cs="Times New Roman"/>
          <w:sz w:val="24"/>
          <w:szCs w:val="24"/>
        </w:rPr>
        <w:t xml:space="preserve">), </w:t>
      </w:r>
      <w:r w:rsidR="00BB7E16">
        <w:rPr>
          <w:rFonts w:ascii="Times New Roman" w:hAnsi="Times New Roman" w:cs="Times New Roman"/>
          <w:sz w:val="24"/>
          <w:szCs w:val="24"/>
        </w:rPr>
        <w:t xml:space="preserve">and </w:t>
      </w:r>
      <w:r w:rsidR="00840586">
        <w:rPr>
          <w:rFonts w:ascii="Times New Roman" w:hAnsi="Times New Roman" w:cs="Times New Roman"/>
          <w:sz w:val="24"/>
          <w:szCs w:val="24"/>
        </w:rPr>
        <w:t>tax loss</w:t>
      </w:r>
      <w:r w:rsidR="00E148C2" w:rsidRPr="000A62B5">
        <w:rPr>
          <w:rFonts w:ascii="Times New Roman" w:hAnsi="Times New Roman" w:cs="Times New Roman"/>
          <w:sz w:val="24"/>
          <w:szCs w:val="24"/>
        </w:rPr>
        <w:t xml:space="preserve"> </w:t>
      </w:r>
      <w:r w:rsidR="00840586">
        <w:rPr>
          <w:rFonts w:ascii="Times New Roman" w:hAnsi="Times New Roman" w:cs="Times New Roman"/>
          <w:sz w:val="24"/>
          <w:szCs w:val="24"/>
        </w:rPr>
        <w:t>(</w:t>
      </w:r>
      <w:r w:rsidR="00CF591C">
        <w:rPr>
          <w:rFonts w:ascii="Times New Roman" w:hAnsi="Times New Roman" w:cs="Times New Roman"/>
          <w:sz w:val="24"/>
          <w:szCs w:val="24"/>
        </w:rPr>
        <w:t xml:space="preserve">a binary variable that </w:t>
      </w:r>
      <w:r w:rsidR="00E148C2" w:rsidRPr="000A62B5">
        <w:rPr>
          <w:rFonts w:ascii="Times New Roman" w:hAnsi="Times New Roman" w:cs="Times New Roman"/>
          <w:sz w:val="24"/>
          <w:szCs w:val="24"/>
        </w:rPr>
        <w:t>equal</w:t>
      </w:r>
      <w:r w:rsidR="00BB7E16">
        <w:rPr>
          <w:rFonts w:ascii="Times New Roman" w:hAnsi="Times New Roman" w:cs="Times New Roman"/>
          <w:sz w:val="24"/>
          <w:szCs w:val="24"/>
        </w:rPr>
        <w:t>s</w:t>
      </w:r>
      <w:r w:rsidR="00E148C2" w:rsidRPr="000A62B5">
        <w:rPr>
          <w:rFonts w:ascii="Times New Roman" w:hAnsi="Times New Roman" w:cs="Times New Roman"/>
          <w:sz w:val="24"/>
          <w:szCs w:val="24"/>
        </w:rPr>
        <w:t xml:space="preserve"> </w:t>
      </w:r>
      <w:r w:rsidR="00840586">
        <w:rPr>
          <w:rFonts w:ascii="Times New Roman" w:hAnsi="Times New Roman" w:cs="Times New Roman"/>
          <w:sz w:val="24"/>
          <w:szCs w:val="24"/>
        </w:rPr>
        <w:t>1</w:t>
      </w:r>
      <w:r w:rsidR="00E148C2" w:rsidRPr="000A62B5">
        <w:rPr>
          <w:rFonts w:ascii="Times New Roman" w:hAnsi="Times New Roman" w:cs="Times New Roman"/>
          <w:sz w:val="24"/>
          <w:szCs w:val="24"/>
        </w:rPr>
        <w:t xml:space="preserve"> if the firm reported a net tax loss carry forward during</w:t>
      </w:r>
      <w:r w:rsidR="00F66E43">
        <w:rPr>
          <w:rFonts w:ascii="Times New Roman" w:hAnsi="Times New Roman" w:cs="Times New Roman"/>
          <w:sz w:val="24"/>
          <w:szCs w:val="24"/>
        </w:rPr>
        <w:t xml:space="preserve"> that firm-</w:t>
      </w:r>
      <w:r w:rsidR="00E148C2" w:rsidRPr="000A62B5">
        <w:rPr>
          <w:rFonts w:ascii="Times New Roman" w:hAnsi="Times New Roman" w:cs="Times New Roman"/>
          <w:sz w:val="24"/>
          <w:szCs w:val="24"/>
        </w:rPr>
        <w:t>year</w:t>
      </w:r>
      <w:r w:rsidR="00BB7E16">
        <w:rPr>
          <w:rFonts w:ascii="Times New Roman" w:hAnsi="Times New Roman" w:cs="Times New Roman"/>
          <w:sz w:val="24"/>
          <w:szCs w:val="24"/>
        </w:rPr>
        <w:t>)</w:t>
      </w:r>
      <w:r w:rsidR="00E148C2">
        <w:rPr>
          <w:rFonts w:ascii="Times New Roman" w:hAnsi="Times New Roman" w:cs="Times New Roman"/>
          <w:sz w:val="24"/>
          <w:szCs w:val="24"/>
        </w:rPr>
        <w:t>.</w:t>
      </w:r>
      <w:r w:rsidR="00E148C2" w:rsidRPr="000A62B5">
        <w:rPr>
          <w:rFonts w:ascii="Times New Roman" w:hAnsi="Times New Roman" w:cs="Times New Roman"/>
          <w:sz w:val="24"/>
          <w:szCs w:val="24"/>
        </w:rPr>
        <w:t xml:space="preserve"> </w:t>
      </w:r>
      <w:r w:rsidR="004C6B38">
        <w:rPr>
          <w:rFonts w:ascii="Times New Roman" w:hAnsi="Times New Roman" w:cs="Times New Roman"/>
          <w:sz w:val="24"/>
          <w:szCs w:val="24"/>
        </w:rPr>
        <w:t xml:space="preserve">As the regressions rely on </w:t>
      </w:r>
      <w:r w:rsidR="004C6B38" w:rsidRPr="004C6B38">
        <w:rPr>
          <w:rFonts w:ascii="Times New Roman" w:hAnsi="Times New Roman" w:cs="Times New Roman"/>
          <w:sz w:val="24"/>
          <w:szCs w:val="24"/>
        </w:rPr>
        <w:lastRenderedPageBreak/>
        <w:t>time-series firm-level data</w:t>
      </w:r>
      <w:r w:rsidR="004C6B38">
        <w:rPr>
          <w:rFonts w:ascii="Times New Roman" w:hAnsi="Times New Roman" w:cs="Times New Roman"/>
          <w:sz w:val="24"/>
          <w:szCs w:val="24"/>
        </w:rPr>
        <w:t xml:space="preserve">, we also control for </w:t>
      </w:r>
      <w:r w:rsidR="007B579A">
        <w:rPr>
          <w:rFonts w:ascii="Times New Roman" w:hAnsi="Times New Roman" w:cs="Times New Roman"/>
          <w:sz w:val="24"/>
          <w:szCs w:val="24"/>
        </w:rPr>
        <w:t xml:space="preserve">year </w:t>
      </w:r>
      <w:r w:rsidR="004C6B38">
        <w:rPr>
          <w:rFonts w:ascii="Times New Roman" w:hAnsi="Times New Roman" w:cs="Times New Roman"/>
          <w:sz w:val="24"/>
          <w:szCs w:val="24"/>
        </w:rPr>
        <w:t>fixed effect</w:t>
      </w:r>
      <w:r w:rsidR="007B579A">
        <w:rPr>
          <w:rFonts w:ascii="Times New Roman" w:hAnsi="Times New Roman" w:cs="Times New Roman"/>
          <w:sz w:val="24"/>
          <w:szCs w:val="24"/>
        </w:rPr>
        <w:t>s</w:t>
      </w:r>
      <w:r w:rsidR="004C6B38">
        <w:rPr>
          <w:rFonts w:ascii="Times New Roman" w:hAnsi="Times New Roman" w:cs="Times New Roman"/>
          <w:sz w:val="24"/>
          <w:szCs w:val="24"/>
        </w:rPr>
        <w:t xml:space="preserve">, and use </w:t>
      </w:r>
      <w:r w:rsidR="00756D47">
        <w:rPr>
          <w:rFonts w:ascii="Times New Roman" w:hAnsi="Times New Roman" w:cs="Times New Roman"/>
          <w:sz w:val="24"/>
          <w:szCs w:val="24"/>
        </w:rPr>
        <w:t xml:space="preserve">robust standard errors clustered by firm </w:t>
      </w:r>
      <w:r w:rsidR="004C6B38">
        <w:rPr>
          <w:rFonts w:ascii="Times New Roman" w:hAnsi="Times New Roman" w:cs="Times New Roman"/>
          <w:sz w:val="24"/>
          <w:szCs w:val="24"/>
        </w:rPr>
        <w:t>to</w:t>
      </w:r>
      <w:r w:rsidR="00756D47">
        <w:rPr>
          <w:rFonts w:ascii="Times New Roman" w:hAnsi="Times New Roman" w:cs="Times New Roman"/>
          <w:sz w:val="24"/>
          <w:szCs w:val="24"/>
        </w:rPr>
        <w:t xml:space="preserve"> correct </w:t>
      </w:r>
      <w:r w:rsidR="00724A5C">
        <w:rPr>
          <w:rFonts w:ascii="Times New Roman" w:hAnsi="Times New Roman" w:cs="Times New Roman"/>
          <w:sz w:val="24"/>
          <w:szCs w:val="24"/>
        </w:rPr>
        <w:t xml:space="preserve">for </w:t>
      </w:r>
      <w:proofErr w:type="spellStart"/>
      <w:r w:rsidR="00724A5C" w:rsidRPr="00724A5C">
        <w:rPr>
          <w:rFonts w:ascii="Times New Roman" w:hAnsi="Times New Roman" w:cs="Times New Roman"/>
          <w:sz w:val="24"/>
          <w:szCs w:val="24"/>
        </w:rPr>
        <w:t>heteroskedasticity</w:t>
      </w:r>
      <w:proofErr w:type="spellEnd"/>
      <w:r w:rsidR="00724A5C" w:rsidRPr="00724A5C">
        <w:rPr>
          <w:rFonts w:ascii="Times New Roman" w:hAnsi="Times New Roman" w:cs="Times New Roman"/>
          <w:sz w:val="24"/>
          <w:szCs w:val="24"/>
        </w:rPr>
        <w:t xml:space="preserve"> and serial</w:t>
      </w:r>
      <w:r w:rsidR="00724A5C">
        <w:rPr>
          <w:rFonts w:ascii="Times New Roman" w:hAnsi="Times New Roman" w:cs="Times New Roman"/>
          <w:sz w:val="24"/>
          <w:szCs w:val="24"/>
        </w:rPr>
        <w:t xml:space="preserve"> </w:t>
      </w:r>
      <w:r w:rsidR="00724A5C" w:rsidRPr="00724A5C">
        <w:rPr>
          <w:rFonts w:ascii="Times New Roman" w:hAnsi="Times New Roman" w:cs="Times New Roman"/>
          <w:sz w:val="24"/>
          <w:szCs w:val="24"/>
        </w:rPr>
        <w:t>correlation.</w:t>
      </w:r>
    </w:p>
    <w:p w:rsidR="007109C1" w:rsidRDefault="007109C1" w:rsidP="007B243F">
      <w:pPr>
        <w:tabs>
          <w:tab w:val="left" w:pos="360"/>
          <w:tab w:val="left" w:pos="450"/>
          <w:tab w:val="left" w:pos="540"/>
        </w:tabs>
        <w:spacing w:before="240" w:after="0" w:line="480" w:lineRule="auto"/>
        <w:jc w:val="both"/>
        <w:rPr>
          <w:rFonts w:ascii="Times New Roman" w:hAnsi="Times New Roman" w:cs="Times New Roman"/>
          <w:bCs/>
          <w:sz w:val="24"/>
          <w:szCs w:val="24"/>
          <w:highlight w:val="yellow"/>
        </w:rPr>
      </w:pPr>
      <w:r w:rsidRPr="007D3F3F">
        <w:rPr>
          <w:rFonts w:ascii="Times New Roman" w:hAnsi="Times New Roman" w:cs="Times New Roman"/>
          <w:bCs/>
          <w:sz w:val="24"/>
          <w:szCs w:val="24"/>
        </w:rPr>
        <w:tab/>
      </w:r>
      <w:r w:rsidR="00B45D63" w:rsidRPr="007D3F3F">
        <w:rPr>
          <w:rFonts w:ascii="Times New Roman" w:hAnsi="Times New Roman" w:cs="Times New Roman"/>
          <w:bCs/>
          <w:sz w:val="24"/>
          <w:szCs w:val="24"/>
        </w:rPr>
        <w:t>The regression results in Table 3 strongly support our hypothesis. All four models indicate that the extent of pension is associated with lower dividend payments.</w:t>
      </w:r>
      <w:r w:rsidR="001C7E17" w:rsidRPr="007D3F3F">
        <w:rPr>
          <w:rFonts w:ascii="Times New Roman" w:hAnsi="Times New Roman" w:cs="Times New Roman"/>
          <w:bCs/>
          <w:sz w:val="24"/>
          <w:szCs w:val="24"/>
        </w:rPr>
        <w:t xml:space="preserve"> T</w:t>
      </w:r>
      <w:r w:rsidR="00B45D63" w:rsidRPr="007D3F3F">
        <w:rPr>
          <w:rFonts w:ascii="Times New Roman" w:hAnsi="Times New Roman" w:cs="Times New Roman"/>
          <w:bCs/>
          <w:sz w:val="24"/>
          <w:szCs w:val="24"/>
        </w:rPr>
        <w:t>he results are especially strong when compensation leverage is used</w:t>
      </w:r>
      <w:r w:rsidR="00BB7E16">
        <w:rPr>
          <w:rFonts w:ascii="Times New Roman" w:hAnsi="Times New Roman" w:cs="Times New Roman"/>
          <w:bCs/>
          <w:sz w:val="24"/>
          <w:szCs w:val="24"/>
        </w:rPr>
        <w:t>,</w:t>
      </w:r>
      <w:r w:rsidR="00B45D63" w:rsidRPr="007D3F3F">
        <w:rPr>
          <w:rFonts w:ascii="Times New Roman" w:hAnsi="Times New Roman" w:cs="Times New Roman"/>
          <w:bCs/>
          <w:sz w:val="24"/>
          <w:szCs w:val="24"/>
        </w:rPr>
        <w:t xml:space="preserve"> </w:t>
      </w:r>
      <w:r w:rsidR="00C10DC7">
        <w:rPr>
          <w:rFonts w:ascii="Times New Roman" w:hAnsi="Times New Roman" w:cs="Times New Roman"/>
          <w:bCs/>
          <w:sz w:val="24"/>
          <w:szCs w:val="24"/>
        </w:rPr>
        <w:t>for</w:t>
      </w:r>
      <w:r w:rsidR="00B45D63" w:rsidRPr="007D3F3F">
        <w:rPr>
          <w:rFonts w:ascii="Times New Roman" w:hAnsi="Times New Roman" w:cs="Times New Roman"/>
          <w:bCs/>
          <w:sz w:val="24"/>
          <w:szCs w:val="24"/>
        </w:rPr>
        <w:t xml:space="preserve"> both </w:t>
      </w:r>
      <w:r w:rsidR="001C7E17" w:rsidRPr="007D3F3F">
        <w:rPr>
          <w:rFonts w:ascii="Times New Roman" w:hAnsi="Times New Roman" w:cs="Times New Roman"/>
          <w:bCs/>
          <w:sz w:val="24"/>
          <w:szCs w:val="24"/>
        </w:rPr>
        <w:t xml:space="preserve">CEO </w:t>
      </w:r>
      <w:r w:rsidR="00C10DC7">
        <w:rPr>
          <w:rFonts w:ascii="Times New Roman" w:hAnsi="Times New Roman" w:cs="Times New Roman"/>
          <w:bCs/>
          <w:sz w:val="24"/>
          <w:szCs w:val="24"/>
        </w:rPr>
        <w:t>only</w:t>
      </w:r>
      <w:r w:rsidR="007A36F7">
        <w:rPr>
          <w:rFonts w:ascii="Times New Roman" w:hAnsi="Times New Roman" w:cs="Times New Roman"/>
          <w:bCs/>
          <w:sz w:val="24"/>
          <w:szCs w:val="24"/>
        </w:rPr>
        <w:t xml:space="preserve"> (second column)</w:t>
      </w:r>
      <w:r w:rsidR="00976338">
        <w:rPr>
          <w:rFonts w:ascii="Times New Roman" w:hAnsi="Times New Roman" w:cs="Times New Roman"/>
          <w:bCs/>
          <w:sz w:val="24"/>
          <w:szCs w:val="24"/>
        </w:rPr>
        <w:t xml:space="preserve"> and all top executives</w:t>
      </w:r>
      <w:r w:rsidR="007A36F7">
        <w:rPr>
          <w:rFonts w:ascii="Times New Roman" w:hAnsi="Times New Roman" w:cs="Times New Roman"/>
          <w:bCs/>
          <w:sz w:val="24"/>
          <w:szCs w:val="24"/>
        </w:rPr>
        <w:t xml:space="preserve"> (fourth column);</w:t>
      </w:r>
      <w:r w:rsidR="00976338">
        <w:rPr>
          <w:rFonts w:ascii="Times New Roman" w:hAnsi="Times New Roman" w:cs="Times New Roman"/>
          <w:bCs/>
          <w:sz w:val="24"/>
          <w:szCs w:val="24"/>
        </w:rPr>
        <w:t xml:space="preserve"> </w:t>
      </w:r>
      <w:r w:rsidR="007A36F7">
        <w:rPr>
          <w:rFonts w:ascii="Times New Roman" w:hAnsi="Times New Roman" w:cs="Times New Roman"/>
          <w:bCs/>
          <w:sz w:val="24"/>
          <w:szCs w:val="24"/>
        </w:rPr>
        <w:t xml:space="preserve">the </w:t>
      </w:r>
      <w:r w:rsidR="00B45D63" w:rsidRPr="007D3F3F">
        <w:rPr>
          <w:rFonts w:ascii="Times New Roman" w:hAnsi="Times New Roman" w:cs="Times New Roman"/>
          <w:bCs/>
          <w:i/>
          <w:sz w:val="24"/>
          <w:szCs w:val="24"/>
        </w:rPr>
        <w:t>t</w:t>
      </w:r>
      <w:r w:rsidR="00B45D63" w:rsidRPr="007D3F3F">
        <w:rPr>
          <w:rFonts w:ascii="Times New Roman" w:hAnsi="Times New Roman" w:cs="Times New Roman"/>
          <w:bCs/>
          <w:sz w:val="24"/>
          <w:szCs w:val="24"/>
        </w:rPr>
        <w:t xml:space="preserve">-statistics </w:t>
      </w:r>
      <w:r w:rsidR="007A36F7">
        <w:rPr>
          <w:rFonts w:ascii="Times New Roman" w:hAnsi="Times New Roman" w:cs="Times New Roman"/>
          <w:bCs/>
          <w:sz w:val="24"/>
          <w:szCs w:val="24"/>
        </w:rPr>
        <w:t xml:space="preserve">are </w:t>
      </w:r>
      <w:r w:rsidR="00B45D63" w:rsidRPr="007D3F3F">
        <w:rPr>
          <w:rFonts w:ascii="Times New Roman" w:hAnsi="Times New Roman" w:cs="Times New Roman"/>
          <w:bCs/>
          <w:sz w:val="24"/>
          <w:szCs w:val="24"/>
        </w:rPr>
        <w:t>-</w:t>
      </w:r>
      <w:r w:rsidR="00E67DA1">
        <w:rPr>
          <w:rFonts w:ascii="Times New Roman" w:hAnsi="Times New Roman" w:cs="Times New Roman"/>
          <w:bCs/>
          <w:sz w:val="24"/>
          <w:szCs w:val="24"/>
        </w:rPr>
        <w:t>7</w:t>
      </w:r>
      <w:r w:rsidR="00B45D63" w:rsidRPr="007D3F3F">
        <w:rPr>
          <w:rFonts w:ascii="Times New Roman" w:hAnsi="Times New Roman" w:cs="Times New Roman"/>
          <w:bCs/>
          <w:sz w:val="24"/>
          <w:szCs w:val="24"/>
        </w:rPr>
        <w:t>.</w:t>
      </w:r>
      <w:r w:rsidR="00E67DA1">
        <w:rPr>
          <w:rFonts w:ascii="Times New Roman" w:hAnsi="Times New Roman" w:cs="Times New Roman"/>
          <w:bCs/>
          <w:sz w:val="24"/>
          <w:szCs w:val="24"/>
        </w:rPr>
        <w:t>28</w:t>
      </w:r>
      <w:r w:rsidR="00B45D63" w:rsidRPr="007D3F3F">
        <w:rPr>
          <w:rFonts w:ascii="Times New Roman" w:hAnsi="Times New Roman" w:cs="Times New Roman"/>
          <w:bCs/>
          <w:sz w:val="24"/>
          <w:szCs w:val="24"/>
        </w:rPr>
        <w:t xml:space="preserve"> and -</w:t>
      </w:r>
      <w:r w:rsidR="00E67DA1">
        <w:rPr>
          <w:rFonts w:ascii="Times New Roman" w:hAnsi="Times New Roman" w:cs="Times New Roman"/>
          <w:bCs/>
          <w:sz w:val="24"/>
          <w:szCs w:val="24"/>
        </w:rPr>
        <w:t>8</w:t>
      </w:r>
      <w:r w:rsidR="00B45D63" w:rsidRPr="007D3F3F">
        <w:rPr>
          <w:rFonts w:ascii="Times New Roman" w:hAnsi="Times New Roman" w:cs="Times New Roman"/>
          <w:bCs/>
          <w:sz w:val="24"/>
          <w:szCs w:val="24"/>
        </w:rPr>
        <w:t>.7</w:t>
      </w:r>
      <w:r w:rsidR="00E67DA1">
        <w:rPr>
          <w:rFonts w:ascii="Times New Roman" w:hAnsi="Times New Roman" w:cs="Times New Roman"/>
          <w:bCs/>
          <w:sz w:val="24"/>
          <w:szCs w:val="24"/>
        </w:rPr>
        <w:t>0</w:t>
      </w:r>
      <w:r w:rsidR="00B45D63" w:rsidRPr="007D3F3F">
        <w:rPr>
          <w:rFonts w:ascii="Times New Roman" w:hAnsi="Times New Roman" w:cs="Times New Roman"/>
          <w:bCs/>
          <w:sz w:val="24"/>
          <w:szCs w:val="24"/>
        </w:rPr>
        <w:t>)</w:t>
      </w:r>
      <w:r w:rsidR="007A36F7">
        <w:rPr>
          <w:rFonts w:ascii="Times New Roman" w:hAnsi="Times New Roman" w:cs="Times New Roman"/>
          <w:bCs/>
          <w:sz w:val="24"/>
          <w:szCs w:val="24"/>
        </w:rPr>
        <w:t>, respectively</w:t>
      </w:r>
      <w:r w:rsidR="00BF6984">
        <w:rPr>
          <w:rFonts w:ascii="Times New Roman" w:hAnsi="Times New Roman" w:cs="Times New Roman"/>
          <w:bCs/>
          <w:sz w:val="24"/>
          <w:szCs w:val="24"/>
        </w:rPr>
        <w:t>.</w:t>
      </w:r>
      <w:r w:rsidR="00BF6984" w:rsidRPr="007D3F3F">
        <w:rPr>
          <w:rFonts w:ascii="Times New Roman" w:hAnsi="Times New Roman" w:cs="Times New Roman"/>
          <w:bCs/>
          <w:sz w:val="24"/>
          <w:szCs w:val="24"/>
        </w:rPr>
        <w:t xml:space="preserve"> </w:t>
      </w:r>
      <w:r w:rsidR="007A36F7">
        <w:rPr>
          <w:rFonts w:ascii="Times New Roman" w:hAnsi="Times New Roman" w:cs="Times New Roman"/>
          <w:bCs/>
          <w:sz w:val="24"/>
          <w:szCs w:val="24"/>
        </w:rPr>
        <w:t xml:space="preserve">While not as strong, </w:t>
      </w:r>
      <w:r w:rsidR="000C5B76">
        <w:rPr>
          <w:rFonts w:ascii="Times New Roman" w:hAnsi="Times New Roman" w:cs="Times New Roman"/>
          <w:bCs/>
          <w:sz w:val="24"/>
          <w:szCs w:val="24"/>
        </w:rPr>
        <w:t xml:space="preserve">results </w:t>
      </w:r>
      <w:r w:rsidR="00B45D63" w:rsidRPr="007D3F3F">
        <w:rPr>
          <w:rFonts w:ascii="Times New Roman" w:hAnsi="Times New Roman" w:cs="Times New Roman"/>
          <w:bCs/>
          <w:sz w:val="24"/>
          <w:szCs w:val="24"/>
        </w:rPr>
        <w:t>are also significant for inside debt (</w:t>
      </w:r>
      <w:r w:rsidR="00B45D63" w:rsidRPr="007D3F3F">
        <w:rPr>
          <w:rFonts w:ascii="Times New Roman" w:hAnsi="Times New Roman" w:cs="Times New Roman"/>
          <w:bCs/>
          <w:i/>
          <w:sz w:val="24"/>
          <w:szCs w:val="24"/>
        </w:rPr>
        <w:t>t</w:t>
      </w:r>
      <w:r w:rsidR="00B45D63" w:rsidRPr="007D3F3F">
        <w:rPr>
          <w:rFonts w:ascii="Times New Roman" w:hAnsi="Times New Roman" w:cs="Times New Roman"/>
          <w:bCs/>
          <w:sz w:val="24"/>
          <w:szCs w:val="24"/>
        </w:rPr>
        <w:t>-statistics of -</w:t>
      </w:r>
      <w:r w:rsidR="00E67DA1">
        <w:rPr>
          <w:rFonts w:ascii="Times New Roman" w:hAnsi="Times New Roman" w:cs="Times New Roman"/>
          <w:bCs/>
          <w:sz w:val="24"/>
          <w:szCs w:val="24"/>
        </w:rPr>
        <w:t>2</w:t>
      </w:r>
      <w:r w:rsidR="00B45D63" w:rsidRPr="007D3F3F">
        <w:rPr>
          <w:rFonts w:ascii="Times New Roman" w:hAnsi="Times New Roman" w:cs="Times New Roman"/>
          <w:bCs/>
          <w:sz w:val="24"/>
          <w:szCs w:val="24"/>
        </w:rPr>
        <w:t>.</w:t>
      </w:r>
      <w:r w:rsidR="00E67DA1">
        <w:rPr>
          <w:rFonts w:ascii="Times New Roman" w:hAnsi="Times New Roman" w:cs="Times New Roman"/>
          <w:bCs/>
          <w:sz w:val="24"/>
          <w:szCs w:val="24"/>
        </w:rPr>
        <w:t>09</w:t>
      </w:r>
      <w:r w:rsidR="00B45D63" w:rsidRPr="007D3F3F">
        <w:rPr>
          <w:rFonts w:ascii="Times New Roman" w:hAnsi="Times New Roman" w:cs="Times New Roman"/>
          <w:bCs/>
          <w:sz w:val="24"/>
          <w:szCs w:val="24"/>
        </w:rPr>
        <w:t xml:space="preserve"> and -1.</w:t>
      </w:r>
      <w:r w:rsidR="00E67DA1">
        <w:rPr>
          <w:rFonts w:ascii="Times New Roman" w:hAnsi="Times New Roman" w:cs="Times New Roman"/>
          <w:bCs/>
          <w:sz w:val="24"/>
          <w:szCs w:val="24"/>
        </w:rPr>
        <w:t>74</w:t>
      </w:r>
      <w:r w:rsidR="00B45D63" w:rsidRPr="007D3F3F">
        <w:rPr>
          <w:rFonts w:ascii="Times New Roman" w:hAnsi="Times New Roman" w:cs="Times New Roman"/>
          <w:bCs/>
          <w:sz w:val="24"/>
          <w:szCs w:val="24"/>
        </w:rPr>
        <w:t xml:space="preserve">). </w:t>
      </w:r>
      <w:r w:rsidR="001C7E17" w:rsidRPr="007D3F3F">
        <w:rPr>
          <w:rFonts w:ascii="Times New Roman" w:hAnsi="Times New Roman" w:cs="Times New Roman"/>
          <w:bCs/>
          <w:sz w:val="24"/>
          <w:szCs w:val="24"/>
        </w:rPr>
        <w:t>This difference may emphasize the importance of pension</w:t>
      </w:r>
      <w:r w:rsidR="000C5B76">
        <w:rPr>
          <w:rFonts w:ascii="Times New Roman" w:hAnsi="Times New Roman" w:cs="Times New Roman"/>
          <w:bCs/>
          <w:sz w:val="24"/>
          <w:szCs w:val="24"/>
        </w:rPr>
        <w:t>s</w:t>
      </w:r>
      <w:r w:rsidR="001C7E17" w:rsidRPr="007D3F3F">
        <w:rPr>
          <w:rFonts w:ascii="Times New Roman" w:hAnsi="Times New Roman" w:cs="Times New Roman"/>
          <w:bCs/>
          <w:sz w:val="24"/>
          <w:szCs w:val="24"/>
        </w:rPr>
        <w:t xml:space="preserve"> in the manager's compensation package, which is captured by </w:t>
      </w:r>
      <w:r w:rsidR="000C5B76">
        <w:rPr>
          <w:rFonts w:ascii="Times New Roman" w:hAnsi="Times New Roman" w:cs="Times New Roman"/>
          <w:bCs/>
          <w:sz w:val="24"/>
          <w:szCs w:val="24"/>
        </w:rPr>
        <w:t xml:space="preserve">the </w:t>
      </w:r>
      <w:r w:rsidR="001C7E17" w:rsidRPr="007D3F3F">
        <w:rPr>
          <w:rFonts w:ascii="Times New Roman" w:hAnsi="Times New Roman" w:cs="Times New Roman"/>
          <w:bCs/>
          <w:sz w:val="24"/>
          <w:szCs w:val="24"/>
        </w:rPr>
        <w:t xml:space="preserve">compensation leverage. </w:t>
      </w:r>
      <w:r w:rsidR="00CD34C5" w:rsidRPr="007D3F3F">
        <w:rPr>
          <w:rFonts w:ascii="Times New Roman" w:hAnsi="Times New Roman" w:cs="Times New Roman"/>
          <w:bCs/>
          <w:sz w:val="24"/>
          <w:szCs w:val="24"/>
        </w:rPr>
        <w:t xml:space="preserve">The results in the table thus provide a first indication that managers </w:t>
      </w:r>
      <w:r w:rsidR="007D3F3F">
        <w:rPr>
          <w:rFonts w:ascii="Times New Roman" w:hAnsi="Times New Roman" w:cs="Times New Roman"/>
          <w:bCs/>
          <w:sz w:val="24"/>
          <w:szCs w:val="24"/>
        </w:rPr>
        <w:t xml:space="preserve">with large pension plans </w:t>
      </w:r>
      <w:r w:rsidR="000C5B76">
        <w:rPr>
          <w:rFonts w:ascii="Times New Roman" w:hAnsi="Times New Roman" w:cs="Times New Roman"/>
          <w:bCs/>
          <w:sz w:val="24"/>
          <w:szCs w:val="24"/>
        </w:rPr>
        <w:t xml:space="preserve">appear less likely </w:t>
      </w:r>
      <w:r w:rsidR="00EC4945" w:rsidRPr="007D3F3F">
        <w:rPr>
          <w:rFonts w:ascii="Times New Roman" w:hAnsi="Times New Roman" w:cs="Times New Roman"/>
          <w:bCs/>
          <w:sz w:val="24"/>
          <w:szCs w:val="24"/>
        </w:rPr>
        <w:t>to commit to high dividend distributions</w:t>
      </w:r>
      <w:r w:rsidR="007D3F3F">
        <w:rPr>
          <w:rFonts w:ascii="Times New Roman" w:hAnsi="Times New Roman" w:cs="Times New Roman"/>
          <w:bCs/>
          <w:sz w:val="24"/>
          <w:szCs w:val="24"/>
        </w:rPr>
        <w:t>.</w:t>
      </w:r>
      <w:r w:rsidR="00EC4945" w:rsidRPr="007D3F3F">
        <w:rPr>
          <w:rFonts w:ascii="Times New Roman" w:hAnsi="Times New Roman" w:cs="Times New Roman"/>
          <w:bCs/>
          <w:sz w:val="24"/>
          <w:szCs w:val="24"/>
        </w:rPr>
        <w:t xml:space="preserve"> </w:t>
      </w:r>
    </w:p>
    <w:p w:rsidR="008D1E65" w:rsidRDefault="0024284F" w:rsidP="007B243F">
      <w:pPr>
        <w:tabs>
          <w:tab w:val="left" w:pos="360"/>
          <w:tab w:val="left" w:pos="450"/>
          <w:tab w:val="left" w:pos="540"/>
        </w:tabs>
        <w:spacing w:before="240" w:after="0" w:line="480" w:lineRule="auto"/>
        <w:ind w:firstLine="360"/>
        <w:jc w:val="both"/>
        <w:rPr>
          <w:rFonts w:ascii="Times New Roman" w:hAnsi="Times New Roman" w:cs="Times New Roman"/>
          <w:bCs/>
          <w:sz w:val="24"/>
          <w:szCs w:val="24"/>
        </w:rPr>
      </w:pPr>
      <w:r w:rsidRPr="0024284F">
        <w:rPr>
          <w:rFonts w:ascii="Times New Roman" w:hAnsi="Times New Roman" w:cs="Times New Roman"/>
          <w:bCs/>
          <w:sz w:val="24"/>
          <w:szCs w:val="24"/>
        </w:rPr>
        <w:t xml:space="preserve">We recognize that the relation between </w:t>
      </w:r>
      <w:r w:rsidR="0015349B">
        <w:rPr>
          <w:rFonts w:ascii="Times New Roman" w:hAnsi="Times New Roman" w:cs="Times New Roman"/>
          <w:bCs/>
          <w:sz w:val="24"/>
          <w:szCs w:val="24"/>
        </w:rPr>
        <w:t>pension size</w:t>
      </w:r>
      <w:r w:rsidRPr="0024284F">
        <w:rPr>
          <w:rFonts w:ascii="Times New Roman" w:hAnsi="Times New Roman" w:cs="Times New Roman"/>
          <w:bCs/>
          <w:sz w:val="24"/>
          <w:szCs w:val="24"/>
        </w:rPr>
        <w:t xml:space="preserve"> and </w:t>
      </w:r>
      <w:r w:rsidR="0015349B">
        <w:rPr>
          <w:rFonts w:ascii="Times New Roman" w:hAnsi="Times New Roman" w:cs="Times New Roman"/>
          <w:bCs/>
          <w:sz w:val="24"/>
          <w:szCs w:val="24"/>
        </w:rPr>
        <w:t>dividend policy</w:t>
      </w:r>
      <w:r w:rsidR="000C5B76">
        <w:rPr>
          <w:rFonts w:ascii="Times New Roman" w:hAnsi="Times New Roman" w:cs="Times New Roman"/>
          <w:bCs/>
          <w:sz w:val="24"/>
          <w:szCs w:val="24"/>
        </w:rPr>
        <w:t>,</w:t>
      </w:r>
      <w:r w:rsidRPr="0024284F">
        <w:rPr>
          <w:rFonts w:ascii="Times New Roman" w:hAnsi="Times New Roman" w:cs="Times New Roman"/>
          <w:bCs/>
          <w:sz w:val="24"/>
          <w:szCs w:val="24"/>
        </w:rPr>
        <w:t xml:space="preserve"> </w:t>
      </w:r>
      <w:r w:rsidR="00271461">
        <w:rPr>
          <w:rFonts w:ascii="Times New Roman" w:hAnsi="Times New Roman" w:cs="Times New Roman"/>
          <w:bCs/>
          <w:sz w:val="24"/>
          <w:szCs w:val="24"/>
        </w:rPr>
        <w:t>observed in Table 3</w:t>
      </w:r>
      <w:r w:rsidR="000C5B76">
        <w:rPr>
          <w:rFonts w:ascii="Times New Roman" w:hAnsi="Times New Roman" w:cs="Times New Roman"/>
          <w:bCs/>
          <w:sz w:val="24"/>
          <w:szCs w:val="24"/>
        </w:rPr>
        <w:t>,</w:t>
      </w:r>
      <w:r w:rsidR="00271461">
        <w:rPr>
          <w:rFonts w:ascii="Times New Roman" w:hAnsi="Times New Roman" w:cs="Times New Roman"/>
          <w:bCs/>
          <w:sz w:val="24"/>
          <w:szCs w:val="24"/>
        </w:rPr>
        <w:t xml:space="preserve"> </w:t>
      </w:r>
      <w:r w:rsidRPr="0024284F">
        <w:rPr>
          <w:rFonts w:ascii="Times New Roman" w:hAnsi="Times New Roman" w:cs="Times New Roman"/>
          <w:bCs/>
          <w:sz w:val="24"/>
          <w:szCs w:val="24"/>
        </w:rPr>
        <w:t xml:space="preserve">could involve </w:t>
      </w:r>
      <w:proofErr w:type="spellStart"/>
      <w:r w:rsidRPr="0024284F">
        <w:rPr>
          <w:rFonts w:ascii="Times New Roman" w:hAnsi="Times New Roman" w:cs="Times New Roman"/>
          <w:bCs/>
          <w:sz w:val="24"/>
          <w:szCs w:val="24"/>
        </w:rPr>
        <w:t>endogeneity</w:t>
      </w:r>
      <w:proofErr w:type="spellEnd"/>
      <w:r w:rsidRPr="0024284F">
        <w:rPr>
          <w:rFonts w:ascii="Times New Roman" w:hAnsi="Times New Roman" w:cs="Times New Roman"/>
          <w:bCs/>
          <w:sz w:val="24"/>
          <w:szCs w:val="24"/>
        </w:rPr>
        <w:t xml:space="preserve"> bias. That is, firms </w:t>
      </w:r>
      <w:r w:rsidR="0015349B">
        <w:rPr>
          <w:rFonts w:ascii="Times New Roman" w:hAnsi="Times New Roman" w:cs="Times New Roman"/>
          <w:bCs/>
          <w:sz w:val="24"/>
          <w:szCs w:val="24"/>
        </w:rPr>
        <w:t>that typically maintain a lower level of dividend</w:t>
      </w:r>
      <w:r w:rsidR="000C5B76">
        <w:rPr>
          <w:rFonts w:ascii="Times New Roman" w:hAnsi="Times New Roman" w:cs="Times New Roman"/>
          <w:bCs/>
          <w:sz w:val="24"/>
          <w:szCs w:val="24"/>
        </w:rPr>
        <w:t>s</w:t>
      </w:r>
      <w:r w:rsidR="0015349B">
        <w:rPr>
          <w:rFonts w:ascii="Times New Roman" w:hAnsi="Times New Roman" w:cs="Times New Roman"/>
          <w:bCs/>
          <w:sz w:val="24"/>
          <w:szCs w:val="24"/>
        </w:rPr>
        <w:t xml:space="preserve"> have </w:t>
      </w:r>
      <w:r w:rsidR="00271461">
        <w:rPr>
          <w:rFonts w:ascii="Times New Roman" w:hAnsi="Times New Roman" w:cs="Times New Roman"/>
          <w:bCs/>
          <w:sz w:val="24"/>
          <w:szCs w:val="24"/>
        </w:rPr>
        <w:t>larger</w:t>
      </w:r>
      <w:r w:rsidR="0015349B">
        <w:rPr>
          <w:rFonts w:ascii="Times New Roman" w:hAnsi="Times New Roman" w:cs="Times New Roman"/>
          <w:bCs/>
          <w:sz w:val="24"/>
          <w:szCs w:val="24"/>
        </w:rPr>
        <w:t xml:space="preserve"> </w:t>
      </w:r>
      <w:r w:rsidR="00271461">
        <w:rPr>
          <w:rFonts w:ascii="Times New Roman" w:hAnsi="Times New Roman" w:cs="Times New Roman"/>
          <w:bCs/>
          <w:sz w:val="24"/>
          <w:szCs w:val="24"/>
        </w:rPr>
        <w:t xml:space="preserve">internal </w:t>
      </w:r>
      <w:r w:rsidR="0015349B">
        <w:rPr>
          <w:rFonts w:ascii="Times New Roman" w:hAnsi="Times New Roman" w:cs="Times New Roman"/>
          <w:bCs/>
          <w:sz w:val="24"/>
          <w:szCs w:val="24"/>
        </w:rPr>
        <w:t>funds available</w:t>
      </w:r>
      <w:r w:rsidR="000C5B76">
        <w:rPr>
          <w:rFonts w:ascii="Times New Roman" w:hAnsi="Times New Roman" w:cs="Times New Roman"/>
          <w:bCs/>
          <w:sz w:val="24"/>
          <w:szCs w:val="24"/>
        </w:rPr>
        <w:t>,</w:t>
      </w:r>
      <w:r w:rsidR="0015349B">
        <w:rPr>
          <w:rFonts w:ascii="Times New Roman" w:hAnsi="Times New Roman" w:cs="Times New Roman"/>
          <w:bCs/>
          <w:sz w:val="24"/>
          <w:szCs w:val="24"/>
        </w:rPr>
        <w:t xml:space="preserve"> and therefore can direct more cash into executive pension plans. </w:t>
      </w:r>
      <w:r w:rsidR="00094B69" w:rsidRPr="00094B69">
        <w:rPr>
          <w:rFonts w:ascii="Times New Roman" w:hAnsi="Times New Roman" w:cs="Times New Roman"/>
          <w:bCs/>
          <w:sz w:val="24"/>
          <w:szCs w:val="24"/>
        </w:rPr>
        <w:t xml:space="preserve">To address the </w:t>
      </w:r>
      <w:proofErr w:type="spellStart"/>
      <w:r w:rsidR="00094B69" w:rsidRPr="00094B69">
        <w:rPr>
          <w:rFonts w:ascii="Times New Roman" w:hAnsi="Times New Roman" w:cs="Times New Roman"/>
          <w:bCs/>
          <w:sz w:val="24"/>
          <w:szCs w:val="24"/>
        </w:rPr>
        <w:t>endogeneity</w:t>
      </w:r>
      <w:proofErr w:type="spellEnd"/>
      <w:r w:rsidR="00094B69" w:rsidRPr="00094B69">
        <w:rPr>
          <w:rFonts w:ascii="Times New Roman" w:hAnsi="Times New Roman" w:cs="Times New Roman"/>
          <w:bCs/>
          <w:sz w:val="24"/>
          <w:szCs w:val="24"/>
        </w:rPr>
        <w:t xml:space="preserve"> concern</w:t>
      </w:r>
      <w:r w:rsidR="00E26222">
        <w:rPr>
          <w:rFonts w:ascii="Times New Roman" w:hAnsi="Times New Roman" w:cs="Times New Roman"/>
          <w:bCs/>
          <w:sz w:val="24"/>
          <w:szCs w:val="24"/>
        </w:rPr>
        <w:t>,</w:t>
      </w:r>
      <w:r w:rsidR="00094B69" w:rsidRPr="00094B69">
        <w:rPr>
          <w:rFonts w:ascii="Times New Roman" w:hAnsi="Times New Roman" w:cs="Times New Roman"/>
          <w:bCs/>
          <w:sz w:val="24"/>
          <w:szCs w:val="24"/>
        </w:rPr>
        <w:t xml:space="preserve"> we employ a two-stage least squares (2SLS) regres</w:t>
      </w:r>
      <w:r w:rsidR="00094B69">
        <w:rPr>
          <w:rFonts w:ascii="Times New Roman" w:hAnsi="Times New Roman" w:cs="Times New Roman"/>
          <w:bCs/>
          <w:sz w:val="24"/>
          <w:szCs w:val="24"/>
        </w:rPr>
        <w:t xml:space="preserve">sion.  </w:t>
      </w:r>
    </w:p>
    <w:p w:rsidR="008D1E65" w:rsidRDefault="00094B69" w:rsidP="007B243F">
      <w:pPr>
        <w:tabs>
          <w:tab w:val="left" w:pos="360"/>
          <w:tab w:val="left" w:pos="450"/>
          <w:tab w:val="left" w:pos="540"/>
        </w:tabs>
        <w:spacing w:before="240"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We use two instrumental variables that are </w:t>
      </w:r>
      <w:r w:rsidRPr="00094B69">
        <w:rPr>
          <w:rFonts w:ascii="Times New Roman" w:hAnsi="Times New Roman" w:cs="Times New Roman"/>
          <w:bCs/>
          <w:sz w:val="24"/>
          <w:szCs w:val="24"/>
        </w:rPr>
        <w:t xml:space="preserve">uniquely </w:t>
      </w:r>
      <w:r>
        <w:rPr>
          <w:rFonts w:ascii="Times New Roman" w:hAnsi="Times New Roman" w:cs="Times New Roman"/>
          <w:bCs/>
          <w:sz w:val="24"/>
          <w:szCs w:val="24"/>
        </w:rPr>
        <w:t>associated with</w:t>
      </w:r>
      <w:r w:rsidRPr="00094B69">
        <w:rPr>
          <w:rFonts w:ascii="Times New Roman" w:hAnsi="Times New Roman" w:cs="Times New Roman"/>
          <w:bCs/>
          <w:sz w:val="24"/>
          <w:szCs w:val="24"/>
        </w:rPr>
        <w:t xml:space="preserve"> compensation leverage and </w:t>
      </w:r>
      <w:r>
        <w:rPr>
          <w:rFonts w:ascii="Times New Roman" w:hAnsi="Times New Roman" w:cs="Times New Roman"/>
          <w:bCs/>
          <w:sz w:val="24"/>
          <w:szCs w:val="24"/>
        </w:rPr>
        <w:t xml:space="preserve">inside debt, and not with </w:t>
      </w:r>
      <w:r w:rsidRPr="00094B69">
        <w:rPr>
          <w:rFonts w:ascii="Times New Roman" w:hAnsi="Times New Roman" w:cs="Times New Roman"/>
          <w:bCs/>
          <w:sz w:val="24"/>
          <w:szCs w:val="24"/>
        </w:rPr>
        <w:t xml:space="preserve">dividend </w:t>
      </w:r>
      <w:r>
        <w:rPr>
          <w:rFonts w:ascii="Times New Roman" w:hAnsi="Times New Roman" w:cs="Times New Roman"/>
          <w:bCs/>
          <w:sz w:val="24"/>
          <w:szCs w:val="24"/>
        </w:rPr>
        <w:t>policy. The first is</w:t>
      </w:r>
      <w:r w:rsidRPr="00094B69">
        <w:rPr>
          <w:rFonts w:ascii="Times New Roman" w:hAnsi="Times New Roman" w:cs="Times New Roman"/>
          <w:bCs/>
          <w:sz w:val="24"/>
          <w:szCs w:val="24"/>
        </w:rPr>
        <w:t xml:space="preserve"> executive age</w:t>
      </w:r>
      <w:r w:rsidR="00E26222">
        <w:rPr>
          <w:rFonts w:ascii="Times New Roman" w:hAnsi="Times New Roman" w:cs="Times New Roman"/>
          <w:bCs/>
          <w:sz w:val="24"/>
          <w:szCs w:val="24"/>
        </w:rPr>
        <w:t xml:space="preserve">, </w:t>
      </w:r>
      <w:r w:rsidRPr="00094B69">
        <w:rPr>
          <w:rFonts w:ascii="Times New Roman" w:hAnsi="Times New Roman" w:cs="Times New Roman"/>
          <w:bCs/>
          <w:sz w:val="24"/>
          <w:szCs w:val="24"/>
        </w:rPr>
        <w:t>which</w:t>
      </w:r>
      <w:r w:rsidR="00E26222">
        <w:rPr>
          <w:rFonts w:ascii="Times New Roman" w:hAnsi="Times New Roman" w:cs="Times New Roman"/>
          <w:bCs/>
          <w:sz w:val="24"/>
          <w:szCs w:val="24"/>
        </w:rPr>
        <w:t xml:space="preserve"> </w:t>
      </w:r>
      <w:r w:rsidR="006E0E6C">
        <w:rPr>
          <w:rFonts w:ascii="Times New Roman" w:hAnsi="Times New Roman" w:cs="Times New Roman"/>
          <w:bCs/>
          <w:sz w:val="24"/>
          <w:szCs w:val="24"/>
        </w:rPr>
        <w:t xml:space="preserve">tends to rise </w:t>
      </w:r>
      <w:r w:rsidR="00BB7E16">
        <w:rPr>
          <w:rFonts w:ascii="Times New Roman" w:hAnsi="Times New Roman" w:cs="Times New Roman"/>
          <w:bCs/>
          <w:sz w:val="24"/>
          <w:szCs w:val="24"/>
        </w:rPr>
        <w:t>with</w:t>
      </w:r>
      <w:r w:rsidR="006E0E6C">
        <w:rPr>
          <w:rFonts w:ascii="Times New Roman" w:hAnsi="Times New Roman" w:cs="Times New Roman"/>
          <w:bCs/>
          <w:sz w:val="24"/>
          <w:szCs w:val="24"/>
        </w:rPr>
        <w:t xml:space="preserve"> pension </w:t>
      </w:r>
      <w:r w:rsidR="00BB7E16">
        <w:rPr>
          <w:rFonts w:ascii="Times New Roman" w:hAnsi="Times New Roman" w:cs="Times New Roman"/>
          <w:bCs/>
          <w:sz w:val="24"/>
          <w:szCs w:val="24"/>
        </w:rPr>
        <w:t>size</w:t>
      </w:r>
      <w:r w:rsidR="006E0E6C">
        <w:rPr>
          <w:rFonts w:ascii="Times New Roman" w:hAnsi="Times New Roman" w:cs="Times New Roman"/>
          <w:bCs/>
          <w:sz w:val="24"/>
          <w:szCs w:val="24"/>
        </w:rPr>
        <w:t xml:space="preserve">. We use the CEO’s age and the average age of all executives. </w:t>
      </w:r>
      <w:r w:rsidR="00E26222">
        <w:rPr>
          <w:rFonts w:ascii="Times New Roman" w:hAnsi="Times New Roman" w:cs="Times New Roman"/>
          <w:bCs/>
          <w:sz w:val="24"/>
          <w:szCs w:val="24"/>
        </w:rPr>
        <w:t>The second is</w:t>
      </w:r>
      <w:r w:rsidRPr="00094B69">
        <w:rPr>
          <w:rFonts w:ascii="Times New Roman" w:hAnsi="Times New Roman" w:cs="Times New Roman"/>
          <w:bCs/>
          <w:sz w:val="24"/>
          <w:szCs w:val="24"/>
        </w:rPr>
        <w:t xml:space="preserve"> ‘M’, a multiplicative factor that describes the ratio of pension benefits earned per dollar of compensation. Firms with higher ‘M’ values allocate more money per dollar to pension benefits that those with low ‘M’ values. </w:t>
      </w:r>
      <w:r w:rsidR="006E0E6C">
        <w:rPr>
          <w:rFonts w:ascii="Times New Roman" w:hAnsi="Times New Roman" w:cs="Times New Roman"/>
          <w:bCs/>
          <w:sz w:val="24"/>
          <w:szCs w:val="24"/>
        </w:rPr>
        <w:t xml:space="preserve">‘M’ is the same for the CEO and all executive measures, as </w:t>
      </w:r>
      <w:r w:rsidR="006E0E6C" w:rsidRPr="006E0E6C">
        <w:rPr>
          <w:rFonts w:ascii="Times New Roman" w:hAnsi="Times New Roman" w:cs="Times New Roman"/>
          <w:bCs/>
          <w:sz w:val="24"/>
          <w:szCs w:val="24"/>
        </w:rPr>
        <w:t xml:space="preserve">all executives </w:t>
      </w:r>
      <w:r w:rsidR="006E0E6C">
        <w:rPr>
          <w:rFonts w:ascii="Times New Roman" w:hAnsi="Times New Roman" w:cs="Times New Roman"/>
          <w:bCs/>
          <w:sz w:val="24"/>
          <w:szCs w:val="24"/>
        </w:rPr>
        <w:t xml:space="preserve">in a firm </w:t>
      </w:r>
      <w:r w:rsidR="006E0E6C" w:rsidRPr="006E0E6C">
        <w:rPr>
          <w:rFonts w:ascii="Times New Roman" w:hAnsi="Times New Roman" w:cs="Times New Roman"/>
          <w:bCs/>
          <w:sz w:val="24"/>
          <w:szCs w:val="24"/>
        </w:rPr>
        <w:t>are usually under the same executive pension plan</w:t>
      </w:r>
      <w:r w:rsidR="006E0E6C">
        <w:rPr>
          <w:rFonts w:ascii="Times New Roman" w:hAnsi="Times New Roman" w:cs="Times New Roman"/>
          <w:bCs/>
          <w:sz w:val="24"/>
          <w:szCs w:val="24"/>
        </w:rPr>
        <w:t xml:space="preserve">. </w:t>
      </w:r>
      <w:r w:rsidR="00F75C3C" w:rsidRPr="00F75C3C">
        <w:rPr>
          <w:rFonts w:ascii="Times New Roman" w:hAnsi="Times New Roman" w:cs="Times New Roman"/>
          <w:bCs/>
          <w:sz w:val="24"/>
          <w:szCs w:val="24"/>
        </w:rPr>
        <w:t xml:space="preserve">We confirm the validity of these </w:t>
      </w:r>
      <w:r w:rsidR="00F75C3C" w:rsidRPr="00F75C3C">
        <w:rPr>
          <w:rFonts w:ascii="Times New Roman" w:hAnsi="Times New Roman" w:cs="Times New Roman"/>
          <w:bCs/>
          <w:sz w:val="24"/>
          <w:szCs w:val="24"/>
        </w:rPr>
        <w:lastRenderedPageBreak/>
        <w:t>instruments by applying a set of tests (</w:t>
      </w:r>
      <w:proofErr w:type="spellStart"/>
      <w:r w:rsidR="00F75C3C" w:rsidRPr="00F75C3C">
        <w:rPr>
          <w:rFonts w:ascii="Times New Roman" w:hAnsi="Times New Roman" w:cs="Times New Roman"/>
          <w:bCs/>
          <w:sz w:val="24"/>
          <w:szCs w:val="24"/>
        </w:rPr>
        <w:t>Kleibergen</w:t>
      </w:r>
      <w:proofErr w:type="spellEnd"/>
      <w:r w:rsidR="00AC5993">
        <w:rPr>
          <w:rFonts w:ascii="Times New Roman" w:hAnsi="Times New Roman" w:cs="Times New Roman"/>
          <w:bCs/>
          <w:sz w:val="24"/>
          <w:szCs w:val="24"/>
        </w:rPr>
        <w:t xml:space="preserve"> and </w:t>
      </w:r>
      <w:proofErr w:type="spellStart"/>
      <w:r w:rsidR="00BE533F">
        <w:rPr>
          <w:rFonts w:ascii="Times New Roman" w:hAnsi="Times New Roman" w:cs="Times New Roman"/>
          <w:bCs/>
          <w:sz w:val="24"/>
          <w:szCs w:val="24"/>
        </w:rPr>
        <w:t>Paap</w:t>
      </w:r>
      <w:proofErr w:type="spellEnd"/>
      <w:r w:rsidR="00BE533F">
        <w:rPr>
          <w:rFonts w:ascii="Times New Roman" w:hAnsi="Times New Roman" w:cs="Times New Roman"/>
          <w:bCs/>
          <w:sz w:val="24"/>
          <w:szCs w:val="24"/>
        </w:rPr>
        <w:t xml:space="preserve"> (2006) </w:t>
      </w:r>
      <w:r w:rsidR="00BE533F" w:rsidRPr="00BE533F">
        <w:rPr>
          <w:rFonts w:ascii="Times New Roman" w:hAnsi="Times New Roman" w:cs="Times New Roman"/>
          <w:bCs/>
          <w:i/>
          <w:sz w:val="24"/>
          <w:szCs w:val="24"/>
        </w:rPr>
        <w:t>LM</w:t>
      </w:r>
      <w:r w:rsidR="00BE533F">
        <w:rPr>
          <w:rFonts w:ascii="Times New Roman" w:hAnsi="Times New Roman" w:cs="Times New Roman"/>
          <w:bCs/>
          <w:sz w:val="24"/>
          <w:szCs w:val="24"/>
        </w:rPr>
        <w:t>-</w:t>
      </w:r>
      <w:r w:rsidR="00F75C3C" w:rsidRPr="00F75C3C">
        <w:rPr>
          <w:rFonts w:ascii="Times New Roman" w:hAnsi="Times New Roman" w:cs="Times New Roman"/>
          <w:bCs/>
          <w:sz w:val="24"/>
          <w:szCs w:val="24"/>
        </w:rPr>
        <w:t>statistic, Hansen</w:t>
      </w:r>
      <w:r w:rsidR="00AC5993">
        <w:rPr>
          <w:rFonts w:ascii="Times New Roman" w:hAnsi="Times New Roman" w:cs="Times New Roman"/>
          <w:bCs/>
          <w:sz w:val="24"/>
          <w:szCs w:val="24"/>
        </w:rPr>
        <w:t>, Heaton</w:t>
      </w:r>
      <w:r w:rsidR="005863F0">
        <w:rPr>
          <w:rFonts w:ascii="Times New Roman" w:hAnsi="Times New Roman" w:cs="Times New Roman"/>
          <w:bCs/>
          <w:sz w:val="24"/>
          <w:szCs w:val="24"/>
        </w:rPr>
        <w:t>,</w:t>
      </w:r>
      <w:r w:rsidR="00AC5993">
        <w:rPr>
          <w:rFonts w:ascii="Times New Roman" w:hAnsi="Times New Roman" w:cs="Times New Roman"/>
          <w:bCs/>
          <w:sz w:val="24"/>
          <w:szCs w:val="24"/>
        </w:rPr>
        <w:t xml:space="preserve"> and</w:t>
      </w:r>
      <w:r w:rsidR="005863F0">
        <w:rPr>
          <w:rFonts w:ascii="Times New Roman" w:hAnsi="Times New Roman" w:cs="Times New Roman"/>
          <w:bCs/>
          <w:sz w:val="24"/>
          <w:szCs w:val="24"/>
        </w:rPr>
        <w:t xml:space="preserve"> </w:t>
      </w:r>
      <w:proofErr w:type="spellStart"/>
      <w:r w:rsidR="005863F0">
        <w:rPr>
          <w:rFonts w:ascii="Times New Roman" w:hAnsi="Times New Roman" w:cs="Times New Roman"/>
          <w:bCs/>
          <w:sz w:val="24"/>
          <w:szCs w:val="24"/>
        </w:rPr>
        <w:t>Yaron</w:t>
      </w:r>
      <w:proofErr w:type="spellEnd"/>
      <w:r w:rsidR="00BE533F">
        <w:rPr>
          <w:rFonts w:ascii="Times New Roman" w:hAnsi="Times New Roman" w:cs="Times New Roman"/>
          <w:bCs/>
          <w:sz w:val="24"/>
          <w:szCs w:val="24"/>
        </w:rPr>
        <w:t xml:space="preserve"> (1996) </w:t>
      </w:r>
      <w:r w:rsidR="00BE533F" w:rsidRPr="00BE533F">
        <w:rPr>
          <w:rFonts w:ascii="Times New Roman" w:hAnsi="Times New Roman" w:cs="Times New Roman"/>
          <w:bCs/>
          <w:i/>
          <w:sz w:val="24"/>
          <w:szCs w:val="24"/>
        </w:rPr>
        <w:t>J</w:t>
      </w:r>
      <w:r w:rsidR="00BE533F">
        <w:rPr>
          <w:rFonts w:ascii="Times New Roman" w:hAnsi="Times New Roman" w:cs="Times New Roman"/>
          <w:bCs/>
          <w:sz w:val="24"/>
          <w:szCs w:val="24"/>
        </w:rPr>
        <w:t>-</w:t>
      </w:r>
      <w:r w:rsidR="00F75C3C" w:rsidRPr="00F75C3C">
        <w:rPr>
          <w:rFonts w:ascii="Times New Roman" w:hAnsi="Times New Roman" w:cs="Times New Roman"/>
          <w:bCs/>
          <w:sz w:val="24"/>
          <w:szCs w:val="24"/>
        </w:rPr>
        <w:t xml:space="preserve">Statistic, </w:t>
      </w:r>
      <w:proofErr w:type="spellStart"/>
      <w:r w:rsidR="00F75C3C" w:rsidRPr="00F75C3C">
        <w:rPr>
          <w:rFonts w:ascii="Times New Roman" w:hAnsi="Times New Roman" w:cs="Times New Roman"/>
          <w:bCs/>
          <w:sz w:val="24"/>
          <w:szCs w:val="24"/>
        </w:rPr>
        <w:t>Cragg</w:t>
      </w:r>
      <w:proofErr w:type="spellEnd"/>
      <w:r w:rsidR="005863F0">
        <w:rPr>
          <w:rFonts w:ascii="Times New Roman" w:hAnsi="Times New Roman" w:cs="Times New Roman"/>
          <w:bCs/>
          <w:sz w:val="24"/>
          <w:szCs w:val="24"/>
        </w:rPr>
        <w:t xml:space="preserve"> and </w:t>
      </w:r>
      <w:r w:rsidR="00BE533F">
        <w:rPr>
          <w:rFonts w:ascii="Times New Roman" w:hAnsi="Times New Roman" w:cs="Times New Roman"/>
          <w:bCs/>
          <w:sz w:val="24"/>
          <w:szCs w:val="24"/>
        </w:rPr>
        <w:t xml:space="preserve">Donald (1993) Wald </w:t>
      </w:r>
      <w:r w:rsidR="00BE533F" w:rsidRPr="00BE533F">
        <w:rPr>
          <w:rFonts w:ascii="Times New Roman" w:hAnsi="Times New Roman" w:cs="Times New Roman"/>
          <w:bCs/>
          <w:i/>
          <w:sz w:val="24"/>
          <w:szCs w:val="24"/>
        </w:rPr>
        <w:t>F</w:t>
      </w:r>
      <w:r w:rsidR="00BE533F">
        <w:rPr>
          <w:rFonts w:ascii="Times New Roman" w:hAnsi="Times New Roman" w:cs="Times New Roman"/>
          <w:bCs/>
          <w:sz w:val="24"/>
          <w:szCs w:val="24"/>
        </w:rPr>
        <w:t>-</w:t>
      </w:r>
      <w:r w:rsidR="00F75C3C" w:rsidRPr="00F75C3C">
        <w:rPr>
          <w:rFonts w:ascii="Times New Roman" w:hAnsi="Times New Roman" w:cs="Times New Roman"/>
          <w:bCs/>
          <w:sz w:val="24"/>
          <w:szCs w:val="24"/>
        </w:rPr>
        <w:t xml:space="preserve">statistic); and we find the instruments to be appropriate following the procedure outlined by Baum, Schaffer, and </w:t>
      </w:r>
      <w:proofErr w:type="spellStart"/>
      <w:r w:rsidR="00F75C3C" w:rsidRPr="00F75C3C">
        <w:rPr>
          <w:rFonts w:ascii="Times New Roman" w:hAnsi="Times New Roman" w:cs="Times New Roman"/>
          <w:bCs/>
          <w:sz w:val="24"/>
          <w:szCs w:val="24"/>
        </w:rPr>
        <w:t>Stillman</w:t>
      </w:r>
      <w:proofErr w:type="spellEnd"/>
      <w:r w:rsidR="00F75C3C" w:rsidRPr="00F75C3C">
        <w:rPr>
          <w:rFonts w:ascii="Times New Roman" w:hAnsi="Times New Roman" w:cs="Times New Roman"/>
          <w:bCs/>
          <w:sz w:val="24"/>
          <w:szCs w:val="24"/>
        </w:rPr>
        <w:t xml:space="preserve"> (2003).</w:t>
      </w:r>
    </w:p>
    <w:p w:rsidR="0024284F" w:rsidRDefault="00023FFD" w:rsidP="007B243F">
      <w:pPr>
        <w:tabs>
          <w:tab w:val="left" w:pos="360"/>
          <w:tab w:val="left" w:pos="450"/>
          <w:tab w:val="left" w:pos="540"/>
        </w:tabs>
        <w:spacing w:before="240" w:after="0" w:line="480" w:lineRule="auto"/>
        <w:ind w:firstLine="360"/>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Table 4 </w:t>
      </w:r>
      <w:r w:rsidR="00091F9F">
        <w:rPr>
          <w:rFonts w:ascii="Times New Roman" w:hAnsi="Times New Roman" w:cs="Times New Roman"/>
          <w:bCs/>
          <w:sz w:val="24"/>
          <w:szCs w:val="24"/>
        </w:rPr>
        <w:t>shows the results of the second-</w:t>
      </w:r>
      <w:r>
        <w:rPr>
          <w:rFonts w:ascii="Times New Roman" w:hAnsi="Times New Roman" w:cs="Times New Roman"/>
          <w:bCs/>
          <w:sz w:val="24"/>
          <w:szCs w:val="24"/>
        </w:rPr>
        <w:t xml:space="preserve">stage regression. </w:t>
      </w:r>
      <w:r w:rsidR="00C76B9C" w:rsidRPr="00C76B9C">
        <w:rPr>
          <w:rFonts w:ascii="Times New Roman" w:hAnsi="Times New Roman" w:cs="Times New Roman"/>
          <w:bCs/>
          <w:sz w:val="24"/>
          <w:szCs w:val="24"/>
        </w:rPr>
        <w:t xml:space="preserve">The </w:t>
      </w:r>
      <w:r w:rsidR="000C5B76">
        <w:rPr>
          <w:rFonts w:ascii="Times New Roman" w:hAnsi="Times New Roman" w:cs="Times New Roman"/>
          <w:bCs/>
          <w:sz w:val="24"/>
          <w:szCs w:val="24"/>
        </w:rPr>
        <w:t xml:space="preserve">regression coefficients </w:t>
      </w:r>
      <w:r w:rsidR="00C76B9C">
        <w:rPr>
          <w:rFonts w:ascii="Times New Roman" w:hAnsi="Times New Roman" w:cs="Times New Roman"/>
          <w:bCs/>
          <w:sz w:val="24"/>
          <w:szCs w:val="24"/>
        </w:rPr>
        <w:t>are</w:t>
      </w:r>
      <w:r w:rsidR="00C76B9C" w:rsidRPr="00C76B9C">
        <w:rPr>
          <w:rFonts w:ascii="Times New Roman" w:hAnsi="Times New Roman" w:cs="Times New Roman"/>
          <w:bCs/>
          <w:sz w:val="24"/>
          <w:szCs w:val="24"/>
        </w:rPr>
        <w:t xml:space="preserve"> </w:t>
      </w:r>
      <w:r w:rsidR="001A7C27">
        <w:rPr>
          <w:rFonts w:ascii="Times New Roman" w:hAnsi="Times New Roman" w:cs="Times New Roman"/>
          <w:bCs/>
          <w:sz w:val="24"/>
          <w:szCs w:val="24"/>
        </w:rPr>
        <w:t>generally</w:t>
      </w:r>
      <w:r w:rsidR="00C76B9C" w:rsidRPr="00C76B9C">
        <w:rPr>
          <w:rFonts w:ascii="Times New Roman" w:hAnsi="Times New Roman" w:cs="Times New Roman"/>
          <w:bCs/>
          <w:sz w:val="24"/>
          <w:szCs w:val="24"/>
        </w:rPr>
        <w:t xml:space="preserve"> consist</w:t>
      </w:r>
      <w:r w:rsidR="00C76B9C">
        <w:rPr>
          <w:rFonts w:ascii="Times New Roman" w:hAnsi="Times New Roman" w:cs="Times New Roman"/>
          <w:bCs/>
          <w:sz w:val="24"/>
          <w:szCs w:val="24"/>
        </w:rPr>
        <w:t>ent with our previous estimates.</w:t>
      </w:r>
      <w:r w:rsidR="00C76B9C" w:rsidRPr="00C76B9C">
        <w:rPr>
          <w:rFonts w:ascii="Times New Roman" w:hAnsi="Times New Roman" w:cs="Times New Roman"/>
          <w:bCs/>
          <w:sz w:val="24"/>
          <w:szCs w:val="24"/>
        </w:rPr>
        <w:t xml:space="preserve"> </w:t>
      </w:r>
      <w:r w:rsidR="004D7BDA">
        <w:rPr>
          <w:rFonts w:ascii="Times New Roman" w:hAnsi="Times New Roman" w:cs="Times New Roman"/>
          <w:bCs/>
          <w:sz w:val="24"/>
          <w:szCs w:val="24"/>
        </w:rPr>
        <w:t>T</w:t>
      </w:r>
      <w:r w:rsidR="00C76B9C">
        <w:rPr>
          <w:rFonts w:ascii="Times New Roman" w:hAnsi="Times New Roman" w:cs="Times New Roman"/>
          <w:bCs/>
          <w:sz w:val="24"/>
          <w:szCs w:val="24"/>
        </w:rPr>
        <w:t xml:space="preserve">he effect of </w:t>
      </w:r>
      <w:r>
        <w:rPr>
          <w:rFonts w:ascii="Times New Roman" w:hAnsi="Times New Roman" w:cs="Times New Roman"/>
          <w:bCs/>
          <w:sz w:val="24"/>
          <w:szCs w:val="24"/>
        </w:rPr>
        <w:t>compensation leverage</w:t>
      </w:r>
      <w:r w:rsidR="00C76B9C">
        <w:rPr>
          <w:rFonts w:ascii="Times New Roman" w:hAnsi="Times New Roman" w:cs="Times New Roman"/>
          <w:bCs/>
          <w:sz w:val="24"/>
          <w:szCs w:val="24"/>
        </w:rPr>
        <w:t xml:space="preserve"> is </w:t>
      </w:r>
      <w:r w:rsidR="005D4C8B">
        <w:rPr>
          <w:rFonts w:ascii="Times New Roman" w:hAnsi="Times New Roman" w:cs="Times New Roman"/>
          <w:bCs/>
          <w:sz w:val="24"/>
          <w:szCs w:val="24"/>
        </w:rPr>
        <w:t xml:space="preserve">statistically </w:t>
      </w:r>
      <w:r>
        <w:rPr>
          <w:rFonts w:ascii="Times New Roman" w:hAnsi="Times New Roman" w:cs="Times New Roman"/>
          <w:bCs/>
          <w:sz w:val="24"/>
          <w:szCs w:val="24"/>
        </w:rPr>
        <w:t xml:space="preserve">weaker than </w:t>
      </w:r>
      <w:r w:rsidR="005D4C8B">
        <w:rPr>
          <w:rFonts w:ascii="Times New Roman" w:hAnsi="Times New Roman" w:cs="Times New Roman"/>
          <w:bCs/>
          <w:sz w:val="24"/>
          <w:szCs w:val="24"/>
        </w:rPr>
        <w:t xml:space="preserve">that observed </w:t>
      </w:r>
      <w:r>
        <w:rPr>
          <w:rFonts w:ascii="Times New Roman" w:hAnsi="Times New Roman" w:cs="Times New Roman"/>
          <w:bCs/>
          <w:sz w:val="24"/>
          <w:szCs w:val="24"/>
        </w:rPr>
        <w:t>in Table 3, but still significant (</w:t>
      </w:r>
      <w:r w:rsidRPr="00023FFD">
        <w:rPr>
          <w:rFonts w:ascii="Times New Roman" w:hAnsi="Times New Roman" w:cs="Times New Roman"/>
          <w:bCs/>
          <w:i/>
          <w:sz w:val="24"/>
          <w:szCs w:val="24"/>
        </w:rPr>
        <w:t>t</w:t>
      </w:r>
      <w:r>
        <w:rPr>
          <w:rFonts w:ascii="Times New Roman" w:hAnsi="Times New Roman" w:cs="Times New Roman"/>
          <w:bCs/>
          <w:sz w:val="24"/>
          <w:szCs w:val="24"/>
        </w:rPr>
        <w:t>-statistics of -</w:t>
      </w:r>
      <w:r w:rsidR="007C1252">
        <w:rPr>
          <w:rFonts w:ascii="Times New Roman" w:hAnsi="Times New Roman" w:cs="Times New Roman"/>
          <w:bCs/>
          <w:sz w:val="24"/>
          <w:szCs w:val="24"/>
        </w:rPr>
        <w:t>3</w:t>
      </w:r>
      <w:r>
        <w:rPr>
          <w:rFonts w:ascii="Times New Roman" w:hAnsi="Times New Roman" w:cs="Times New Roman"/>
          <w:bCs/>
          <w:sz w:val="24"/>
          <w:szCs w:val="24"/>
        </w:rPr>
        <w:t>.</w:t>
      </w:r>
      <w:r w:rsidR="007C1252">
        <w:rPr>
          <w:rFonts w:ascii="Times New Roman" w:hAnsi="Times New Roman" w:cs="Times New Roman"/>
          <w:bCs/>
          <w:sz w:val="24"/>
          <w:szCs w:val="24"/>
        </w:rPr>
        <w:t>53</w:t>
      </w:r>
      <w:r>
        <w:rPr>
          <w:rFonts w:ascii="Times New Roman" w:hAnsi="Times New Roman" w:cs="Times New Roman"/>
          <w:bCs/>
          <w:sz w:val="24"/>
          <w:szCs w:val="24"/>
        </w:rPr>
        <w:t xml:space="preserve"> and -</w:t>
      </w:r>
      <w:r w:rsidR="007C1252">
        <w:rPr>
          <w:rFonts w:ascii="Times New Roman" w:hAnsi="Times New Roman" w:cs="Times New Roman"/>
          <w:bCs/>
          <w:sz w:val="24"/>
          <w:szCs w:val="24"/>
        </w:rPr>
        <w:t>4</w:t>
      </w:r>
      <w:r>
        <w:rPr>
          <w:rFonts w:ascii="Times New Roman" w:hAnsi="Times New Roman" w:cs="Times New Roman"/>
          <w:bCs/>
          <w:sz w:val="24"/>
          <w:szCs w:val="24"/>
        </w:rPr>
        <w:t>.</w:t>
      </w:r>
      <w:r w:rsidR="007C1252">
        <w:rPr>
          <w:rFonts w:ascii="Times New Roman" w:hAnsi="Times New Roman" w:cs="Times New Roman"/>
          <w:bCs/>
          <w:sz w:val="24"/>
          <w:szCs w:val="24"/>
        </w:rPr>
        <w:t>40</w:t>
      </w:r>
      <w:r>
        <w:rPr>
          <w:rFonts w:ascii="Times New Roman" w:hAnsi="Times New Roman" w:cs="Times New Roman"/>
          <w:bCs/>
          <w:sz w:val="24"/>
          <w:szCs w:val="24"/>
        </w:rPr>
        <w:t>)</w:t>
      </w:r>
      <w:r w:rsidR="005D4C8B">
        <w:rPr>
          <w:rFonts w:ascii="Times New Roman" w:hAnsi="Times New Roman" w:cs="Times New Roman"/>
          <w:bCs/>
          <w:sz w:val="24"/>
          <w:szCs w:val="24"/>
        </w:rPr>
        <w:t xml:space="preserve">. </w:t>
      </w:r>
      <w:r w:rsidR="004D7BDA">
        <w:rPr>
          <w:rFonts w:ascii="Times New Roman" w:hAnsi="Times New Roman" w:cs="Times New Roman"/>
          <w:bCs/>
          <w:sz w:val="24"/>
          <w:szCs w:val="24"/>
        </w:rPr>
        <w:t>Similarly, w</w:t>
      </w:r>
      <w:r w:rsidR="005D4C8B">
        <w:rPr>
          <w:rFonts w:ascii="Times New Roman" w:hAnsi="Times New Roman" w:cs="Times New Roman"/>
          <w:bCs/>
          <w:sz w:val="24"/>
          <w:szCs w:val="24"/>
        </w:rPr>
        <w:t xml:space="preserve">e find </w:t>
      </w:r>
      <w:r w:rsidR="00C76B9C">
        <w:rPr>
          <w:rFonts w:ascii="Times New Roman" w:hAnsi="Times New Roman" w:cs="Times New Roman"/>
          <w:bCs/>
          <w:sz w:val="24"/>
          <w:szCs w:val="24"/>
        </w:rPr>
        <w:t>the effect of</w:t>
      </w:r>
      <w:r>
        <w:rPr>
          <w:rFonts w:ascii="Times New Roman" w:hAnsi="Times New Roman" w:cs="Times New Roman"/>
          <w:bCs/>
          <w:sz w:val="24"/>
          <w:szCs w:val="24"/>
        </w:rPr>
        <w:t xml:space="preserve"> inside debt</w:t>
      </w:r>
      <w:r w:rsidR="005D4C8B">
        <w:rPr>
          <w:rFonts w:ascii="Times New Roman" w:hAnsi="Times New Roman" w:cs="Times New Roman"/>
          <w:bCs/>
          <w:sz w:val="24"/>
          <w:szCs w:val="24"/>
        </w:rPr>
        <w:t xml:space="preserve"> on dividend yield</w:t>
      </w:r>
      <w:r>
        <w:rPr>
          <w:rFonts w:ascii="Times New Roman" w:hAnsi="Times New Roman" w:cs="Times New Roman"/>
          <w:bCs/>
          <w:sz w:val="24"/>
          <w:szCs w:val="24"/>
        </w:rPr>
        <w:t xml:space="preserve"> </w:t>
      </w:r>
      <w:r w:rsidR="005D4C8B">
        <w:rPr>
          <w:rFonts w:ascii="Times New Roman" w:hAnsi="Times New Roman" w:cs="Times New Roman"/>
          <w:bCs/>
          <w:sz w:val="24"/>
          <w:szCs w:val="24"/>
        </w:rPr>
        <w:t xml:space="preserve">to be </w:t>
      </w:r>
      <w:r>
        <w:rPr>
          <w:rFonts w:ascii="Times New Roman" w:hAnsi="Times New Roman" w:cs="Times New Roman"/>
          <w:bCs/>
          <w:sz w:val="24"/>
          <w:szCs w:val="24"/>
        </w:rPr>
        <w:t xml:space="preserve">stronger </w:t>
      </w:r>
      <w:r w:rsidR="005D4C8B">
        <w:rPr>
          <w:rFonts w:ascii="Times New Roman" w:hAnsi="Times New Roman" w:cs="Times New Roman"/>
          <w:bCs/>
          <w:sz w:val="24"/>
          <w:szCs w:val="24"/>
        </w:rPr>
        <w:t xml:space="preserve">with higher </w:t>
      </w:r>
      <w:r w:rsidRPr="00023FFD">
        <w:rPr>
          <w:rFonts w:ascii="Times New Roman" w:hAnsi="Times New Roman" w:cs="Times New Roman"/>
          <w:bCs/>
          <w:i/>
          <w:sz w:val="24"/>
          <w:szCs w:val="24"/>
        </w:rPr>
        <w:t>t</w:t>
      </w:r>
      <w:r>
        <w:rPr>
          <w:rFonts w:ascii="Times New Roman" w:hAnsi="Times New Roman" w:cs="Times New Roman"/>
          <w:bCs/>
          <w:sz w:val="24"/>
          <w:szCs w:val="24"/>
        </w:rPr>
        <w:t>-statistics of -</w:t>
      </w:r>
      <w:r w:rsidR="007C1252">
        <w:rPr>
          <w:rFonts w:ascii="Times New Roman" w:hAnsi="Times New Roman" w:cs="Times New Roman"/>
          <w:bCs/>
          <w:sz w:val="24"/>
          <w:szCs w:val="24"/>
        </w:rPr>
        <w:t>3</w:t>
      </w:r>
      <w:r>
        <w:rPr>
          <w:rFonts w:ascii="Times New Roman" w:hAnsi="Times New Roman" w:cs="Times New Roman"/>
          <w:bCs/>
          <w:sz w:val="24"/>
          <w:szCs w:val="24"/>
        </w:rPr>
        <w:t>.1</w:t>
      </w:r>
      <w:r w:rsidR="007C1252">
        <w:rPr>
          <w:rFonts w:ascii="Times New Roman" w:hAnsi="Times New Roman" w:cs="Times New Roman"/>
          <w:bCs/>
          <w:sz w:val="24"/>
          <w:szCs w:val="24"/>
        </w:rPr>
        <w:t>2</w:t>
      </w:r>
      <w:r>
        <w:rPr>
          <w:rFonts w:ascii="Times New Roman" w:hAnsi="Times New Roman" w:cs="Times New Roman"/>
          <w:bCs/>
          <w:sz w:val="24"/>
          <w:szCs w:val="24"/>
        </w:rPr>
        <w:t xml:space="preserve"> and -</w:t>
      </w:r>
      <w:r w:rsidR="007C1252">
        <w:rPr>
          <w:rFonts w:ascii="Times New Roman" w:hAnsi="Times New Roman" w:cs="Times New Roman"/>
          <w:bCs/>
          <w:sz w:val="24"/>
          <w:szCs w:val="24"/>
        </w:rPr>
        <w:t>3</w:t>
      </w:r>
      <w:r>
        <w:rPr>
          <w:rFonts w:ascii="Times New Roman" w:hAnsi="Times New Roman" w:cs="Times New Roman"/>
          <w:bCs/>
          <w:sz w:val="24"/>
          <w:szCs w:val="24"/>
        </w:rPr>
        <w:t>.</w:t>
      </w:r>
      <w:r w:rsidR="007C1252">
        <w:rPr>
          <w:rFonts w:ascii="Times New Roman" w:hAnsi="Times New Roman" w:cs="Times New Roman"/>
          <w:bCs/>
          <w:sz w:val="24"/>
          <w:szCs w:val="24"/>
        </w:rPr>
        <w:t>99</w:t>
      </w:r>
      <w:r>
        <w:rPr>
          <w:rFonts w:ascii="Times New Roman" w:hAnsi="Times New Roman" w:cs="Times New Roman"/>
          <w:bCs/>
          <w:sz w:val="24"/>
          <w:szCs w:val="24"/>
        </w:rPr>
        <w:t xml:space="preserve">. </w:t>
      </w:r>
      <w:r w:rsidR="00830A22" w:rsidRPr="00830A22">
        <w:rPr>
          <w:rFonts w:ascii="Times New Roman" w:hAnsi="Times New Roman" w:cs="Times New Roman"/>
          <w:bCs/>
          <w:sz w:val="24"/>
          <w:szCs w:val="24"/>
        </w:rPr>
        <w:t xml:space="preserve">These findings </w:t>
      </w:r>
      <w:r w:rsidR="005D4C8B">
        <w:rPr>
          <w:rFonts w:ascii="Times New Roman" w:hAnsi="Times New Roman" w:cs="Times New Roman"/>
          <w:bCs/>
          <w:sz w:val="24"/>
          <w:szCs w:val="24"/>
        </w:rPr>
        <w:t xml:space="preserve">provide support for the proposition </w:t>
      </w:r>
      <w:r w:rsidR="00830A22" w:rsidRPr="00830A22">
        <w:rPr>
          <w:rFonts w:ascii="Times New Roman" w:hAnsi="Times New Roman" w:cs="Times New Roman"/>
          <w:bCs/>
          <w:sz w:val="24"/>
          <w:szCs w:val="24"/>
        </w:rPr>
        <w:t xml:space="preserve">that </w:t>
      </w:r>
      <w:r w:rsidR="005D4C8B">
        <w:rPr>
          <w:rFonts w:ascii="Times New Roman" w:hAnsi="Times New Roman" w:cs="Times New Roman"/>
          <w:bCs/>
          <w:sz w:val="24"/>
          <w:szCs w:val="24"/>
        </w:rPr>
        <w:t xml:space="preserve">there exists a </w:t>
      </w:r>
      <w:r>
        <w:rPr>
          <w:rFonts w:ascii="Times New Roman" w:hAnsi="Times New Roman" w:cs="Times New Roman"/>
          <w:bCs/>
          <w:sz w:val="24"/>
          <w:szCs w:val="24"/>
        </w:rPr>
        <w:t xml:space="preserve">negative </w:t>
      </w:r>
      <w:r w:rsidR="005D4C8B">
        <w:rPr>
          <w:rFonts w:ascii="Times New Roman" w:hAnsi="Times New Roman" w:cs="Times New Roman"/>
          <w:bCs/>
          <w:sz w:val="24"/>
          <w:szCs w:val="24"/>
        </w:rPr>
        <w:t>relationship between</w:t>
      </w:r>
      <w:r>
        <w:rPr>
          <w:rFonts w:ascii="Times New Roman" w:hAnsi="Times New Roman" w:cs="Times New Roman"/>
          <w:bCs/>
          <w:sz w:val="24"/>
          <w:szCs w:val="24"/>
        </w:rPr>
        <w:t xml:space="preserve"> pension value</w:t>
      </w:r>
      <w:r w:rsidR="005D4C8B">
        <w:rPr>
          <w:rFonts w:ascii="Times New Roman" w:hAnsi="Times New Roman" w:cs="Times New Roman"/>
          <w:bCs/>
          <w:sz w:val="24"/>
          <w:szCs w:val="24"/>
        </w:rPr>
        <w:t>s</w:t>
      </w:r>
      <w:r>
        <w:rPr>
          <w:rFonts w:ascii="Times New Roman" w:hAnsi="Times New Roman" w:cs="Times New Roman"/>
          <w:bCs/>
          <w:sz w:val="24"/>
          <w:szCs w:val="24"/>
        </w:rPr>
        <w:t xml:space="preserve"> </w:t>
      </w:r>
      <w:r w:rsidR="005D4C8B">
        <w:rPr>
          <w:rFonts w:ascii="Times New Roman" w:hAnsi="Times New Roman" w:cs="Times New Roman"/>
          <w:bCs/>
          <w:sz w:val="24"/>
          <w:szCs w:val="24"/>
        </w:rPr>
        <w:t xml:space="preserve">and </w:t>
      </w:r>
      <w:r>
        <w:rPr>
          <w:rFonts w:ascii="Times New Roman" w:hAnsi="Times New Roman" w:cs="Times New Roman"/>
          <w:bCs/>
          <w:sz w:val="24"/>
          <w:szCs w:val="24"/>
        </w:rPr>
        <w:t>dividend policy</w:t>
      </w:r>
      <w:r w:rsidR="005D4C8B">
        <w:rPr>
          <w:rFonts w:ascii="Times New Roman" w:hAnsi="Times New Roman" w:cs="Times New Roman"/>
          <w:bCs/>
          <w:sz w:val="24"/>
          <w:szCs w:val="24"/>
        </w:rPr>
        <w:t xml:space="preserve">; furthermore </w:t>
      </w:r>
      <w:r w:rsidR="004D7BDA">
        <w:rPr>
          <w:rFonts w:ascii="Times New Roman" w:hAnsi="Times New Roman" w:cs="Times New Roman"/>
          <w:bCs/>
          <w:sz w:val="24"/>
          <w:szCs w:val="24"/>
        </w:rPr>
        <w:t xml:space="preserve">the results in Table 4 suggest that the </w:t>
      </w:r>
      <w:r w:rsidR="00383E00">
        <w:rPr>
          <w:rFonts w:ascii="Times New Roman" w:hAnsi="Times New Roman" w:cs="Times New Roman"/>
          <w:bCs/>
          <w:sz w:val="24"/>
          <w:szCs w:val="24"/>
        </w:rPr>
        <w:t>relationship</w:t>
      </w:r>
      <w:r w:rsidR="00383E00" w:rsidRPr="00830A22">
        <w:rPr>
          <w:rFonts w:ascii="Times New Roman" w:hAnsi="Times New Roman" w:cs="Times New Roman"/>
          <w:bCs/>
          <w:sz w:val="24"/>
          <w:szCs w:val="24"/>
        </w:rPr>
        <w:t xml:space="preserve"> is</w:t>
      </w:r>
      <w:r w:rsidR="00830A22" w:rsidRPr="00830A22">
        <w:rPr>
          <w:rFonts w:ascii="Times New Roman" w:hAnsi="Times New Roman" w:cs="Times New Roman"/>
          <w:bCs/>
          <w:sz w:val="24"/>
          <w:szCs w:val="24"/>
        </w:rPr>
        <w:t xml:space="preserve"> not driven by </w:t>
      </w:r>
      <w:proofErr w:type="spellStart"/>
      <w:r w:rsidR="00830A22" w:rsidRPr="00830A22">
        <w:rPr>
          <w:rFonts w:ascii="Times New Roman" w:hAnsi="Times New Roman" w:cs="Times New Roman"/>
          <w:bCs/>
          <w:sz w:val="24"/>
          <w:szCs w:val="24"/>
        </w:rPr>
        <w:t>endogeneity</w:t>
      </w:r>
      <w:proofErr w:type="spellEnd"/>
      <w:r w:rsidR="00830A22" w:rsidRPr="00830A22">
        <w:rPr>
          <w:rFonts w:ascii="Times New Roman" w:hAnsi="Times New Roman" w:cs="Times New Roman"/>
          <w:bCs/>
          <w:sz w:val="24"/>
          <w:szCs w:val="24"/>
        </w:rPr>
        <w:t>.</w:t>
      </w:r>
    </w:p>
    <w:p w:rsidR="00E82CCE" w:rsidRDefault="00F27902" w:rsidP="007B243F">
      <w:pPr>
        <w:tabs>
          <w:tab w:val="left" w:pos="360"/>
          <w:tab w:val="left" w:pos="450"/>
          <w:tab w:val="left" w:pos="540"/>
        </w:tabs>
        <w:spacing w:before="240" w:after="0" w:line="480" w:lineRule="auto"/>
        <w:ind w:firstLine="360"/>
        <w:jc w:val="both"/>
        <w:rPr>
          <w:rFonts w:ascii="Times New Roman" w:hAnsi="Times New Roman" w:cs="Times New Roman"/>
          <w:bCs/>
          <w:sz w:val="24"/>
          <w:szCs w:val="24"/>
        </w:rPr>
      </w:pPr>
      <w:r w:rsidRPr="00BC16D4">
        <w:rPr>
          <w:rFonts w:ascii="Times New Roman" w:hAnsi="Times New Roman" w:cs="Times New Roman"/>
          <w:bCs/>
          <w:sz w:val="24"/>
          <w:szCs w:val="24"/>
        </w:rPr>
        <w:t>W</w:t>
      </w:r>
      <w:r w:rsidR="00961B7D" w:rsidRPr="00BC16D4">
        <w:rPr>
          <w:rFonts w:ascii="Times New Roman" w:hAnsi="Times New Roman" w:cs="Times New Roman"/>
          <w:bCs/>
          <w:sz w:val="24"/>
          <w:szCs w:val="24"/>
        </w:rPr>
        <w:t xml:space="preserve">e reexamine </w:t>
      </w:r>
      <w:r w:rsidR="004D7BDA">
        <w:rPr>
          <w:rFonts w:ascii="Times New Roman" w:hAnsi="Times New Roman" w:cs="Times New Roman"/>
          <w:bCs/>
          <w:sz w:val="24"/>
          <w:szCs w:val="24"/>
        </w:rPr>
        <w:t xml:space="preserve">our hypothesis </w:t>
      </w:r>
      <w:r w:rsidR="00961B7D" w:rsidRPr="00BC16D4">
        <w:rPr>
          <w:rFonts w:ascii="Times New Roman" w:hAnsi="Times New Roman" w:cs="Times New Roman"/>
          <w:bCs/>
          <w:sz w:val="24"/>
          <w:szCs w:val="24"/>
        </w:rPr>
        <w:t>using the dividend payout ratio</w:t>
      </w:r>
      <w:r w:rsidR="004D7BDA">
        <w:rPr>
          <w:rFonts w:ascii="Times New Roman" w:hAnsi="Times New Roman" w:cs="Times New Roman"/>
          <w:bCs/>
          <w:sz w:val="24"/>
          <w:szCs w:val="24"/>
        </w:rPr>
        <w:t>,</w:t>
      </w:r>
      <w:r w:rsidR="00961B7D" w:rsidRPr="00BC16D4">
        <w:rPr>
          <w:rFonts w:ascii="Times New Roman" w:hAnsi="Times New Roman" w:cs="Times New Roman"/>
          <w:bCs/>
          <w:sz w:val="24"/>
          <w:szCs w:val="24"/>
        </w:rPr>
        <w:t xml:space="preserve"> </w:t>
      </w:r>
      <w:r w:rsidRPr="00BC16D4">
        <w:rPr>
          <w:rFonts w:ascii="Times New Roman" w:hAnsi="Times New Roman" w:cs="Times New Roman"/>
          <w:bCs/>
          <w:sz w:val="24"/>
          <w:szCs w:val="24"/>
        </w:rPr>
        <w:t>instead of dividend yield</w:t>
      </w:r>
      <w:r w:rsidR="004D7BDA">
        <w:rPr>
          <w:rFonts w:ascii="Times New Roman" w:hAnsi="Times New Roman" w:cs="Times New Roman"/>
          <w:bCs/>
          <w:sz w:val="24"/>
          <w:szCs w:val="24"/>
        </w:rPr>
        <w:t>, as the dependent variable</w:t>
      </w:r>
      <w:r w:rsidR="00961B7D" w:rsidRPr="00BC16D4">
        <w:rPr>
          <w:rFonts w:ascii="Times New Roman" w:hAnsi="Times New Roman" w:cs="Times New Roman"/>
          <w:bCs/>
          <w:sz w:val="24"/>
          <w:szCs w:val="24"/>
        </w:rPr>
        <w:t xml:space="preserve">. Although both dividend yield and dividend payout ratio represent a firm’s dividend policy, they may </w:t>
      </w:r>
      <w:r w:rsidRPr="00BC16D4">
        <w:rPr>
          <w:rFonts w:ascii="Times New Roman" w:hAnsi="Times New Roman" w:cs="Times New Roman"/>
          <w:bCs/>
          <w:sz w:val="24"/>
          <w:szCs w:val="24"/>
        </w:rPr>
        <w:t>be driven by</w:t>
      </w:r>
      <w:r w:rsidR="00961B7D" w:rsidRPr="00BC16D4">
        <w:rPr>
          <w:rFonts w:ascii="Times New Roman" w:hAnsi="Times New Roman" w:cs="Times New Roman"/>
          <w:bCs/>
          <w:sz w:val="24"/>
          <w:szCs w:val="24"/>
        </w:rPr>
        <w:t xml:space="preserve"> different considerations. That is, while the dividend yield is more likely </w:t>
      </w:r>
      <w:r w:rsidR="004D7BDA">
        <w:rPr>
          <w:rFonts w:ascii="Times New Roman" w:hAnsi="Times New Roman" w:cs="Times New Roman"/>
          <w:bCs/>
          <w:sz w:val="24"/>
          <w:szCs w:val="24"/>
        </w:rPr>
        <w:t xml:space="preserve">to be </w:t>
      </w:r>
      <w:r w:rsidR="00961B7D" w:rsidRPr="00BC16D4">
        <w:rPr>
          <w:rFonts w:ascii="Times New Roman" w:hAnsi="Times New Roman" w:cs="Times New Roman"/>
          <w:bCs/>
          <w:sz w:val="24"/>
          <w:szCs w:val="24"/>
        </w:rPr>
        <w:t>driven by investors</w:t>
      </w:r>
      <w:r w:rsidR="004D7BDA">
        <w:rPr>
          <w:rFonts w:ascii="Times New Roman" w:hAnsi="Times New Roman" w:cs="Times New Roman"/>
          <w:bCs/>
          <w:sz w:val="24"/>
          <w:szCs w:val="24"/>
        </w:rPr>
        <w:t>’</w:t>
      </w:r>
      <w:r w:rsidR="00961B7D" w:rsidRPr="00BC16D4">
        <w:rPr>
          <w:rFonts w:ascii="Times New Roman" w:hAnsi="Times New Roman" w:cs="Times New Roman"/>
          <w:bCs/>
          <w:sz w:val="24"/>
          <w:szCs w:val="24"/>
        </w:rPr>
        <w:t xml:space="preserve"> </w:t>
      </w:r>
      <w:r w:rsidR="004D7BDA">
        <w:rPr>
          <w:rFonts w:ascii="Times New Roman" w:hAnsi="Times New Roman" w:cs="Times New Roman"/>
          <w:bCs/>
          <w:sz w:val="24"/>
          <w:szCs w:val="24"/>
        </w:rPr>
        <w:t xml:space="preserve">preferences, </w:t>
      </w:r>
      <w:r w:rsidR="00961B7D" w:rsidRPr="00BC16D4">
        <w:rPr>
          <w:rFonts w:ascii="Times New Roman" w:hAnsi="Times New Roman" w:cs="Times New Roman"/>
          <w:bCs/>
          <w:sz w:val="24"/>
          <w:szCs w:val="24"/>
        </w:rPr>
        <w:t xml:space="preserve">and represents a target level, the dividend payout ratio is more likely </w:t>
      </w:r>
      <w:r w:rsidR="004D7BDA">
        <w:rPr>
          <w:rFonts w:ascii="Times New Roman" w:hAnsi="Times New Roman" w:cs="Times New Roman"/>
          <w:bCs/>
          <w:sz w:val="24"/>
          <w:szCs w:val="24"/>
        </w:rPr>
        <w:t>to reflect</w:t>
      </w:r>
      <w:r w:rsidR="00961B7D" w:rsidRPr="00BC16D4">
        <w:rPr>
          <w:rFonts w:ascii="Times New Roman" w:hAnsi="Times New Roman" w:cs="Times New Roman"/>
          <w:bCs/>
          <w:sz w:val="24"/>
          <w:szCs w:val="24"/>
        </w:rPr>
        <w:t xml:space="preserve"> the availability of investment opportunities. </w:t>
      </w:r>
      <w:r w:rsidR="00E82CCE" w:rsidRPr="00273CC7">
        <w:rPr>
          <w:rFonts w:ascii="Times New Roman" w:hAnsi="Times New Roman" w:cs="Times New Roman"/>
          <w:bCs/>
          <w:sz w:val="24"/>
          <w:szCs w:val="24"/>
        </w:rPr>
        <w:t>Following prior studies (see e.g., Bhattacharyya</w:t>
      </w:r>
      <w:r w:rsidR="004F2482">
        <w:rPr>
          <w:rFonts w:ascii="Times New Roman" w:hAnsi="Times New Roman" w:cs="Times New Roman"/>
          <w:bCs/>
          <w:sz w:val="24"/>
          <w:szCs w:val="24"/>
        </w:rPr>
        <w:t xml:space="preserve">, </w:t>
      </w:r>
      <w:proofErr w:type="spellStart"/>
      <w:r w:rsidR="004F2482">
        <w:rPr>
          <w:rFonts w:ascii="Times New Roman" w:hAnsi="Times New Roman" w:cs="Times New Roman"/>
          <w:bCs/>
          <w:sz w:val="24"/>
          <w:szCs w:val="24"/>
        </w:rPr>
        <w:t>Mawani</w:t>
      </w:r>
      <w:proofErr w:type="spellEnd"/>
      <w:r w:rsidR="004F2482">
        <w:rPr>
          <w:rFonts w:ascii="Times New Roman" w:hAnsi="Times New Roman" w:cs="Times New Roman"/>
          <w:bCs/>
          <w:sz w:val="24"/>
          <w:szCs w:val="24"/>
        </w:rPr>
        <w:t>, and Morrill</w:t>
      </w:r>
      <w:r w:rsidR="00E82CCE" w:rsidRPr="00273CC7">
        <w:rPr>
          <w:rFonts w:ascii="Times New Roman" w:hAnsi="Times New Roman" w:cs="Times New Roman"/>
          <w:bCs/>
          <w:sz w:val="24"/>
          <w:szCs w:val="24"/>
        </w:rPr>
        <w:t xml:space="preserve"> (2008)), we include in the dividend payout ratio regressions the </w:t>
      </w:r>
      <w:r w:rsidR="009F6EBF">
        <w:rPr>
          <w:rFonts w:ascii="Times New Roman" w:hAnsi="Times New Roman" w:cs="Times New Roman"/>
          <w:bCs/>
          <w:sz w:val="24"/>
          <w:szCs w:val="24"/>
        </w:rPr>
        <w:t>amount</w:t>
      </w:r>
      <w:r w:rsidR="00E82CCE" w:rsidRPr="00273CC7">
        <w:rPr>
          <w:rFonts w:ascii="Times New Roman" w:hAnsi="Times New Roman" w:cs="Times New Roman"/>
          <w:bCs/>
          <w:sz w:val="24"/>
          <w:szCs w:val="24"/>
        </w:rPr>
        <w:t xml:space="preserve"> of cash dividends declared during the year, the (log) income available to common shareholders, and the firm's market beta.</w:t>
      </w:r>
      <w:r w:rsidR="00E82CCE">
        <w:rPr>
          <w:rFonts w:ascii="Times New Roman" w:hAnsi="Times New Roman" w:cs="Times New Roman"/>
          <w:bCs/>
          <w:sz w:val="24"/>
          <w:szCs w:val="24"/>
        </w:rPr>
        <w:t xml:space="preserve"> </w:t>
      </w:r>
      <w:r w:rsidR="00194353">
        <w:rPr>
          <w:rFonts w:ascii="Times New Roman" w:hAnsi="Times New Roman" w:cs="Times New Roman"/>
          <w:bCs/>
          <w:sz w:val="24"/>
          <w:szCs w:val="24"/>
        </w:rPr>
        <w:t xml:space="preserve">Following </w:t>
      </w:r>
      <w:r w:rsidR="00194353" w:rsidRPr="00273CC7">
        <w:rPr>
          <w:rFonts w:ascii="Times New Roman" w:hAnsi="Times New Roman" w:cs="Times New Roman"/>
          <w:bCs/>
          <w:sz w:val="24"/>
          <w:szCs w:val="24"/>
        </w:rPr>
        <w:t>Bhattacharyya</w:t>
      </w:r>
      <w:r w:rsidR="004F2482">
        <w:rPr>
          <w:rFonts w:ascii="Times New Roman" w:hAnsi="Times New Roman" w:cs="Times New Roman"/>
          <w:bCs/>
          <w:sz w:val="24"/>
          <w:szCs w:val="24"/>
        </w:rPr>
        <w:t xml:space="preserve"> </w:t>
      </w:r>
      <w:r w:rsidR="004F2482" w:rsidRPr="004F2482">
        <w:rPr>
          <w:rFonts w:ascii="Times New Roman" w:hAnsi="Times New Roman" w:cs="Times New Roman"/>
          <w:bCs/>
          <w:i/>
          <w:sz w:val="24"/>
          <w:szCs w:val="24"/>
        </w:rPr>
        <w:t>et</w:t>
      </w:r>
      <w:r w:rsidR="004F2482">
        <w:rPr>
          <w:rFonts w:ascii="Times New Roman" w:hAnsi="Times New Roman" w:cs="Times New Roman"/>
          <w:bCs/>
          <w:sz w:val="24"/>
          <w:szCs w:val="24"/>
        </w:rPr>
        <w:t xml:space="preserve"> </w:t>
      </w:r>
      <w:r w:rsidR="004F2482" w:rsidRPr="004F2482">
        <w:rPr>
          <w:rFonts w:ascii="Times New Roman" w:hAnsi="Times New Roman" w:cs="Times New Roman"/>
          <w:bCs/>
          <w:i/>
          <w:sz w:val="24"/>
          <w:szCs w:val="24"/>
        </w:rPr>
        <w:t>al</w:t>
      </w:r>
      <w:r w:rsidR="004F2482">
        <w:rPr>
          <w:rFonts w:ascii="Times New Roman" w:hAnsi="Times New Roman" w:cs="Times New Roman"/>
          <w:bCs/>
          <w:sz w:val="24"/>
          <w:szCs w:val="24"/>
        </w:rPr>
        <w:t>.</w:t>
      </w:r>
      <w:r w:rsidR="00194353">
        <w:rPr>
          <w:rFonts w:ascii="Times New Roman" w:hAnsi="Times New Roman" w:cs="Times New Roman"/>
          <w:bCs/>
          <w:sz w:val="24"/>
          <w:szCs w:val="24"/>
        </w:rPr>
        <w:t xml:space="preserve"> we also use </w:t>
      </w:r>
      <w:r w:rsidR="004F2482">
        <w:rPr>
          <w:rFonts w:ascii="Times New Roman" w:hAnsi="Times New Roman" w:cs="Times New Roman"/>
          <w:bCs/>
          <w:sz w:val="24"/>
          <w:szCs w:val="24"/>
        </w:rPr>
        <w:t xml:space="preserve">a </w:t>
      </w:r>
      <w:proofErr w:type="spellStart"/>
      <w:r w:rsidR="00194353">
        <w:rPr>
          <w:rFonts w:ascii="Times New Roman" w:hAnsi="Times New Roman" w:cs="Times New Roman"/>
          <w:bCs/>
          <w:sz w:val="24"/>
          <w:szCs w:val="24"/>
        </w:rPr>
        <w:t>Tobit</w:t>
      </w:r>
      <w:proofErr w:type="spellEnd"/>
      <w:r w:rsidR="00194353">
        <w:rPr>
          <w:rFonts w:ascii="Times New Roman" w:hAnsi="Times New Roman" w:cs="Times New Roman"/>
          <w:bCs/>
          <w:sz w:val="24"/>
          <w:szCs w:val="24"/>
        </w:rPr>
        <w:t xml:space="preserve"> regression </w:t>
      </w:r>
      <w:r w:rsidR="004F2482">
        <w:rPr>
          <w:rFonts w:ascii="Times New Roman" w:hAnsi="Times New Roman" w:cs="Times New Roman"/>
          <w:bCs/>
          <w:sz w:val="24"/>
          <w:szCs w:val="24"/>
        </w:rPr>
        <w:t xml:space="preserve">because </w:t>
      </w:r>
      <w:r w:rsidR="00194353">
        <w:rPr>
          <w:rFonts w:ascii="Times New Roman" w:hAnsi="Times New Roman" w:cs="Times New Roman"/>
          <w:bCs/>
          <w:sz w:val="24"/>
          <w:szCs w:val="24"/>
        </w:rPr>
        <w:t xml:space="preserve">it provides </w:t>
      </w:r>
      <w:r w:rsidR="004F2482">
        <w:rPr>
          <w:rFonts w:ascii="Times New Roman" w:hAnsi="Times New Roman" w:cs="Times New Roman"/>
          <w:bCs/>
          <w:sz w:val="24"/>
          <w:szCs w:val="24"/>
        </w:rPr>
        <w:t xml:space="preserve">a </w:t>
      </w:r>
      <w:r w:rsidR="00194353">
        <w:rPr>
          <w:rFonts w:ascii="Times New Roman" w:hAnsi="Times New Roman" w:cs="Times New Roman"/>
          <w:bCs/>
          <w:sz w:val="24"/>
          <w:szCs w:val="24"/>
        </w:rPr>
        <w:t xml:space="preserve">better specification </w:t>
      </w:r>
      <w:r w:rsidR="004F2482">
        <w:rPr>
          <w:rFonts w:ascii="Times New Roman" w:hAnsi="Times New Roman" w:cs="Times New Roman"/>
          <w:bCs/>
          <w:sz w:val="24"/>
          <w:szCs w:val="24"/>
        </w:rPr>
        <w:t xml:space="preserve">for </w:t>
      </w:r>
      <w:r w:rsidR="00194353">
        <w:rPr>
          <w:rFonts w:ascii="Times New Roman" w:hAnsi="Times New Roman" w:cs="Times New Roman"/>
          <w:bCs/>
          <w:sz w:val="24"/>
          <w:szCs w:val="24"/>
        </w:rPr>
        <w:t>the truncated distribution of the dividend payout ratio.</w:t>
      </w:r>
      <w:r w:rsidR="005E5CBB" w:rsidRPr="00DF1D5A">
        <w:rPr>
          <w:rStyle w:val="FootnoteReference"/>
          <w:rFonts w:ascii="Times New Roman" w:eastAsia="Times New Roman" w:hAnsi="Times New Roman" w:cs="Times New Roman"/>
          <w:sz w:val="24"/>
          <w:szCs w:val="24"/>
        </w:rPr>
        <w:footnoteReference w:id="4"/>
      </w:r>
    </w:p>
    <w:p w:rsidR="00882208" w:rsidRDefault="00F27902" w:rsidP="000E67C5">
      <w:pPr>
        <w:tabs>
          <w:tab w:val="left" w:pos="360"/>
          <w:tab w:val="left" w:pos="450"/>
          <w:tab w:val="left" w:pos="540"/>
        </w:tabs>
        <w:spacing w:before="240" w:after="0" w:line="480" w:lineRule="auto"/>
        <w:ind w:firstLine="360"/>
        <w:jc w:val="both"/>
        <w:rPr>
          <w:rFonts w:ascii="Times New Roman" w:hAnsi="Times New Roman" w:cs="Times New Roman"/>
          <w:bCs/>
          <w:sz w:val="24"/>
          <w:szCs w:val="24"/>
        </w:rPr>
      </w:pPr>
      <w:r w:rsidRPr="00BC16D4">
        <w:rPr>
          <w:rFonts w:ascii="Times New Roman" w:hAnsi="Times New Roman" w:cs="Times New Roman"/>
          <w:bCs/>
          <w:sz w:val="24"/>
          <w:szCs w:val="24"/>
        </w:rPr>
        <w:lastRenderedPageBreak/>
        <w:t>The results reported in Table 5 are consistent with those in Table 3</w:t>
      </w:r>
      <w:r w:rsidR="004F2482">
        <w:rPr>
          <w:rFonts w:ascii="Times New Roman" w:hAnsi="Times New Roman" w:cs="Times New Roman"/>
          <w:bCs/>
          <w:sz w:val="24"/>
          <w:szCs w:val="24"/>
        </w:rPr>
        <w:t xml:space="preserve">; again we find </w:t>
      </w:r>
      <w:r w:rsidRPr="00BC16D4">
        <w:rPr>
          <w:rFonts w:ascii="Times New Roman" w:hAnsi="Times New Roman" w:cs="Times New Roman"/>
          <w:bCs/>
          <w:sz w:val="24"/>
          <w:szCs w:val="24"/>
        </w:rPr>
        <w:t>a negative effect of executive pension</w:t>
      </w:r>
      <w:r w:rsidR="004F2482">
        <w:rPr>
          <w:rFonts w:ascii="Times New Roman" w:hAnsi="Times New Roman" w:cs="Times New Roman"/>
          <w:bCs/>
          <w:sz w:val="24"/>
          <w:szCs w:val="24"/>
        </w:rPr>
        <w:t>s</w:t>
      </w:r>
      <w:r w:rsidRPr="00BC16D4">
        <w:rPr>
          <w:rFonts w:ascii="Times New Roman" w:hAnsi="Times New Roman" w:cs="Times New Roman"/>
          <w:bCs/>
          <w:sz w:val="24"/>
          <w:szCs w:val="24"/>
        </w:rPr>
        <w:t xml:space="preserve"> on </w:t>
      </w:r>
      <w:r w:rsidR="004F2482">
        <w:rPr>
          <w:rFonts w:ascii="Times New Roman" w:hAnsi="Times New Roman" w:cs="Times New Roman"/>
          <w:bCs/>
          <w:sz w:val="24"/>
          <w:szCs w:val="24"/>
        </w:rPr>
        <w:t xml:space="preserve">the </w:t>
      </w:r>
      <w:r w:rsidRPr="00BC16D4">
        <w:rPr>
          <w:rFonts w:ascii="Times New Roman" w:hAnsi="Times New Roman" w:cs="Times New Roman"/>
          <w:bCs/>
          <w:sz w:val="24"/>
          <w:szCs w:val="24"/>
        </w:rPr>
        <w:t>dividend payment ratio (</w:t>
      </w:r>
      <w:r w:rsidRPr="00BC16D4">
        <w:rPr>
          <w:rFonts w:ascii="Times New Roman" w:hAnsi="Times New Roman" w:cs="Times New Roman"/>
          <w:bCs/>
          <w:i/>
          <w:sz w:val="24"/>
          <w:szCs w:val="24"/>
        </w:rPr>
        <w:t>t</w:t>
      </w:r>
      <w:r w:rsidRPr="00BC16D4">
        <w:rPr>
          <w:rFonts w:ascii="Times New Roman" w:hAnsi="Times New Roman" w:cs="Times New Roman"/>
          <w:bCs/>
          <w:sz w:val="24"/>
          <w:szCs w:val="24"/>
        </w:rPr>
        <w:t>-statistics between -</w:t>
      </w:r>
      <w:r w:rsidR="007C1252">
        <w:rPr>
          <w:rFonts w:ascii="Times New Roman" w:hAnsi="Times New Roman" w:cs="Times New Roman"/>
          <w:bCs/>
          <w:sz w:val="24"/>
          <w:szCs w:val="24"/>
        </w:rPr>
        <w:t>4</w:t>
      </w:r>
      <w:r w:rsidRPr="00BC16D4">
        <w:rPr>
          <w:rFonts w:ascii="Times New Roman" w:hAnsi="Times New Roman" w:cs="Times New Roman"/>
          <w:bCs/>
          <w:sz w:val="24"/>
          <w:szCs w:val="24"/>
        </w:rPr>
        <w:t>.</w:t>
      </w:r>
      <w:r w:rsidR="007C1252">
        <w:rPr>
          <w:rFonts w:ascii="Times New Roman" w:hAnsi="Times New Roman" w:cs="Times New Roman"/>
          <w:bCs/>
          <w:sz w:val="24"/>
          <w:szCs w:val="24"/>
        </w:rPr>
        <w:t>32</w:t>
      </w:r>
      <w:r w:rsidRPr="00BC16D4">
        <w:rPr>
          <w:rFonts w:ascii="Times New Roman" w:hAnsi="Times New Roman" w:cs="Times New Roman"/>
          <w:bCs/>
          <w:sz w:val="24"/>
          <w:szCs w:val="24"/>
        </w:rPr>
        <w:t xml:space="preserve"> and -</w:t>
      </w:r>
      <w:r w:rsidR="007C1252">
        <w:rPr>
          <w:rFonts w:ascii="Times New Roman" w:hAnsi="Times New Roman" w:cs="Times New Roman"/>
          <w:bCs/>
          <w:sz w:val="24"/>
          <w:szCs w:val="24"/>
        </w:rPr>
        <w:t>8</w:t>
      </w:r>
      <w:r w:rsidRPr="00BC16D4">
        <w:rPr>
          <w:rFonts w:ascii="Times New Roman" w:hAnsi="Times New Roman" w:cs="Times New Roman"/>
          <w:bCs/>
          <w:sz w:val="24"/>
          <w:szCs w:val="24"/>
        </w:rPr>
        <w:t>.</w:t>
      </w:r>
      <w:r w:rsidR="007C1252">
        <w:rPr>
          <w:rFonts w:ascii="Times New Roman" w:hAnsi="Times New Roman" w:cs="Times New Roman"/>
          <w:bCs/>
          <w:sz w:val="24"/>
          <w:szCs w:val="24"/>
        </w:rPr>
        <w:t>37</w:t>
      </w:r>
      <w:r w:rsidRPr="00BC16D4">
        <w:rPr>
          <w:rFonts w:ascii="Times New Roman" w:hAnsi="Times New Roman" w:cs="Times New Roman"/>
          <w:bCs/>
          <w:sz w:val="24"/>
          <w:szCs w:val="24"/>
        </w:rPr>
        <w:t xml:space="preserve">). Yet </w:t>
      </w:r>
      <w:r w:rsidR="006B748C" w:rsidRPr="00BC16D4">
        <w:rPr>
          <w:rFonts w:ascii="Times New Roman" w:hAnsi="Times New Roman" w:cs="Times New Roman"/>
          <w:bCs/>
          <w:sz w:val="24"/>
          <w:szCs w:val="24"/>
        </w:rPr>
        <w:t>while</w:t>
      </w:r>
      <w:r w:rsidRPr="00BC16D4">
        <w:rPr>
          <w:rFonts w:ascii="Times New Roman" w:hAnsi="Times New Roman" w:cs="Times New Roman"/>
          <w:bCs/>
          <w:sz w:val="24"/>
          <w:szCs w:val="24"/>
        </w:rPr>
        <w:t xml:space="preserve"> </w:t>
      </w:r>
      <w:r w:rsidR="006B748C" w:rsidRPr="00BC16D4">
        <w:rPr>
          <w:rFonts w:ascii="Times New Roman" w:hAnsi="Times New Roman" w:cs="Times New Roman"/>
          <w:bCs/>
          <w:sz w:val="24"/>
          <w:szCs w:val="24"/>
        </w:rPr>
        <w:t xml:space="preserve">the </w:t>
      </w:r>
      <w:r w:rsidR="00E82CCE" w:rsidRPr="00BC16D4">
        <w:rPr>
          <w:rFonts w:ascii="Times New Roman" w:hAnsi="Times New Roman" w:cs="Times New Roman"/>
          <w:bCs/>
          <w:sz w:val="24"/>
          <w:szCs w:val="24"/>
        </w:rPr>
        <w:t>regressions</w:t>
      </w:r>
      <w:r w:rsidRPr="00BC16D4">
        <w:rPr>
          <w:rFonts w:ascii="Times New Roman" w:hAnsi="Times New Roman" w:cs="Times New Roman"/>
          <w:bCs/>
          <w:sz w:val="24"/>
          <w:szCs w:val="24"/>
        </w:rPr>
        <w:t xml:space="preserve"> in table 3 are </w:t>
      </w:r>
      <w:r w:rsidR="006B748C" w:rsidRPr="00BC16D4">
        <w:rPr>
          <w:rFonts w:ascii="Times New Roman" w:hAnsi="Times New Roman" w:cs="Times New Roman"/>
          <w:bCs/>
          <w:sz w:val="24"/>
          <w:szCs w:val="24"/>
        </w:rPr>
        <w:t>particularly</w:t>
      </w:r>
      <w:r w:rsidRPr="00BC16D4">
        <w:rPr>
          <w:rFonts w:ascii="Times New Roman" w:hAnsi="Times New Roman" w:cs="Times New Roman"/>
          <w:bCs/>
          <w:sz w:val="24"/>
          <w:szCs w:val="24"/>
        </w:rPr>
        <w:t xml:space="preserve"> strong when CE</w:t>
      </w:r>
      <w:r w:rsidR="007C1252">
        <w:rPr>
          <w:rFonts w:ascii="Times New Roman" w:hAnsi="Times New Roman" w:cs="Times New Roman"/>
          <w:bCs/>
          <w:sz w:val="24"/>
          <w:szCs w:val="24"/>
        </w:rPr>
        <w:t>O</w:t>
      </w:r>
      <w:r w:rsidR="004F2482">
        <w:rPr>
          <w:rFonts w:ascii="Times New Roman" w:hAnsi="Times New Roman" w:cs="Times New Roman"/>
          <w:bCs/>
          <w:sz w:val="24"/>
          <w:szCs w:val="24"/>
        </w:rPr>
        <w:t xml:space="preserve"> only</w:t>
      </w:r>
      <w:r w:rsidRPr="00BC16D4">
        <w:rPr>
          <w:rFonts w:ascii="Times New Roman" w:hAnsi="Times New Roman" w:cs="Times New Roman"/>
          <w:bCs/>
          <w:sz w:val="24"/>
          <w:szCs w:val="24"/>
        </w:rPr>
        <w:t xml:space="preserve"> pension is used, Table 5 shows much smaller differences between the models that use the pension of the CEO only and those that use the pension of all </w:t>
      </w:r>
      <w:r w:rsidR="006B748C" w:rsidRPr="00BC16D4">
        <w:rPr>
          <w:rFonts w:ascii="Times New Roman" w:hAnsi="Times New Roman" w:cs="Times New Roman"/>
          <w:bCs/>
          <w:sz w:val="24"/>
          <w:szCs w:val="24"/>
        </w:rPr>
        <w:t xml:space="preserve">top </w:t>
      </w:r>
      <w:r w:rsidRPr="00BC16D4">
        <w:rPr>
          <w:rFonts w:ascii="Times New Roman" w:hAnsi="Times New Roman" w:cs="Times New Roman"/>
          <w:bCs/>
          <w:sz w:val="24"/>
          <w:szCs w:val="24"/>
        </w:rPr>
        <w:t xml:space="preserve">executives. </w:t>
      </w:r>
      <w:r w:rsidR="00BC16D4" w:rsidRPr="00BC16D4">
        <w:rPr>
          <w:rFonts w:ascii="Times New Roman" w:hAnsi="Times New Roman" w:cs="Times New Roman"/>
          <w:bCs/>
          <w:sz w:val="24"/>
          <w:szCs w:val="24"/>
        </w:rPr>
        <w:t xml:space="preserve">As in Table 4, to account for </w:t>
      </w:r>
      <w:r w:rsidR="0032234E">
        <w:rPr>
          <w:rFonts w:ascii="Times New Roman" w:hAnsi="Times New Roman" w:cs="Times New Roman"/>
          <w:bCs/>
          <w:sz w:val="24"/>
          <w:szCs w:val="24"/>
        </w:rPr>
        <w:t xml:space="preserve">potential </w:t>
      </w:r>
      <w:proofErr w:type="spellStart"/>
      <w:r w:rsidR="00BC16D4" w:rsidRPr="00BC16D4">
        <w:rPr>
          <w:rFonts w:ascii="Times New Roman" w:hAnsi="Times New Roman" w:cs="Times New Roman"/>
          <w:bCs/>
          <w:sz w:val="24"/>
          <w:szCs w:val="24"/>
        </w:rPr>
        <w:t>endogeneity</w:t>
      </w:r>
      <w:proofErr w:type="spellEnd"/>
      <w:r w:rsidR="00BC16D4" w:rsidRPr="00BC16D4">
        <w:rPr>
          <w:rFonts w:ascii="Times New Roman" w:hAnsi="Times New Roman" w:cs="Times New Roman"/>
          <w:bCs/>
          <w:sz w:val="24"/>
          <w:szCs w:val="24"/>
        </w:rPr>
        <w:t xml:space="preserve"> effect</w:t>
      </w:r>
      <w:r w:rsidR="0032234E">
        <w:rPr>
          <w:rFonts w:ascii="Times New Roman" w:hAnsi="Times New Roman" w:cs="Times New Roman"/>
          <w:bCs/>
          <w:sz w:val="24"/>
          <w:szCs w:val="24"/>
        </w:rPr>
        <w:t>s</w:t>
      </w:r>
      <w:r w:rsidR="00BC16D4" w:rsidRPr="00BC16D4">
        <w:rPr>
          <w:rFonts w:ascii="Times New Roman" w:hAnsi="Times New Roman" w:cs="Times New Roman"/>
          <w:bCs/>
          <w:sz w:val="24"/>
          <w:szCs w:val="24"/>
        </w:rPr>
        <w:t xml:space="preserve">, we </w:t>
      </w:r>
      <w:r w:rsidR="0032234E">
        <w:rPr>
          <w:rFonts w:ascii="Times New Roman" w:hAnsi="Times New Roman" w:cs="Times New Roman"/>
          <w:bCs/>
          <w:sz w:val="24"/>
          <w:szCs w:val="24"/>
        </w:rPr>
        <w:t>re</w:t>
      </w:r>
      <w:r w:rsidR="00BC16D4" w:rsidRPr="00BC16D4">
        <w:rPr>
          <w:rFonts w:ascii="Times New Roman" w:hAnsi="Times New Roman" w:cs="Times New Roman"/>
          <w:bCs/>
          <w:sz w:val="24"/>
          <w:szCs w:val="24"/>
        </w:rPr>
        <w:t xml:space="preserve">examine the results in Table 5 using a 2SLS model </w:t>
      </w:r>
      <w:r w:rsidR="00091F9F">
        <w:rPr>
          <w:rFonts w:ascii="Times New Roman" w:hAnsi="Times New Roman" w:cs="Times New Roman"/>
          <w:bCs/>
          <w:sz w:val="24"/>
          <w:szCs w:val="24"/>
        </w:rPr>
        <w:t>with</w:t>
      </w:r>
      <w:r w:rsidR="00BC16D4" w:rsidRPr="00BC16D4">
        <w:rPr>
          <w:rFonts w:ascii="Times New Roman" w:hAnsi="Times New Roman" w:cs="Times New Roman"/>
          <w:bCs/>
          <w:sz w:val="24"/>
          <w:szCs w:val="24"/>
        </w:rPr>
        <w:t xml:space="preserve"> the same instrumental varia</w:t>
      </w:r>
      <w:r w:rsidR="00091F9F">
        <w:rPr>
          <w:rFonts w:ascii="Times New Roman" w:hAnsi="Times New Roman" w:cs="Times New Roman"/>
          <w:bCs/>
          <w:sz w:val="24"/>
          <w:szCs w:val="24"/>
        </w:rPr>
        <w:t>bles. The results of the second-</w:t>
      </w:r>
      <w:r w:rsidR="00BC16D4" w:rsidRPr="00BC16D4">
        <w:rPr>
          <w:rFonts w:ascii="Times New Roman" w:hAnsi="Times New Roman" w:cs="Times New Roman"/>
          <w:bCs/>
          <w:sz w:val="24"/>
          <w:szCs w:val="24"/>
        </w:rPr>
        <w:t>stage regression reported in Table 6 are somewhat weaker, yet are mostly significant.</w:t>
      </w:r>
      <w:r w:rsidR="00882208">
        <w:rPr>
          <w:rFonts w:ascii="Times New Roman" w:hAnsi="Times New Roman" w:cs="Times New Roman"/>
          <w:bCs/>
          <w:sz w:val="24"/>
          <w:szCs w:val="24"/>
        </w:rPr>
        <w:t xml:space="preserve"> </w:t>
      </w:r>
    </w:p>
    <w:p w:rsidR="000E67C5" w:rsidRDefault="00B65183" w:rsidP="00B65183">
      <w:pPr>
        <w:tabs>
          <w:tab w:val="left" w:pos="360"/>
          <w:tab w:val="left" w:pos="450"/>
          <w:tab w:val="left" w:pos="540"/>
        </w:tabs>
        <w:spacing w:before="240" w:after="0" w:line="480" w:lineRule="auto"/>
        <w:ind w:firstLine="360"/>
        <w:jc w:val="both"/>
        <w:rPr>
          <w:rFonts w:ascii="Times New Roman" w:hAnsi="Times New Roman" w:cs="Times New Roman"/>
          <w:bCs/>
          <w:sz w:val="24"/>
          <w:szCs w:val="24"/>
        </w:rPr>
      </w:pPr>
      <w:r w:rsidRPr="00B65183">
        <w:rPr>
          <w:rFonts w:ascii="Times New Roman" w:hAnsi="Times New Roman" w:cs="Times New Roman"/>
          <w:sz w:val="24"/>
          <w:szCs w:val="24"/>
          <w:lang w:val="en-CA"/>
        </w:rPr>
        <w:fldChar w:fldCharType="begin"/>
      </w:r>
      <w:r w:rsidRPr="00B65183">
        <w:rPr>
          <w:rFonts w:ascii="Times New Roman" w:hAnsi="Times New Roman" w:cs="Times New Roman"/>
          <w:sz w:val="24"/>
          <w:szCs w:val="24"/>
          <w:lang w:val="en-CA"/>
        </w:rPr>
        <w:instrText xml:space="preserve"> SEQ CHAPTER \h \r 1</w:instrText>
      </w:r>
      <w:r w:rsidRPr="00B65183">
        <w:rPr>
          <w:rFonts w:ascii="Times New Roman" w:hAnsi="Times New Roman" w:cs="Times New Roman"/>
          <w:sz w:val="24"/>
          <w:szCs w:val="24"/>
          <w:lang w:val="en-CA"/>
        </w:rPr>
        <w:fldChar w:fldCharType="end"/>
      </w:r>
      <w:r w:rsidRPr="00B65183">
        <w:rPr>
          <w:rFonts w:ascii="Times New Roman" w:hAnsi="Times New Roman" w:cs="Times New Roman"/>
          <w:sz w:val="24"/>
          <w:szCs w:val="24"/>
        </w:rPr>
        <w:t>The results are also meaningful in economic terms. A one standard deviation increase in the CEO’s compensation leverage reduces the industry-adjusted dividend yield by 0.13, and a one standard deviation increase in the CEO’s inside debt reduces the dividend yield by 0.06. These effects are significant given a mean dividend yield of 0.022 and standard deviation of 0.030. Similarly, these standard increases in the CEO’s compensation leverage and inside debt reduce the industry-adjusted dividend payout ratio by 0.58 and 0.15, respectively, compared to mean dividend payout ratio of 0.329 and standard deviation of 0.445. These effects are even more impressive when the compensation leverage and inside debt of all executives are used.</w:t>
      </w:r>
    </w:p>
    <w:p w:rsidR="0024284F" w:rsidRPr="00BC16D4" w:rsidRDefault="00BC16D4" w:rsidP="000E67C5">
      <w:pPr>
        <w:tabs>
          <w:tab w:val="left" w:pos="360"/>
          <w:tab w:val="left" w:pos="450"/>
          <w:tab w:val="left" w:pos="540"/>
        </w:tabs>
        <w:spacing w:after="0" w:line="480" w:lineRule="auto"/>
        <w:ind w:firstLine="360"/>
        <w:jc w:val="both"/>
        <w:rPr>
          <w:rFonts w:ascii="Times New Roman" w:hAnsi="Times New Roman" w:cs="Times New Roman"/>
          <w:bCs/>
          <w:sz w:val="24"/>
          <w:szCs w:val="24"/>
        </w:rPr>
      </w:pPr>
      <w:r w:rsidRPr="00BC16D4">
        <w:rPr>
          <w:rFonts w:ascii="Times New Roman" w:hAnsi="Times New Roman" w:cs="Times New Roman"/>
          <w:bCs/>
          <w:sz w:val="24"/>
          <w:szCs w:val="24"/>
        </w:rPr>
        <w:t xml:space="preserve">  </w:t>
      </w:r>
    </w:p>
    <w:p w:rsidR="009374EA" w:rsidRDefault="009374EA" w:rsidP="000E67C5">
      <w:pPr>
        <w:tabs>
          <w:tab w:val="left" w:pos="360"/>
          <w:tab w:val="left" w:pos="450"/>
          <w:tab w:val="left" w:pos="540"/>
        </w:tabs>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t>6</w:t>
      </w:r>
      <w:r w:rsidRPr="0074704D">
        <w:rPr>
          <w:rFonts w:ascii="Times New Roman" w:hAnsi="Times New Roman" w:cs="Times New Roman"/>
          <w:bCs/>
          <w:i/>
          <w:sz w:val="24"/>
          <w:szCs w:val="24"/>
        </w:rPr>
        <w:t>.</w:t>
      </w:r>
      <w:r>
        <w:rPr>
          <w:rFonts w:ascii="Times New Roman" w:hAnsi="Times New Roman" w:cs="Times New Roman"/>
          <w:bCs/>
          <w:i/>
          <w:sz w:val="24"/>
          <w:szCs w:val="24"/>
        </w:rPr>
        <w:t>2</w:t>
      </w:r>
      <w:r>
        <w:rPr>
          <w:rFonts w:ascii="Times New Roman" w:hAnsi="Times New Roman" w:cs="Times New Roman"/>
          <w:bCs/>
          <w:i/>
          <w:sz w:val="24"/>
          <w:szCs w:val="24"/>
        </w:rPr>
        <w:tab/>
      </w:r>
      <w:r>
        <w:rPr>
          <w:rFonts w:ascii="Times New Roman" w:hAnsi="Times New Roman" w:cs="Times New Roman"/>
          <w:bCs/>
          <w:i/>
          <w:sz w:val="24"/>
          <w:szCs w:val="24"/>
        </w:rPr>
        <w:tab/>
        <w:t>Hypothesis 2</w:t>
      </w:r>
    </w:p>
    <w:p w:rsidR="008B06C1" w:rsidRDefault="00640FEA" w:rsidP="00633CE5">
      <w:pPr>
        <w:tabs>
          <w:tab w:val="left" w:pos="360"/>
          <w:tab w:val="left" w:pos="450"/>
          <w:tab w:val="left" w:pos="540"/>
        </w:tabs>
        <w:spacing w:before="120" w:after="0" w:line="480" w:lineRule="auto"/>
        <w:jc w:val="both"/>
        <w:rPr>
          <w:rFonts w:ascii="Times New Roman" w:hAnsi="Times New Roman" w:cs="Times New Roman"/>
          <w:bCs/>
          <w:sz w:val="24"/>
          <w:szCs w:val="24"/>
        </w:rPr>
      </w:pPr>
      <w:r>
        <w:rPr>
          <w:rFonts w:ascii="Times New Roman" w:hAnsi="Times New Roman" w:cs="Times New Roman"/>
          <w:bCs/>
          <w:sz w:val="24"/>
          <w:szCs w:val="24"/>
        </w:rPr>
        <w:t>The results of the previous sect</w:t>
      </w:r>
      <w:r w:rsidR="00091F9F">
        <w:rPr>
          <w:rFonts w:ascii="Times New Roman" w:hAnsi="Times New Roman" w:cs="Times New Roman"/>
          <w:bCs/>
          <w:sz w:val="24"/>
          <w:szCs w:val="24"/>
        </w:rPr>
        <w:t xml:space="preserve">ion indicate that high </w:t>
      </w:r>
      <w:r w:rsidR="0032234E">
        <w:rPr>
          <w:rFonts w:ascii="Times New Roman" w:hAnsi="Times New Roman" w:cs="Times New Roman"/>
          <w:bCs/>
          <w:sz w:val="24"/>
          <w:szCs w:val="24"/>
        </w:rPr>
        <w:t xml:space="preserve">levels of </w:t>
      </w:r>
      <w:r w:rsidR="00091F9F">
        <w:rPr>
          <w:rFonts w:ascii="Times New Roman" w:hAnsi="Times New Roman" w:cs="Times New Roman"/>
          <w:bCs/>
          <w:sz w:val="24"/>
          <w:szCs w:val="24"/>
        </w:rPr>
        <w:t xml:space="preserve">pension </w:t>
      </w:r>
      <w:r w:rsidR="0032234E">
        <w:rPr>
          <w:rFonts w:ascii="Times New Roman" w:hAnsi="Times New Roman" w:cs="Times New Roman"/>
          <w:bCs/>
          <w:sz w:val="24"/>
          <w:szCs w:val="24"/>
        </w:rPr>
        <w:t xml:space="preserve">compensation </w:t>
      </w:r>
      <w:r>
        <w:rPr>
          <w:rFonts w:ascii="Times New Roman" w:hAnsi="Times New Roman" w:cs="Times New Roman"/>
          <w:bCs/>
          <w:sz w:val="24"/>
          <w:szCs w:val="24"/>
        </w:rPr>
        <w:t>lead manager</w:t>
      </w:r>
      <w:r w:rsidR="00091F9F">
        <w:rPr>
          <w:rFonts w:ascii="Times New Roman" w:hAnsi="Times New Roman" w:cs="Times New Roman"/>
          <w:bCs/>
          <w:sz w:val="24"/>
          <w:szCs w:val="24"/>
        </w:rPr>
        <w:t>s</w:t>
      </w:r>
      <w:r>
        <w:rPr>
          <w:rFonts w:ascii="Times New Roman" w:hAnsi="Times New Roman" w:cs="Times New Roman"/>
          <w:bCs/>
          <w:sz w:val="24"/>
          <w:szCs w:val="24"/>
        </w:rPr>
        <w:t xml:space="preserve"> to reduce dividend payments in general. Our second hypothesis focuses on the form of the payout to shareholders: dividend</w:t>
      </w:r>
      <w:r w:rsidR="00B82ABD">
        <w:rPr>
          <w:rFonts w:ascii="Times New Roman" w:hAnsi="Times New Roman" w:cs="Times New Roman"/>
          <w:bCs/>
          <w:sz w:val="24"/>
          <w:szCs w:val="24"/>
        </w:rPr>
        <w:t>s</w:t>
      </w:r>
      <w:r>
        <w:rPr>
          <w:rFonts w:ascii="Times New Roman" w:hAnsi="Times New Roman" w:cs="Times New Roman"/>
          <w:bCs/>
          <w:sz w:val="24"/>
          <w:szCs w:val="24"/>
        </w:rPr>
        <w:t xml:space="preserve"> versus stock repurchase</w:t>
      </w:r>
      <w:r w:rsidR="00B82ABD">
        <w:rPr>
          <w:rFonts w:ascii="Times New Roman" w:hAnsi="Times New Roman" w:cs="Times New Roman"/>
          <w:bCs/>
          <w:sz w:val="24"/>
          <w:szCs w:val="24"/>
        </w:rPr>
        <w:t>s</w:t>
      </w:r>
      <w:r>
        <w:rPr>
          <w:rFonts w:ascii="Times New Roman" w:hAnsi="Times New Roman" w:cs="Times New Roman"/>
          <w:bCs/>
          <w:sz w:val="24"/>
          <w:szCs w:val="24"/>
        </w:rPr>
        <w:t xml:space="preserve">. That is, after the </w:t>
      </w:r>
      <w:r w:rsidR="008B06C1">
        <w:rPr>
          <w:rFonts w:ascii="Times New Roman" w:hAnsi="Times New Roman" w:cs="Times New Roman"/>
          <w:bCs/>
          <w:sz w:val="24"/>
          <w:szCs w:val="24"/>
        </w:rPr>
        <w:t>managers</w:t>
      </w:r>
      <w:r>
        <w:rPr>
          <w:rFonts w:ascii="Times New Roman" w:hAnsi="Times New Roman" w:cs="Times New Roman"/>
          <w:bCs/>
          <w:sz w:val="24"/>
          <w:szCs w:val="24"/>
        </w:rPr>
        <w:t xml:space="preserve"> have decided how to allocate the firm’s cash between reinvestment and distribution</w:t>
      </w:r>
      <w:r w:rsidR="00B82ABD">
        <w:rPr>
          <w:rFonts w:ascii="Times New Roman" w:hAnsi="Times New Roman" w:cs="Times New Roman"/>
          <w:bCs/>
          <w:sz w:val="24"/>
          <w:szCs w:val="24"/>
        </w:rPr>
        <w:t>s</w:t>
      </w:r>
      <w:r>
        <w:rPr>
          <w:rFonts w:ascii="Times New Roman" w:hAnsi="Times New Roman" w:cs="Times New Roman"/>
          <w:bCs/>
          <w:sz w:val="24"/>
          <w:szCs w:val="24"/>
        </w:rPr>
        <w:t xml:space="preserve"> to shareholders, the form of the payout </w:t>
      </w:r>
      <w:r w:rsidR="00B82ABD">
        <w:rPr>
          <w:rFonts w:ascii="Times New Roman" w:hAnsi="Times New Roman" w:cs="Times New Roman"/>
          <w:bCs/>
          <w:sz w:val="24"/>
          <w:szCs w:val="24"/>
        </w:rPr>
        <w:t xml:space="preserve">will </w:t>
      </w:r>
      <w:r>
        <w:rPr>
          <w:rFonts w:ascii="Times New Roman" w:hAnsi="Times New Roman" w:cs="Times New Roman"/>
          <w:bCs/>
          <w:sz w:val="24"/>
          <w:szCs w:val="24"/>
        </w:rPr>
        <w:t xml:space="preserve">have important implications. This is because a dividend payment is viewed as a </w:t>
      </w:r>
      <w:r>
        <w:rPr>
          <w:rFonts w:ascii="Times New Roman" w:hAnsi="Times New Roman" w:cs="Times New Roman"/>
          <w:bCs/>
          <w:sz w:val="24"/>
          <w:szCs w:val="24"/>
        </w:rPr>
        <w:lastRenderedPageBreak/>
        <w:t xml:space="preserve">commitment to maintain </w:t>
      </w:r>
      <w:r w:rsidR="00B82ABD">
        <w:rPr>
          <w:rFonts w:ascii="Times New Roman" w:hAnsi="Times New Roman" w:cs="Times New Roman"/>
          <w:bCs/>
          <w:sz w:val="24"/>
          <w:szCs w:val="24"/>
        </w:rPr>
        <w:t xml:space="preserve">a </w:t>
      </w:r>
      <w:r>
        <w:rPr>
          <w:rFonts w:ascii="Times New Roman" w:hAnsi="Times New Roman" w:cs="Times New Roman"/>
          <w:bCs/>
          <w:sz w:val="24"/>
          <w:szCs w:val="24"/>
        </w:rPr>
        <w:t xml:space="preserve">similar </w:t>
      </w:r>
      <w:r w:rsidR="00B82ABD">
        <w:rPr>
          <w:rFonts w:ascii="Times New Roman" w:hAnsi="Times New Roman" w:cs="Times New Roman"/>
          <w:bCs/>
          <w:sz w:val="24"/>
          <w:szCs w:val="24"/>
        </w:rPr>
        <w:t xml:space="preserve">or rising </w:t>
      </w:r>
      <w:r>
        <w:rPr>
          <w:rFonts w:ascii="Times New Roman" w:hAnsi="Times New Roman" w:cs="Times New Roman"/>
          <w:bCs/>
          <w:sz w:val="24"/>
          <w:szCs w:val="24"/>
        </w:rPr>
        <w:t xml:space="preserve">level payout in the coming years, while a stock repurchase </w:t>
      </w:r>
      <w:r w:rsidR="00B82ABD">
        <w:rPr>
          <w:rFonts w:ascii="Times New Roman" w:hAnsi="Times New Roman" w:cs="Times New Roman"/>
          <w:bCs/>
          <w:sz w:val="24"/>
          <w:szCs w:val="24"/>
        </w:rPr>
        <w:t xml:space="preserve">now </w:t>
      </w:r>
      <w:r>
        <w:rPr>
          <w:rFonts w:ascii="Times New Roman" w:hAnsi="Times New Roman" w:cs="Times New Roman"/>
          <w:bCs/>
          <w:sz w:val="24"/>
          <w:szCs w:val="24"/>
        </w:rPr>
        <w:t xml:space="preserve">does not </w:t>
      </w:r>
      <w:r w:rsidR="00B82ABD">
        <w:rPr>
          <w:rFonts w:ascii="Times New Roman" w:hAnsi="Times New Roman" w:cs="Times New Roman"/>
          <w:bCs/>
          <w:sz w:val="24"/>
          <w:szCs w:val="24"/>
        </w:rPr>
        <w:t xml:space="preserve">imply a </w:t>
      </w:r>
      <w:r>
        <w:rPr>
          <w:rFonts w:ascii="Times New Roman" w:hAnsi="Times New Roman" w:cs="Times New Roman"/>
          <w:bCs/>
          <w:sz w:val="24"/>
          <w:szCs w:val="24"/>
        </w:rPr>
        <w:t>commitment</w:t>
      </w:r>
      <w:r w:rsidR="00B82ABD">
        <w:rPr>
          <w:rFonts w:ascii="Times New Roman" w:hAnsi="Times New Roman" w:cs="Times New Roman"/>
          <w:bCs/>
          <w:sz w:val="24"/>
          <w:szCs w:val="24"/>
        </w:rPr>
        <w:t xml:space="preserve"> </w:t>
      </w:r>
      <w:r w:rsidR="008558A3">
        <w:rPr>
          <w:rFonts w:ascii="Times New Roman" w:hAnsi="Times New Roman" w:cs="Times New Roman"/>
          <w:bCs/>
          <w:sz w:val="24"/>
          <w:szCs w:val="24"/>
        </w:rPr>
        <w:t>to buy back stock in the future</w:t>
      </w:r>
      <w:r>
        <w:rPr>
          <w:rFonts w:ascii="Times New Roman" w:hAnsi="Times New Roman" w:cs="Times New Roman"/>
          <w:bCs/>
          <w:sz w:val="24"/>
          <w:szCs w:val="24"/>
        </w:rPr>
        <w:t>.</w:t>
      </w:r>
      <w:r w:rsidR="008B06C1">
        <w:rPr>
          <w:rFonts w:ascii="Times New Roman" w:hAnsi="Times New Roman" w:cs="Times New Roman"/>
          <w:bCs/>
          <w:sz w:val="24"/>
          <w:szCs w:val="24"/>
        </w:rPr>
        <w:t xml:space="preserve"> To isolate the effect of pension</w:t>
      </w:r>
      <w:r w:rsidR="00B82ABD">
        <w:rPr>
          <w:rFonts w:ascii="Times New Roman" w:hAnsi="Times New Roman" w:cs="Times New Roman"/>
          <w:bCs/>
          <w:sz w:val="24"/>
          <w:szCs w:val="24"/>
        </w:rPr>
        <w:t>s</w:t>
      </w:r>
      <w:r w:rsidR="008B06C1">
        <w:rPr>
          <w:rFonts w:ascii="Times New Roman" w:hAnsi="Times New Roman" w:cs="Times New Roman"/>
          <w:bCs/>
          <w:sz w:val="24"/>
          <w:szCs w:val="24"/>
        </w:rPr>
        <w:t xml:space="preserve"> on the form of the payout we look at the effect of pension size on the differen</w:t>
      </w:r>
      <w:r w:rsidR="008558A3">
        <w:rPr>
          <w:rFonts w:ascii="Times New Roman" w:hAnsi="Times New Roman" w:cs="Times New Roman"/>
          <w:bCs/>
          <w:sz w:val="24"/>
          <w:szCs w:val="24"/>
        </w:rPr>
        <w:t>ce</w:t>
      </w:r>
      <w:r w:rsidR="008B06C1">
        <w:rPr>
          <w:rFonts w:ascii="Times New Roman" w:hAnsi="Times New Roman" w:cs="Times New Roman"/>
          <w:bCs/>
          <w:sz w:val="24"/>
          <w:szCs w:val="24"/>
        </w:rPr>
        <w:t xml:space="preserve"> between the dividend and net stock repurchase</w:t>
      </w:r>
      <w:r w:rsidR="008558A3">
        <w:rPr>
          <w:rFonts w:ascii="Times New Roman" w:hAnsi="Times New Roman" w:cs="Times New Roman"/>
          <w:bCs/>
          <w:sz w:val="24"/>
          <w:szCs w:val="24"/>
        </w:rPr>
        <w:t>s</w:t>
      </w:r>
      <w:r w:rsidR="008B06C1">
        <w:rPr>
          <w:rFonts w:ascii="Times New Roman" w:hAnsi="Times New Roman" w:cs="Times New Roman"/>
          <w:bCs/>
          <w:sz w:val="24"/>
          <w:szCs w:val="24"/>
        </w:rPr>
        <w:t>, scaled by firm asset</w:t>
      </w:r>
      <w:r w:rsidR="00091F9F">
        <w:rPr>
          <w:rFonts w:ascii="Times New Roman" w:hAnsi="Times New Roman" w:cs="Times New Roman"/>
          <w:bCs/>
          <w:sz w:val="24"/>
          <w:szCs w:val="24"/>
        </w:rPr>
        <w:t>s</w:t>
      </w:r>
      <w:r w:rsidR="008B06C1">
        <w:rPr>
          <w:rFonts w:ascii="Times New Roman" w:hAnsi="Times New Roman" w:cs="Times New Roman"/>
          <w:bCs/>
          <w:sz w:val="24"/>
          <w:szCs w:val="24"/>
        </w:rPr>
        <w:t xml:space="preserve">. </w:t>
      </w:r>
    </w:p>
    <w:p w:rsidR="00A526D7" w:rsidRDefault="008B06C1" w:rsidP="000E67C5">
      <w:pPr>
        <w:tabs>
          <w:tab w:val="left" w:pos="360"/>
          <w:tab w:val="left" w:pos="450"/>
          <w:tab w:val="left" w:pos="540"/>
        </w:tabs>
        <w:spacing w:before="240"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Table 7 shows the regression results.  </w:t>
      </w:r>
      <w:r w:rsidR="00A526D7">
        <w:rPr>
          <w:rFonts w:ascii="Times New Roman" w:hAnsi="Times New Roman" w:cs="Times New Roman"/>
          <w:bCs/>
          <w:sz w:val="24"/>
          <w:szCs w:val="24"/>
        </w:rPr>
        <w:t>Higher compensation leverage and inside debt have a significant negative effect o</w:t>
      </w:r>
      <w:r w:rsidR="0002377D">
        <w:rPr>
          <w:rFonts w:ascii="Times New Roman" w:hAnsi="Times New Roman" w:cs="Times New Roman"/>
          <w:bCs/>
          <w:sz w:val="24"/>
          <w:szCs w:val="24"/>
        </w:rPr>
        <w:t>n</w:t>
      </w:r>
      <w:r w:rsidR="00A526D7">
        <w:rPr>
          <w:rFonts w:ascii="Times New Roman" w:hAnsi="Times New Roman" w:cs="Times New Roman"/>
          <w:bCs/>
          <w:sz w:val="24"/>
          <w:szCs w:val="24"/>
        </w:rPr>
        <w:t xml:space="preserve"> the dividend net of stock repurchase</w:t>
      </w:r>
      <w:r w:rsidR="00CB491A">
        <w:rPr>
          <w:rFonts w:ascii="Times New Roman" w:hAnsi="Times New Roman" w:cs="Times New Roman"/>
          <w:bCs/>
          <w:sz w:val="24"/>
          <w:szCs w:val="24"/>
        </w:rPr>
        <w:t>s</w:t>
      </w:r>
      <w:r w:rsidR="00A526D7">
        <w:rPr>
          <w:rFonts w:ascii="Times New Roman" w:hAnsi="Times New Roman" w:cs="Times New Roman"/>
          <w:bCs/>
          <w:sz w:val="24"/>
          <w:szCs w:val="24"/>
        </w:rPr>
        <w:t xml:space="preserve"> (</w:t>
      </w:r>
      <w:r w:rsidR="00A526D7" w:rsidRPr="00773E03">
        <w:rPr>
          <w:rFonts w:ascii="Times New Roman" w:hAnsi="Times New Roman" w:cs="Times New Roman"/>
          <w:bCs/>
          <w:i/>
          <w:sz w:val="24"/>
          <w:szCs w:val="24"/>
        </w:rPr>
        <w:t>t</w:t>
      </w:r>
      <w:r w:rsidR="00A526D7">
        <w:rPr>
          <w:rFonts w:ascii="Times New Roman" w:hAnsi="Times New Roman" w:cs="Times New Roman"/>
          <w:bCs/>
          <w:sz w:val="24"/>
          <w:szCs w:val="24"/>
        </w:rPr>
        <w:t>-statistics between -2.02 and -2.94). This suggests that managers who expect large pension payouts will prefer to distribute cash to shareholders via stock repurchase</w:t>
      </w:r>
      <w:r w:rsidR="007B6D7A">
        <w:rPr>
          <w:rFonts w:ascii="Times New Roman" w:hAnsi="Times New Roman" w:cs="Times New Roman"/>
          <w:bCs/>
          <w:sz w:val="24"/>
          <w:szCs w:val="24"/>
        </w:rPr>
        <w:t>s</w:t>
      </w:r>
      <w:r w:rsidR="00A526D7">
        <w:rPr>
          <w:rFonts w:ascii="Times New Roman" w:hAnsi="Times New Roman" w:cs="Times New Roman"/>
          <w:bCs/>
          <w:sz w:val="24"/>
          <w:szCs w:val="24"/>
        </w:rPr>
        <w:t xml:space="preserve"> over dividend</w:t>
      </w:r>
      <w:r w:rsidR="007B6D7A">
        <w:rPr>
          <w:rFonts w:ascii="Times New Roman" w:hAnsi="Times New Roman" w:cs="Times New Roman"/>
          <w:bCs/>
          <w:sz w:val="24"/>
          <w:szCs w:val="24"/>
        </w:rPr>
        <w:t>s</w:t>
      </w:r>
      <w:r w:rsidR="00A526D7">
        <w:rPr>
          <w:rFonts w:ascii="Times New Roman" w:hAnsi="Times New Roman" w:cs="Times New Roman"/>
          <w:bCs/>
          <w:sz w:val="24"/>
          <w:szCs w:val="24"/>
        </w:rPr>
        <w:t>, as current repurchase</w:t>
      </w:r>
      <w:r w:rsidR="007B6D7A">
        <w:rPr>
          <w:rFonts w:ascii="Times New Roman" w:hAnsi="Times New Roman" w:cs="Times New Roman"/>
          <w:bCs/>
          <w:sz w:val="24"/>
          <w:szCs w:val="24"/>
        </w:rPr>
        <w:t>s</w:t>
      </w:r>
      <w:r w:rsidR="00A526D7">
        <w:rPr>
          <w:rFonts w:ascii="Times New Roman" w:hAnsi="Times New Roman" w:cs="Times New Roman"/>
          <w:bCs/>
          <w:sz w:val="24"/>
          <w:szCs w:val="24"/>
        </w:rPr>
        <w:t xml:space="preserve"> do not “promise” similar payments in the following years. </w:t>
      </w:r>
      <w:r w:rsidR="007F67D2">
        <w:rPr>
          <w:rFonts w:ascii="Times New Roman" w:hAnsi="Times New Roman" w:cs="Times New Roman"/>
          <w:bCs/>
          <w:sz w:val="24"/>
          <w:szCs w:val="24"/>
        </w:rPr>
        <w:t xml:space="preserve">This result is consistent with our hypothesis. </w:t>
      </w:r>
      <w:r w:rsidR="00A526D7">
        <w:rPr>
          <w:rFonts w:ascii="Times New Roman" w:hAnsi="Times New Roman" w:cs="Times New Roman"/>
          <w:bCs/>
          <w:sz w:val="24"/>
          <w:szCs w:val="24"/>
        </w:rPr>
        <w:t xml:space="preserve">The 2SLS regressions in Table 8 show </w:t>
      </w:r>
      <w:r w:rsidR="00224932">
        <w:rPr>
          <w:rFonts w:ascii="Times New Roman" w:hAnsi="Times New Roman" w:cs="Times New Roman"/>
          <w:bCs/>
          <w:sz w:val="24"/>
          <w:szCs w:val="24"/>
        </w:rPr>
        <w:t xml:space="preserve">a </w:t>
      </w:r>
      <w:r w:rsidR="007F67D2">
        <w:rPr>
          <w:rFonts w:ascii="Times New Roman" w:hAnsi="Times New Roman" w:cs="Times New Roman"/>
          <w:bCs/>
          <w:sz w:val="24"/>
          <w:szCs w:val="24"/>
        </w:rPr>
        <w:t>similar</w:t>
      </w:r>
      <w:r w:rsidR="00A526D7">
        <w:rPr>
          <w:rFonts w:ascii="Times New Roman" w:hAnsi="Times New Roman" w:cs="Times New Roman"/>
          <w:bCs/>
          <w:sz w:val="24"/>
          <w:szCs w:val="24"/>
        </w:rPr>
        <w:t xml:space="preserve"> effect</w:t>
      </w:r>
      <w:r w:rsidR="00A100F6">
        <w:rPr>
          <w:rFonts w:ascii="Times New Roman" w:hAnsi="Times New Roman" w:cs="Times New Roman"/>
          <w:bCs/>
          <w:sz w:val="24"/>
          <w:szCs w:val="24"/>
        </w:rPr>
        <w:t>: managers with high levels</w:t>
      </w:r>
      <w:r w:rsidR="00A526D7">
        <w:rPr>
          <w:rFonts w:ascii="Times New Roman" w:hAnsi="Times New Roman" w:cs="Times New Roman"/>
          <w:bCs/>
          <w:sz w:val="24"/>
          <w:szCs w:val="24"/>
        </w:rPr>
        <w:t xml:space="preserve"> </w:t>
      </w:r>
      <w:r w:rsidR="007F67D2">
        <w:rPr>
          <w:rFonts w:ascii="Times New Roman" w:hAnsi="Times New Roman" w:cs="Times New Roman"/>
          <w:bCs/>
          <w:sz w:val="24"/>
          <w:szCs w:val="24"/>
        </w:rPr>
        <w:t>of compensation leverage prefer stock repurchase</w:t>
      </w:r>
      <w:r w:rsidR="00A100F6">
        <w:rPr>
          <w:rFonts w:ascii="Times New Roman" w:hAnsi="Times New Roman" w:cs="Times New Roman"/>
          <w:bCs/>
          <w:sz w:val="24"/>
          <w:szCs w:val="24"/>
        </w:rPr>
        <w:t>s</w:t>
      </w:r>
      <w:r w:rsidR="007F67D2">
        <w:rPr>
          <w:rFonts w:ascii="Times New Roman" w:hAnsi="Times New Roman" w:cs="Times New Roman"/>
          <w:bCs/>
          <w:sz w:val="24"/>
          <w:szCs w:val="24"/>
        </w:rPr>
        <w:t xml:space="preserve"> (</w:t>
      </w:r>
      <w:r w:rsidR="007F67D2" w:rsidRPr="00773E03">
        <w:rPr>
          <w:rFonts w:ascii="Times New Roman" w:hAnsi="Times New Roman" w:cs="Times New Roman"/>
          <w:bCs/>
          <w:i/>
          <w:sz w:val="24"/>
          <w:szCs w:val="24"/>
        </w:rPr>
        <w:t>t</w:t>
      </w:r>
      <w:r w:rsidR="007F67D2">
        <w:rPr>
          <w:rFonts w:ascii="Times New Roman" w:hAnsi="Times New Roman" w:cs="Times New Roman"/>
          <w:bCs/>
          <w:sz w:val="24"/>
          <w:szCs w:val="24"/>
        </w:rPr>
        <w:t>-statistics of -2.13 and -3.34). No similar effect, however, is found for the extent of inside debt.</w:t>
      </w:r>
    </w:p>
    <w:p w:rsidR="000E67C5" w:rsidRDefault="000E67C5" w:rsidP="000E67C5">
      <w:pPr>
        <w:tabs>
          <w:tab w:val="left" w:pos="360"/>
          <w:tab w:val="left" w:pos="450"/>
          <w:tab w:val="left" w:pos="540"/>
        </w:tabs>
        <w:spacing w:after="0" w:line="480" w:lineRule="auto"/>
        <w:ind w:firstLine="360"/>
        <w:jc w:val="both"/>
        <w:rPr>
          <w:rFonts w:ascii="Times New Roman" w:hAnsi="Times New Roman" w:cs="Times New Roman"/>
          <w:bCs/>
          <w:sz w:val="24"/>
          <w:szCs w:val="24"/>
        </w:rPr>
      </w:pPr>
    </w:p>
    <w:p w:rsidR="00004950" w:rsidRDefault="00004950" w:rsidP="000E67C5">
      <w:pPr>
        <w:tabs>
          <w:tab w:val="left" w:pos="360"/>
          <w:tab w:val="left" w:pos="450"/>
          <w:tab w:val="left" w:pos="540"/>
        </w:tabs>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t>6</w:t>
      </w:r>
      <w:r w:rsidRPr="0074704D">
        <w:rPr>
          <w:rFonts w:ascii="Times New Roman" w:hAnsi="Times New Roman" w:cs="Times New Roman"/>
          <w:bCs/>
          <w:i/>
          <w:sz w:val="24"/>
          <w:szCs w:val="24"/>
        </w:rPr>
        <w:t>.</w:t>
      </w:r>
      <w:r w:rsidR="00CC725B">
        <w:rPr>
          <w:rFonts w:ascii="Times New Roman" w:hAnsi="Times New Roman" w:cs="Times New Roman"/>
          <w:bCs/>
          <w:i/>
          <w:sz w:val="24"/>
          <w:szCs w:val="24"/>
        </w:rPr>
        <w:t>3</w:t>
      </w:r>
      <w:r>
        <w:rPr>
          <w:rFonts w:ascii="Times New Roman" w:hAnsi="Times New Roman" w:cs="Times New Roman"/>
          <w:bCs/>
          <w:i/>
          <w:sz w:val="24"/>
          <w:szCs w:val="24"/>
        </w:rPr>
        <w:tab/>
      </w:r>
      <w:r>
        <w:rPr>
          <w:rFonts w:ascii="Times New Roman" w:hAnsi="Times New Roman" w:cs="Times New Roman"/>
          <w:bCs/>
          <w:i/>
          <w:sz w:val="24"/>
          <w:szCs w:val="24"/>
        </w:rPr>
        <w:tab/>
        <w:t xml:space="preserve">Hypothesis </w:t>
      </w:r>
      <w:r w:rsidR="00CC725B">
        <w:rPr>
          <w:rFonts w:ascii="Times New Roman" w:hAnsi="Times New Roman" w:cs="Times New Roman"/>
          <w:bCs/>
          <w:i/>
          <w:sz w:val="24"/>
          <w:szCs w:val="24"/>
        </w:rPr>
        <w:t>3</w:t>
      </w:r>
    </w:p>
    <w:p w:rsidR="001B0699" w:rsidRDefault="00431D7A" w:rsidP="00633CE5">
      <w:pPr>
        <w:tabs>
          <w:tab w:val="left" w:pos="360"/>
          <w:tab w:val="left" w:pos="450"/>
          <w:tab w:val="left" w:pos="540"/>
        </w:tabs>
        <w:spacing w:before="120" w:after="0" w:line="480" w:lineRule="auto"/>
        <w:jc w:val="both"/>
        <w:rPr>
          <w:rFonts w:ascii="Times New Roman" w:hAnsi="Times New Roman"/>
          <w:sz w:val="24"/>
          <w:szCs w:val="24"/>
        </w:rPr>
      </w:pPr>
      <w:r>
        <w:rPr>
          <w:rFonts w:ascii="Times New Roman" w:hAnsi="Times New Roman"/>
          <w:sz w:val="24"/>
          <w:szCs w:val="24"/>
        </w:rPr>
        <w:t>The association between pension</w:t>
      </w:r>
      <w:r w:rsidR="00112F27">
        <w:rPr>
          <w:rFonts w:ascii="Times New Roman" w:hAnsi="Times New Roman"/>
          <w:sz w:val="24"/>
          <w:szCs w:val="24"/>
        </w:rPr>
        <w:t>s</w:t>
      </w:r>
      <w:r>
        <w:rPr>
          <w:rFonts w:ascii="Times New Roman" w:hAnsi="Times New Roman"/>
          <w:sz w:val="24"/>
          <w:szCs w:val="24"/>
        </w:rPr>
        <w:t xml:space="preserve"> and dividend</w:t>
      </w:r>
      <w:r w:rsidR="00112F27">
        <w:rPr>
          <w:rFonts w:ascii="Times New Roman" w:hAnsi="Times New Roman"/>
          <w:sz w:val="24"/>
          <w:szCs w:val="24"/>
        </w:rPr>
        <w:t>s</w:t>
      </w:r>
      <w:r>
        <w:rPr>
          <w:rFonts w:ascii="Times New Roman" w:hAnsi="Times New Roman"/>
          <w:sz w:val="24"/>
          <w:szCs w:val="24"/>
        </w:rPr>
        <w:t xml:space="preserve"> is consistent with our expectation that managers will try to avoid high dividend payments that </w:t>
      </w:r>
      <w:r w:rsidR="00112F27">
        <w:rPr>
          <w:rFonts w:ascii="Times New Roman" w:hAnsi="Times New Roman"/>
          <w:sz w:val="24"/>
          <w:szCs w:val="24"/>
        </w:rPr>
        <w:t>might</w:t>
      </w:r>
      <w:r>
        <w:rPr>
          <w:rFonts w:ascii="Times New Roman" w:hAnsi="Times New Roman"/>
          <w:sz w:val="24"/>
          <w:szCs w:val="24"/>
        </w:rPr>
        <w:t xml:space="preserve"> risk their future pension payouts. </w:t>
      </w:r>
      <w:r w:rsidR="00112F27">
        <w:rPr>
          <w:rFonts w:ascii="Times New Roman" w:hAnsi="Times New Roman"/>
          <w:sz w:val="24"/>
          <w:szCs w:val="24"/>
        </w:rPr>
        <w:t>The i</w:t>
      </w:r>
      <w:r>
        <w:rPr>
          <w:rFonts w:ascii="Times New Roman" w:hAnsi="Times New Roman"/>
          <w:sz w:val="24"/>
          <w:szCs w:val="24"/>
        </w:rPr>
        <w:t xml:space="preserve">dentification of the </w:t>
      </w:r>
      <w:r w:rsidR="00112F27">
        <w:rPr>
          <w:rFonts w:ascii="Times New Roman" w:hAnsi="Times New Roman"/>
          <w:sz w:val="24"/>
          <w:szCs w:val="24"/>
        </w:rPr>
        <w:t xml:space="preserve">pension plan </w:t>
      </w:r>
      <w:r>
        <w:rPr>
          <w:rFonts w:ascii="Times New Roman" w:hAnsi="Times New Roman"/>
          <w:sz w:val="24"/>
          <w:szCs w:val="24"/>
        </w:rPr>
        <w:t xml:space="preserve">funding status in our data provides a natural variable to further verify our hypothesis. </w:t>
      </w:r>
      <w:r w:rsidR="001B0699">
        <w:rPr>
          <w:rFonts w:ascii="Times New Roman" w:hAnsi="Times New Roman"/>
          <w:sz w:val="24"/>
          <w:szCs w:val="24"/>
        </w:rPr>
        <w:t>If the theory holds, p</w:t>
      </w:r>
      <w:r>
        <w:rPr>
          <w:rFonts w:ascii="Times New Roman" w:hAnsi="Times New Roman"/>
          <w:sz w:val="24"/>
          <w:szCs w:val="24"/>
        </w:rPr>
        <w:t>re-funding executives’ pension</w:t>
      </w:r>
      <w:r w:rsidR="00112F27">
        <w:rPr>
          <w:rFonts w:ascii="Times New Roman" w:hAnsi="Times New Roman"/>
          <w:sz w:val="24"/>
          <w:szCs w:val="24"/>
        </w:rPr>
        <w:t>s</w:t>
      </w:r>
      <w:r>
        <w:rPr>
          <w:rFonts w:ascii="Times New Roman" w:hAnsi="Times New Roman"/>
          <w:sz w:val="24"/>
          <w:szCs w:val="24"/>
        </w:rPr>
        <w:t xml:space="preserve"> before retirement </w:t>
      </w:r>
      <w:r w:rsidR="001B0699">
        <w:rPr>
          <w:rFonts w:ascii="Times New Roman" w:hAnsi="Times New Roman"/>
          <w:sz w:val="24"/>
          <w:szCs w:val="24"/>
        </w:rPr>
        <w:t xml:space="preserve">should </w:t>
      </w:r>
      <w:r w:rsidR="00F7435F">
        <w:rPr>
          <w:rFonts w:ascii="Times New Roman" w:hAnsi="Times New Roman"/>
          <w:sz w:val="24"/>
          <w:szCs w:val="24"/>
        </w:rPr>
        <w:t xml:space="preserve">neutralize the risk of losing future pension payouts and thus weaken the managerial incentive to keep internal funds in the company. </w:t>
      </w:r>
    </w:p>
    <w:p w:rsidR="0018327A" w:rsidRPr="00EA24B1" w:rsidRDefault="001B0699" w:rsidP="007B243F">
      <w:pPr>
        <w:tabs>
          <w:tab w:val="left" w:pos="360"/>
          <w:tab w:val="left" w:pos="450"/>
          <w:tab w:val="left" w:pos="540"/>
        </w:tabs>
        <w:spacing w:before="240" w:after="0" w:line="480" w:lineRule="auto"/>
        <w:jc w:val="both"/>
        <w:rPr>
          <w:rFonts w:ascii="Times New Roman" w:hAnsi="Times New Roman"/>
          <w:sz w:val="24"/>
          <w:szCs w:val="24"/>
        </w:rPr>
      </w:pPr>
      <w:r>
        <w:rPr>
          <w:rFonts w:ascii="Times New Roman" w:hAnsi="Times New Roman"/>
          <w:sz w:val="24"/>
          <w:szCs w:val="24"/>
        </w:rPr>
        <w:tab/>
      </w:r>
      <w:r w:rsidR="00F7435F">
        <w:rPr>
          <w:rFonts w:ascii="Times New Roman" w:hAnsi="Times New Roman"/>
          <w:sz w:val="24"/>
          <w:szCs w:val="24"/>
        </w:rPr>
        <w:t>We divide our sample into firm-years in which pension plans are funded via a rabbi trust (24% of our sample), and firm-years with unfunded pension plans</w:t>
      </w:r>
      <w:r w:rsidR="0093418B">
        <w:rPr>
          <w:rFonts w:ascii="Times New Roman" w:hAnsi="Times New Roman"/>
          <w:sz w:val="24"/>
          <w:szCs w:val="24"/>
        </w:rPr>
        <w:t xml:space="preserve">. </w:t>
      </w:r>
      <w:r w:rsidR="00091F9F">
        <w:rPr>
          <w:rFonts w:ascii="Times New Roman" w:hAnsi="Times New Roman"/>
          <w:sz w:val="24"/>
          <w:szCs w:val="24"/>
        </w:rPr>
        <w:t xml:space="preserve">We </w:t>
      </w:r>
      <w:r w:rsidR="0079584E">
        <w:rPr>
          <w:rFonts w:ascii="Times New Roman" w:hAnsi="Times New Roman"/>
          <w:sz w:val="24"/>
          <w:szCs w:val="24"/>
        </w:rPr>
        <w:t xml:space="preserve">regress dividend yield and </w:t>
      </w:r>
      <w:r w:rsidR="0079584E">
        <w:rPr>
          <w:rFonts w:ascii="Times New Roman" w:hAnsi="Times New Roman"/>
          <w:sz w:val="24"/>
          <w:szCs w:val="24"/>
        </w:rPr>
        <w:lastRenderedPageBreak/>
        <w:t>dividend payout ratio on the extent of pension</w:t>
      </w:r>
      <w:r>
        <w:rPr>
          <w:rFonts w:ascii="Times New Roman" w:hAnsi="Times New Roman"/>
          <w:sz w:val="24"/>
          <w:szCs w:val="24"/>
        </w:rPr>
        <w:t>s</w:t>
      </w:r>
      <w:r w:rsidR="0079584E">
        <w:rPr>
          <w:rFonts w:ascii="Times New Roman" w:hAnsi="Times New Roman"/>
          <w:sz w:val="24"/>
          <w:szCs w:val="24"/>
        </w:rPr>
        <w:t>, separately for the funded and unfunded pension plans.</w:t>
      </w:r>
      <w:r>
        <w:rPr>
          <w:rFonts w:ascii="Times New Roman" w:hAnsi="Times New Roman"/>
          <w:sz w:val="24"/>
          <w:szCs w:val="24"/>
        </w:rPr>
        <w:t xml:space="preserve"> T</w:t>
      </w:r>
      <w:r w:rsidR="007C1252">
        <w:rPr>
          <w:rFonts w:ascii="Times New Roman" w:hAnsi="Times New Roman"/>
          <w:sz w:val="24"/>
          <w:szCs w:val="24"/>
        </w:rPr>
        <w:t xml:space="preserve">he results in </w:t>
      </w:r>
      <w:r w:rsidR="00BB44C1">
        <w:rPr>
          <w:rFonts w:ascii="Times New Roman" w:hAnsi="Times New Roman"/>
          <w:sz w:val="24"/>
          <w:szCs w:val="24"/>
        </w:rPr>
        <w:t xml:space="preserve">Table </w:t>
      </w:r>
      <w:r w:rsidR="007C1252">
        <w:rPr>
          <w:rFonts w:ascii="Times New Roman" w:hAnsi="Times New Roman"/>
          <w:sz w:val="24"/>
          <w:szCs w:val="24"/>
        </w:rPr>
        <w:t>9</w:t>
      </w:r>
      <w:r w:rsidR="00BB44C1">
        <w:rPr>
          <w:rFonts w:ascii="Times New Roman" w:hAnsi="Times New Roman"/>
          <w:sz w:val="24"/>
          <w:szCs w:val="24"/>
        </w:rPr>
        <w:t xml:space="preserve"> show that when the CEO pension is funded, the effect of compensation leverage on dividend yield is weaker than when the pension are unfunded, but still significant (</w:t>
      </w:r>
      <w:r w:rsidR="00BB44C1" w:rsidRPr="00BB44C1">
        <w:rPr>
          <w:rFonts w:ascii="Times New Roman" w:hAnsi="Times New Roman"/>
          <w:i/>
          <w:sz w:val="24"/>
          <w:szCs w:val="24"/>
        </w:rPr>
        <w:t>t</w:t>
      </w:r>
      <w:r w:rsidR="00BB44C1">
        <w:rPr>
          <w:rFonts w:ascii="Times New Roman" w:hAnsi="Times New Roman"/>
          <w:sz w:val="24"/>
          <w:szCs w:val="24"/>
        </w:rPr>
        <w:t>-statistics of -3.</w:t>
      </w:r>
      <w:r w:rsidR="007C1252">
        <w:rPr>
          <w:rFonts w:ascii="Times New Roman" w:hAnsi="Times New Roman"/>
          <w:sz w:val="24"/>
          <w:szCs w:val="24"/>
        </w:rPr>
        <w:t>62</w:t>
      </w:r>
      <w:r w:rsidR="00BB44C1">
        <w:rPr>
          <w:rFonts w:ascii="Times New Roman" w:hAnsi="Times New Roman"/>
          <w:sz w:val="24"/>
          <w:szCs w:val="24"/>
        </w:rPr>
        <w:t xml:space="preserve"> and </w:t>
      </w:r>
      <w:r w:rsidR="007C1252">
        <w:rPr>
          <w:rFonts w:ascii="Times New Roman" w:hAnsi="Times New Roman"/>
          <w:sz w:val="24"/>
          <w:szCs w:val="24"/>
        </w:rPr>
        <w:t>-7.46</w:t>
      </w:r>
      <w:r w:rsidR="00BB44C1">
        <w:rPr>
          <w:rFonts w:ascii="Times New Roman" w:hAnsi="Times New Roman"/>
          <w:sz w:val="24"/>
          <w:szCs w:val="24"/>
        </w:rPr>
        <w:t>, respectively); the effect of CEO’s inside debt is completely eliminated when the pension is funded (</w:t>
      </w:r>
      <w:r w:rsidR="00BB44C1" w:rsidRPr="00BB44C1">
        <w:rPr>
          <w:rFonts w:ascii="Times New Roman" w:hAnsi="Times New Roman"/>
          <w:i/>
          <w:sz w:val="24"/>
          <w:szCs w:val="24"/>
        </w:rPr>
        <w:t>t</w:t>
      </w:r>
      <w:r w:rsidR="00BB44C1">
        <w:rPr>
          <w:rFonts w:ascii="Times New Roman" w:hAnsi="Times New Roman"/>
          <w:sz w:val="24"/>
          <w:szCs w:val="24"/>
        </w:rPr>
        <w:t xml:space="preserve">-statistic of </w:t>
      </w:r>
      <w:r w:rsidR="007C1252">
        <w:rPr>
          <w:rFonts w:ascii="Times New Roman" w:hAnsi="Times New Roman"/>
          <w:sz w:val="24"/>
          <w:szCs w:val="24"/>
        </w:rPr>
        <w:t>0.80</w:t>
      </w:r>
      <w:r w:rsidR="00BB44C1">
        <w:rPr>
          <w:rFonts w:ascii="Times New Roman" w:hAnsi="Times New Roman"/>
          <w:sz w:val="24"/>
          <w:szCs w:val="24"/>
        </w:rPr>
        <w:t xml:space="preserve">). </w:t>
      </w:r>
      <w:r w:rsidR="0018327A">
        <w:rPr>
          <w:rFonts w:ascii="Times New Roman" w:hAnsi="Times New Roman"/>
          <w:sz w:val="24"/>
          <w:szCs w:val="24"/>
        </w:rPr>
        <w:t>Similar differences</w:t>
      </w:r>
      <w:r w:rsidR="007C1252">
        <w:rPr>
          <w:rFonts w:ascii="Times New Roman" w:hAnsi="Times New Roman"/>
          <w:sz w:val="24"/>
          <w:szCs w:val="24"/>
        </w:rPr>
        <w:t>,</w:t>
      </w:r>
      <w:r w:rsidR="0018327A">
        <w:rPr>
          <w:rFonts w:ascii="Times New Roman" w:hAnsi="Times New Roman"/>
          <w:sz w:val="24"/>
          <w:szCs w:val="24"/>
        </w:rPr>
        <w:t xml:space="preserve"> albeit less significant</w:t>
      </w:r>
      <w:r w:rsidR="00BB44C1">
        <w:rPr>
          <w:rFonts w:ascii="Times New Roman" w:hAnsi="Times New Roman"/>
          <w:sz w:val="24"/>
          <w:szCs w:val="24"/>
        </w:rPr>
        <w:t xml:space="preserve"> </w:t>
      </w:r>
      <w:r w:rsidR="007C1252">
        <w:rPr>
          <w:rFonts w:ascii="Times New Roman" w:hAnsi="Times New Roman"/>
          <w:sz w:val="24"/>
          <w:szCs w:val="24"/>
        </w:rPr>
        <w:t xml:space="preserve">for inside debt, </w:t>
      </w:r>
      <w:r w:rsidR="0018327A">
        <w:rPr>
          <w:rFonts w:ascii="Times New Roman" w:hAnsi="Times New Roman"/>
          <w:sz w:val="24"/>
          <w:szCs w:val="24"/>
        </w:rPr>
        <w:t>are found when pension plans of all executives are considered (</w:t>
      </w:r>
      <w:r w:rsidR="007C1252">
        <w:rPr>
          <w:rFonts w:ascii="Times New Roman" w:hAnsi="Times New Roman"/>
          <w:sz w:val="24"/>
          <w:szCs w:val="24"/>
        </w:rPr>
        <w:t>Table 10</w:t>
      </w:r>
      <w:r w:rsidR="0018327A">
        <w:rPr>
          <w:rFonts w:ascii="Times New Roman" w:hAnsi="Times New Roman"/>
          <w:sz w:val="24"/>
          <w:szCs w:val="24"/>
        </w:rPr>
        <w:t xml:space="preserve">). </w:t>
      </w:r>
      <w:r w:rsidR="007C1252">
        <w:rPr>
          <w:rFonts w:ascii="Times New Roman" w:hAnsi="Times New Roman"/>
          <w:sz w:val="24"/>
          <w:szCs w:val="24"/>
        </w:rPr>
        <w:t>We find</w:t>
      </w:r>
      <w:r w:rsidR="0018327A">
        <w:rPr>
          <w:rFonts w:ascii="Times New Roman" w:hAnsi="Times New Roman"/>
          <w:sz w:val="24"/>
          <w:szCs w:val="24"/>
        </w:rPr>
        <w:t xml:space="preserve"> even stronger results when using the dividend payout ratio. The negative effect of pension</w:t>
      </w:r>
      <w:r w:rsidR="00D3369D">
        <w:rPr>
          <w:rFonts w:ascii="Times New Roman" w:hAnsi="Times New Roman"/>
          <w:sz w:val="24"/>
          <w:szCs w:val="24"/>
        </w:rPr>
        <w:t>s</w:t>
      </w:r>
      <w:r w:rsidR="0018327A">
        <w:rPr>
          <w:rFonts w:ascii="Times New Roman" w:hAnsi="Times New Roman"/>
          <w:sz w:val="24"/>
          <w:szCs w:val="24"/>
        </w:rPr>
        <w:t xml:space="preserve"> on dividend</w:t>
      </w:r>
      <w:r w:rsidR="00D3369D">
        <w:rPr>
          <w:rFonts w:ascii="Times New Roman" w:hAnsi="Times New Roman"/>
          <w:sz w:val="24"/>
          <w:szCs w:val="24"/>
        </w:rPr>
        <w:t>s</w:t>
      </w:r>
      <w:r w:rsidR="0018327A">
        <w:rPr>
          <w:rFonts w:ascii="Times New Roman" w:hAnsi="Times New Roman"/>
          <w:sz w:val="24"/>
          <w:szCs w:val="24"/>
        </w:rPr>
        <w:t xml:space="preserve"> is not significant in all regressions and is even often reversed. For the pension of the CEO (</w:t>
      </w:r>
      <w:r w:rsidR="007C1252">
        <w:rPr>
          <w:rFonts w:ascii="Times New Roman" w:hAnsi="Times New Roman"/>
          <w:sz w:val="24"/>
          <w:szCs w:val="24"/>
        </w:rPr>
        <w:t>Table 11</w:t>
      </w:r>
      <w:r w:rsidR="0018327A">
        <w:rPr>
          <w:rFonts w:ascii="Times New Roman" w:hAnsi="Times New Roman"/>
          <w:sz w:val="24"/>
          <w:szCs w:val="24"/>
        </w:rPr>
        <w:t>), the unfunded pension sample shows a significant negative effect of both compensation leverage and inside debt on dividend (</w:t>
      </w:r>
      <w:r w:rsidR="0018327A" w:rsidRPr="00EA24B1">
        <w:rPr>
          <w:rFonts w:ascii="Times New Roman" w:hAnsi="Times New Roman"/>
          <w:i/>
          <w:sz w:val="24"/>
          <w:szCs w:val="24"/>
        </w:rPr>
        <w:t>t</w:t>
      </w:r>
      <w:r w:rsidR="0018327A">
        <w:rPr>
          <w:rFonts w:ascii="Times New Roman" w:hAnsi="Times New Roman"/>
          <w:sz w:val="24"/>
          <w:szCs w:val="24"/>
        </w:rPr>
        <w:t>-statistics of -</w:t>
      </w:r>
      <w:r w:rsidR="00EA24B1">
        <w:rPr>
          <w:rFonts w:ascii="Times New Roman" w:hAnsi="Times New Roman"/>
          <w:sz w:val="24"/>
          <w:szCs w:val="24"/>
        </w:rPr>
        <w:t>9</w:t>
      </w:r>
      <w:r w:rsidR="007C1252">
        <w:rPr>
          <w:rFonts w:ascii="Times New Roman" w:hAnsi="Times New Roman"/>
          <w:sz w:val="24"/>
          <w:szCs w:val="24"/>
        </w:rPr>
        <w:t>.</w:t>
      </w:r>
      <w:r w:rsidR="00EA24B1">
        <w:rPr>
          <w:rFonts w:ascii="Times New Roman" w:hAnsi="Times New Roman"/>
          <w:sz w:val="24"/>
          <w:szCs w:val="24"/>
        </w:rPr>
        <w:t>80</w:t>
      </w:r>
      <w:r w:rsidR="0018327A">
        <w:rPr>
          <w:rFonts w:ascii="Times New Roman" w:hAnsi="Times New Roman"/>
          <w:sz w:val="24"/>
          <w:szCs w:val="24"/>
        </w:rPr>
        <w:t xml:space="preserve"> and -3</w:t>
      </w:r>
      <w:r w:rsidR="007C1252">
        <w:rPr>
          <w:rFonts w:ascii="Times New Roman" w:hAnsi="Times New Roman"/>
          <w:sz w:val="24"/>
          <w:szCs w:val="24"/>
        </w:rPr>
        <w:t>.70</w:t>
      </w:r>
      <w:r w:rsidR="0018327A">
        <w:rPr>
          <w:rFonts w:ascii="Times New Roman" w:hAnsi="Times New Roman"/>
          <w:sz w:val="24"/>
          <w:szCs w:val="24"/>
        </w:rPr>
        <w:t>), while this effect is eliminated or even rever</w:t>
      </w:r>
      <w:r w:rsidR="00D3369D">
        <w:rPr>
          <w:rFonts w:ascii="Times New Roman" w:hAnsi="Times New Roman"/>
          <w:sz w:val="24"/>
          <w:szCs w:val="24"/>
        </w:rPr>
        <w:t>s</w:t>
      </w:r>
      <w:r w:rsidR="0018327A">
        <w:rPr>
          <w:rFonts w:ascii="Times New Roman" w:hAnsi="Times New Roman"/>
          <w:sz w:val="24"/>
          <w:szCs w:val="24"/>
        </w:rPr>
        <w:t>ed for funded pensions (</w:t>
      </w:r>
      <w:r w:rsidR="0018327A" w:rsidRPr="00EA24B1">
        <w:rPr>
          <w:rFonts w:ascii="Times New Roman" w:hAnsi="Times New Roman"/>
          <w:i/>
          <w:sz w:val="24"/>
          <w:szCs w:val="24"/>
        </w:rPr>
        <w:t>t</w:t>
      </w:r>
      <w:r w:rsidR="0018327A">
        <w:rPr>
          <w:rFonts w:ascii="Times New Roman" w:hAnsi="Times New Roman"/>
          <w:sz w:val="24"/>
          <w:szCs w:val="24"/>
        </w:rPr>
        <w:t xml:space="preserve">-statistics of </w:t>
      </w:r>
      <w:r w:rsidR="00EA24B1">
        <w:rPr>
          <w:rFonts w:ascii="Times New Roman" w:hAnsi="Times New Roman"/>
          <w:sz w:val="24"/>
          <w:szCs w:val="24"/>
        </w:rPr>
        <w:t xml:space="preserve">2.02 and -0.07). </w:t>
      </w:r>
      <w:r w:rsidR="0018327A">
        <w:rPr>
          <w:rFonts w:ascii="Times New Roman" w:hAnsi="Times New Roman"/>
          <w:sz w:val="24"/>
          <w:szCs w:val="24"/>
        </w:rPr>
        <w:t xml:space="preserve"> </w:t>
      </w:r>
      <w:r w:rsidR="007C1252">
        <w:rPr>
          <w:rFonts w:ascii="Times New Roman" w:hAnsi="Times New Roman"/>
          <w:sz w:val="24"/>
          <w:szCs w:val="24"/>
        </w:rPr>
        <w:t>Table 12</w:t>
      </w:r>
      <w:r w:rsidR="00EA24B1">
        <w:rPr>
          <w:rFonts w:ascii="Times New Roman" w:hAnsi="Times New Roman"/>
          <w:sz w:val="24"/>
          <w:szCs w:val="24"/>
        </w:rPr>
        <w:t xml:space="preserve"> shows similar pattern for the pension of all top executives (</w:t>
      </w:r>
      <w:r w:rsidR="00EA24B1" w:rsidRPr="00EA24B1">
        <w:rPr>
          <w:rFonts w:ascii="Times New Roman" w:hAnsi="Times New Roman"/>
          <w:i/>
          <w:sz w:val="24"/>
          <w:szCs w:val="24"/>
        </w:rPr>
        <w:t>t</w:t>
      </w:r>
      <w:r w:rsidR="00EA24B1">
        <w:rPr>
          <w:rFonts w:ascii="Times New Roman" w:hAnsi="Times New Roman"/>
          <w:sz w:val="24"/>
          <w:szCs w:val="24"/>
        </w:rPr>
        <w:t xml:space="preserve">-statistics of -7.49 and -4.70 for unfunded pension, and </w:t>
      </w:r>
      <w:r w:rsidR="00EA24B1">
        <w:rPr>
          <w:rFonts w:ascii="Times New Roman" w:hAnsi="Times New Roman"/>
          <w:i/>
          <w:sz w:val="24"/>
          <w:szCs w:val="24"/>
        </w:rPr>
        <w:t>t</w:t>
      </w:r>
      <w:r w:rsidR="00EA24B1">
        <w:rPr>
          <w:rFonts w:ascii="Times New Roman" w:hAnsi="Times New Roman"/>
          <w:sz w:val="24"/>
          <w:szCs w:val="24"/>
        </w:rPr>
        <w:t xml:space="preserve">-statistics of 1.96 and -1.41 for funded pensions). </w:t>
      </w:r>
    </w:p>
    <w:p w:rsidR="00812396" w:rsidRDefault="0079584E" w:rsidP="000E67C5">
      <w:pPr>
        <w:tabs>
          <w:tab w:val="left" w:pos="360"/>
          <w:tab w:val="left" w:pos="450"/>
          <w:tab w:val="left" w:pos="540"/>
        </w:tabs>
        <w:spacing w:before="240" w:after="0" w:line="480" w:lineRule="auto"/>
        <w:ind w:firstLine="360"/>
        <w:jc w:val="both"/>
        <w:rPr>
          <w:rFonts w:ascii="Times New Roman" w:hAnsi="Times New Roman"/>
          <w:sz w:val="24"/>
          <w:szCs w:val="24"/>
        </w:rPr>
      </w:pPr>
      <w:r>
        <w:rPr>
          <w:rFonts w:ascii="Times New Roman" w:hAnsi="Times New Roman"/>
          <w:sz w:val="24"/>
          <w:szCs w:val="24"/>
        </w:rPr>
        <w:t xml:space="preserve">  </w:t>
      </w:r>
      <w:r w:rsidR="00EA24B1">
        <w:rPr>
          <w:rFonts w:ascii="Times New Roman" w:hAnsi="Times New Roman"/>
          <w:sz w:val="24"/>
          <w:szCs w:val="24"/>
        </w:rPr>
        <w:t xml:space="preserve">The results in Tables </w:t>
      </w:r>
      <w:r w:rsidR="00954CC6">
        <w:rPr>
          <w:rFonts w:ascii="Times New Roman" w:hAnsi="Times New Roman"/>
          <w:sz w:val="24"/>
          <w:szCs w:val="24"/>
        </w:rPr>
        <w:t>9</w:t>
      </w:r>
      <w:r w:rsidR="00AC6B5E">
        <w:rPr>
          <w:rFonts w:ascii="Times New Roman" w:hAnsi="Times New Roman"/>
          <w:sz w:val="24"/>
          <w:szCs w:val="24"/>
        </w:rPr>
        <w:t xml:space="preserve"> thru </w:t>
      </w:r>
      <w:r w:rsidR="00954CC6">
        <w:rPr>
          <w:rFonts w:ascii="Times New Roman" w:hAnsi="Times New Roman"/>
          <w:sz w:val="24"/>
          <w:szCs w:val="24"/>
        </w:rPr>
        <w:t>12</w:t>
      </w:r>
      <w:r w:rsidR="00EA24B1">
        <w:rPr>
          <w:rFonts w:ascii="Times New Roman" w:hAnsi="Times New Roman"/>
          <w:sz w:val="24"/>
          <w:szCs w:val="24"/>
        </w:rPr>
        <w:t xml:space="preserve"> have </w:t>
      </w:r>
      <w:r w:rsidR="00EE7BA2">
        <w:rPr>
          <w:rFonts w:ascii="Times New Roman" w:hAnsi="Times New Roman"/>
          <w:sz w:val="24"/>
          <w:szCs w:val="24"/>
        </w:rPr>
        <w:t>important</w:t>
      </w:r>
      <w:r w:rsidR="00EA24B1">
        <w:rPr>
          <w:rFonts w:ascii="Times New Roman" w:hAnsi="Times New Roman"/>
          <w:sz w:val="24"/>
          <w:szCs w:val="24"/>
        </w:rPr>
        <w:t xml:space="preserve"> implications. </w:t>
      </w:r>
      <w:r w:rsidR="00BE0DE9">
        <w:rPr>
          <w:rFonts w:ascii="Times New Roman" w:hAnsi="Times New Roman"/>
          <w:sz w:val="24"/>
          <w:szCs w:val="24"/>
        </w:rPr>
        <w:t xml:space="preserve">First, the mitigating effect </w:t>
      </w:r>
      <w:r w:rsidR="001665E3">
        <w:rPr>
          <w:rFonts w:ascii="Times New Roman" w:hAnsi="Times New Roman"/>
          <w:sz w:val="24"/>
          <w:szCs w:val="24"/>
        </w:rPr>
        <w:t xml:space="preserve">of </w:t>
      </w:r>
      <w:r w:rsidR="00BE0DE9">
        <w:rPr>
          <w:rFonts w:ascii="Times New Roman" w:hAnsi="Times New Roman"/>
          <w:sz w:val="24"/>
          <w:szCs w:val="24"/>
        </w:rPr>
        <w:t xml:space="preserve">pension funding on the pension-dividend relation provides direct support </w:t>
      </w:r>
      <w:r w:rsidR="00AC6B5E">
        <w:rPr>
          <w:rFonts w:ascii="Times New Roman" w:hAnsi="Times New Roman"/>
          <w:sz w:val="24"/>
          <w:szCs w:val="24"/>
        </w:rPr>
        <w:t xml:space="preserve">for </w:t>
      </w:r>
      <w:r w:rsidR="00BE0DE9">
        <w:rPr>
          <w:rFonts w:ascii="Times New Roman" w:hAnsi="Times New Roman"/>
          <w:sz w:val="24"/>
          <w:szCs w:val="24"/>
        </w:rPr>
        <w:t>the premise of our study. Managers prefer low</w:t>
      </w:r>
      <w:r w:rsidR="00AC6B5E">
        <w:rPr>
          <w:rFonts w:ascii="Times New Roman" w:hAnsi="Times New Roman"/>
          <w:sz w:val="24"/>
          <w:szCs w:val="24"/>
        </w:rPr>
        <w:t>er</w:t>
      </w:r>
      <w:r w:rsidR="00BE0DE9">
        <w:rPr>
          <w:rFonts w:ascii="Times New Roman" w:hAnsi="Times New Roman"/>
          <w:sz w:val="24"/>
          <w:szCs w:val="24"/>
        </w:rPr>
        <w:t xml:space="preserve"> </w:t>
      </w:r>
      <w:r w:rsidR="00AC6B5E">
        <w:rPr>
          <w:rFonts w:ascii="Times New Roman" w:hAnsi="Times New Roman"/>
          <w:sz w:val="24"/>
          <w:szCs w:val="24"/>
        </w:rPr>
        <w:t xml:space="preserve">cash flow </w:t>
      </w:r>
      <w:r w:rsidR="00BE0DE9">
        <w:rPr>
          <w:rFonts w:ascii="Times New Roman" w:hAnsi="Times New Roman"/>
          <w:sz w:val="24"/>
          <w:szCs w:val="24"/>
        </w:rPr>
        <w:t xml:space="preserve">distributions when their pension payouts are not protected. Second, funding pensions </w:t>
      </w:r>
      <w:r w:rsidR="004C3A34">
        <w:rPr>
          <w:rFonts w:ascii="Times New Roman" w:hAnsi="Times New Roman"/>
          <w:sz w:val="24"/>
          <w:szCs w:val="24"/>
        </w:rPr>
        <w:t>via</w:t>
      </w:r>
      <w:r w:rsidR="00AC6B5E">
        <w:rPr>
          <w:rFonts w:ascii="Times New Roman" w:hAnsi="Times New Roman"/>
          <w:sz w:val="24"/>
          <w:szCs w:val="24"/>
        </w:rPr>
        <w:t xml:space="preserve"> a rabbi trust </w:t>
      </w:r>
      <w:r w:rsidR="00BE0DE9">
        <w:rPr>
          <w:rFonts w:ascii="Times New Roman" w:hAnsi="Times New Roman"/>
          <w:sz w:val="24"/>
          <w:szCs w:val="24"/>
        </w:rPr>
        <w:t>reduce</w:t>
      </w:r>
      <w:r w:rsidR="00786FE2">
        <w:rPr>
          <w:rFonts w:ascii="Times New Roman" w:hAnsi="Times New Roman"/>
          <w:sz w:val="24"/>
          <w:szCs w:val="24"/>
        </w:rPr>
        <w:t>s</w:t>
      </w:r>
      <w:r w:rsidR="00BE0DE9">
        <w:rPr>
          <w:rFonts w:ascii="Times New Roman" w:hAnsi="Times New Roman"/>
          <w:sz w:val="24"/>
          <w:szCs w:val="24"/>
        </w:rPr>
        <w:t xml:space="preserve"> the risk that managers will pay less than optimal dividend</w:t>
      </w:r>
      <w:r w:rsidR="00AC6B5E">
        <w:rPr>
          <w:rFonts w:ascii="Times New Roman" w:hAnsi="Times New Roman"/>
          <w:sz w:val="24"/>
          <w:szCs w:val="24"/>
        </w:rPr>
        <w:t>s</w:t>
      </w:r>
      <w:r w:rsidR="00BE0DE9">
        <w:rPr>
          <w:rFonts w:ascii="Times New Roman" w:hAnsi="Times New Roman"/>
          <w:sz w:val="24"/>
          <w:szCs w:val="24"/>
        </w:rPr>
        <w:t xml:space="preserve">, and thus can serve as </w:t>
      </w:r>
      <w:r w:rsidR="00FF5AA0">
        <w:rPr>
          <w:rFonts w:ascii="Times New Roman" w:hAnsi="Times New Roman"/>
          <w:sz w:val="24"/>
          <w:szCs w:val="24"/>
        </w:rPr>
        <w:t>a</w:t>
      </w:r>
      <w:r w:rsidR="004C3A34">
        <w:rPr>
          <w:rFonts w:ascii="Times New Roman" w:hAnsi="Times New Roman"/>
          <w:sz w:val="24"/>
          <w:szCs w:val="24"/>
        </w:rPr>
        <w:t>n effective</w:t>
      </w:r>
      <w:r w:rsidR="00BE0DE9">
        <w:rPr>
          <w:rFonts w:ascii="Times New Roman" w:hAnsi="Times New Roman"/>
          <w:sz w:val="24"/>
          <w:szCs w:val="24"/>
        </w:rPr>
        <w:t xml:space="preserve"> tool</w:t>
      </w:r>
      <w:r w:rsidR="00FF5AA0">
        <w:rPr>
          <w:rFonts w:ascii="Times New Roman" w:hAnsi="Times New Roman"/>
          <w:sz w:val="24"/>
          <w:szCs w:val="24"/>
        </w:rPr>
        <w:t xml:space="preserve"> to mitigate this manager-owner agency problem. Yet we should note that some of the results show that the negative effect of </w:t>
      </w:r>
      <w:r w:rsidR="007700E7">
        <w:rPr>
          <w:rFonts w:ascii="Times New Roman" w:hAnsi="Times New Roman"/>
          <w:sz w:val="24"/>
          <w:szCs w:val="24"/>
        </w:rPr>
        <w:t xml:space="preserve">executive </w:t>
      </w:r>
      <w:r w:rsidR="00FF5AA0">
        <w:rPr>
          <w:rFonts w:ascii="Times New Roman" w:hAnsi="Times New Roman"/>
          <w:sz w:val="24"/>
          <w:szCs w:val="24"/>
        </w:rPr>
        <w:t>pension</w:t>
      </w:r>
      <w:r w:rsidR="007700E7">
        <w:rPr>
          <w:rFonts w:ascii="Times New Roman" w:hAnsi="Times New Roman"/>
          <w:sz w:val="24"/>
          <w:szCs w:val="24"/>
        </w:rPr>
        <w:t>s</w:t>
      </w:r>
      <w:r w:rsidR="00FF5AA0">
        <w:rPr>
          <w:rFonts w:ascii="Times New Roman" w:hAnsi="Times New Roman"/>
          <w:sz w:val="24"/>
          <w:szCs w:val="24"/>
        </w:rPr>
        <w:t xml:space="preserve"> on dividend</w:t>
      </w:r>
      <w:r w:rsidR="007700E7">
        <w:rPr>
          <w:rFonts w:ascii="Times New Roman" w:hAnsi="Times New Roman"/>
          <w:sz w:val="24"/>
          <w:szCs w:val="24"/>
        </w:rPr>
        <w:t>s</w:t>
      </w:r>
      <w:r w:rsidR="00FF5AA0">
        <w:rPr>
          <w:rFonts w:ascii="Times New Roman" w:hAnsi="Times New Roman"/>
          <w:sz w:val="24"/>
          <w:szCs w:val="24"/>
        </w:rPr>
        <w:t xml:space="preserve"> is not completely eliminated. </w:t>
      </w:r>
      <w:r w:rsidR="007700E7">
        <w:rPr>
          <w:rFonts w:ascii="Times New Roman" w:hAnsi="Times New Roman"/>
          <w:sz w:val="24"/>
          <w:szCs w:val="24"/>
        </w:rPr>
        <w:t xml:space="preserve">A reasonable explanation might </w:t>
      </w:r>
      <w:r w:rsidR="00FF5AA0">
        <w:rPr>
          <w:rFonts w:ascii="Times New Roman" w:hAnsi="Times New Roman"/>
          <w:sz w:val="24"/>
          <w:szCs w:val="24"/>
        </w:rPr>
        <w:t xml:space="preserve">be </w:t>
      </w:r>
      <w:r w:rsidR="007700E7">
        <w:rPr>
          <w:rFonts w:ascii="Times New Roman" w:hAnsi="Times New Roman"/>
          <w:sz w:val="24"/>
          <w:szCs w:val="24"/>
        </w:rPr>
        <w:t xml:space="preserve">that </w:t>
      </w:r>
      <w:r w:rsidR="00FF5AA0">
        <w:rPr>
          <w:rFonts w:ascii="Times New Roman" w:hAnsi="Times New Roman"/>
          <w:sz w:val="24"/>
          <w:szCs w:val="24"/>
        </w:rPr>
        <w:t xml:space="preserve">a rabbi trust offers no actual protection from firm </w:t>
      </w:r>
      <w:r w:rsidR="007700E7">
        <w:rPr>
          <w:rFonts w:ascii="Times New Roman" w:hAnsi="Times New Roman"/>
          <w:sz w:val="24"/>
          <w:szCs w:val="24"/>
        </w:rPr>
        <w:t xml:space="preserve">bankruptcy </w:t>
      </w:r>
      <w:r w:rsidR="00FF5AA0">
        <w:rPr>
          <w:rFonts w:ascii="Times New Roman" w:hAnsi="Times New Roman"/>
          <w:sz w:val="24"/>
          <w:szCs w:val="24"/>
        </w:rPr>
        <w:t xml:space="preserve">risk; </w:t>
      </w:r>
      <w:r w:rsidR="00812396">
        <w:rPr>
          <w:rFonts w:ascii="Times New Roman" w:hAnsi="Times New Roman"/>
          <w:sz w:val="24"/>
          <w:szCs w:val="24"/>
        </w:rPr>
        <w:t xml:space="preserve">although under rabbi trusts the actual likelihood of executives not receiving their pension is quite low (due lump-sum provisions and the numerous contractual options provided to executives), </w:t>
      </w:r>
      <w:r w:rsidR="00FF5AA0">
        <w:rPr>
          <w:rFonts w:ascii="Times New Roman" w:hAnsi="Times New Roman"/>
          <w:sz w:val="24"/>
          <w:szCs w:val="24"/>
        </w:rPr>
        <w:t xml:space="preserve">creditors of a bankrupt firm can still go after the rabbi </w:t>
      </w:r>
      <w:r w:rsidR="00FF5AA0">
        <w:rPr>
          <w:rFonts w:ascii="Times New Roman" w:hAnsi="Times New Roman"/>
          <w:sz w:val="24"/>
          <w:szCs w:val="24"/>
        </w:rPr>
        <w:lastRenderedPageBreak/>
        <w:t>trusts’ assets</w:t>
      </w:r>
      <w:r w:rsidR="00FF5AA0" w:rsidRPr="00EE6E16">
        <w:rPr>
          <w:rFonts w:ascii="Times New Roman" w:hAnsi="Times New Roman"/>
          <w:sz w:val="24"/>
          <w:szCs w:val="24"/>
        </w:rPr>
        <w:t xml:space="preserve">. </w:t>
      </w:r>
      <w:r w:rsidR="007700E7">
        <w:rPr>
          <w:rFonts w:ascii="Times New Roman" w:hAnsi="Times New Roman"/>
          <w:sz w:val="24"/>
          <w:szCs w:val="24"/>
        </w:rPr>
        <w:t>Nevertheless, t</w:t>
      </w:r>
      <w:r w:rsidR="00EE7BA2" w:rsidRPr="00EE6E16">
        <w:rPr>
          <w:rFonts w:ascii="Times New Roman" w:hAnsi="Times New Roman"/>
          <w:sz w:val="24"/>
          <w:szCs w:val="24"/>
        </w:rPr>
        <w:t xml:space="preserve">o the best of our knowledge this is the first study to show that pension funding </w:t>
      </w:r>
      <w:r w:rsidR="00126E6B" w:rsidRPr="00EE6E16">
        <w:rPr>
          <w:rFonts w:ascii="Times New Roman" w:hAnsi="Times New Roman"/>
          <w:sz w:val="24"/>
          <w:szCs w:val="24"/>
        </w:rPr>
        <w:t xml:space="preserve">status </w:t>
      </w:r>
      <w:r w:rsidR="00EE7BA2" w:rsidRPr="00EE6E16">
        <w:rPr>
          <w:rFonts w:ascii="Times New Roman" w:hAnsi="Times New Roman"/>
          <w:sz w:val="24"/>
          <w:szCs w:val="24"/>
        </w:rPr>
        <w:t>affects corporate decisions.</w:t>
      </w:r>
      <w:r w:rsidR="00EE7BA2">
        <w:rPr>
          <w:rFonts w:ascii="Times New Roman" w:hAnsi="Times New Roman"/>
          <w:sz w:val="24"/>
          <w:szCs w:val="24"/>
        </w:rPr>
        <w:t xml:space="preserve"> </w:t>
      </w:r>
    </w:p>
    <w:p w:rsidR="007700E7" w:rsidRDefault="007700E7" w:rsidP="000E67C5">
      <w:pPr>
        <w:tabs>
          <w:tab w:val="left" w:pos="360"/>
          <w:tab w:val="left" w:pos="450"/>
          <w:tab w:val="left" w:pos="540"/>
        </w:tabs>
        <w:spacing w:after="0" w:line="480" w:lineRule="auto"/>
        <w:ind w:firstLine="360"/>
        <w:jc w:val="both"/>
        <w:rPr>
          <w:rFonts w:ascii="Times New Roman" w:hAnsi="Times New Roman"/>
          <w:sz w:val="24"/>
          <w:szCs w:val="24"/>
        </w:rPr>
      </w:pPr>
    </w:p>
    <w:p w:rsidR="00873155" w:rsidRPr="00372D10" w:rsidRDefault="00873155" w:rsidP="000E67C5">
      <w:pPr>
        <w:tabs>
          <w:tab w:val="left" w:pos="360"/>
          <w:tab w:val="left" w:pos="450"/>
          <w:tab w:val="left" w:pos="540"/>
        </w:tabs>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t>6</w:t>
      </w:r>
      <w:r w:rsidRPr="00B41DB2">
        <w:rPr>
          <w:rFonts w:ascii="Times New Roman" w:hAnsi="Times New Roman" w:cs="Times New Roman"/>
          <w:bCs/>
          <w:i/>
          <w:sz w:val="24"/>
          <w:szCs w:val="24"/>
        </w:rPr>
        <w:t>.</w:t>
      </w:r>
      <w:r w:rsidR="00CC725B">
        <w:rPr>
          <w:rFonts w:ascii="Times New Roman" w:hAnsi="Times New Roman" w:cs="Times New Roman"/>
          <w:bCs/>
          <w:i/>
          <w:sz w:val="24"/>
          <w:szCs w:val="24"/>
        </w:rPr>
        <w:t>4</w:t>
      </w:r>
      <w:r>
        <w:rPr>
          <w:rFonts w:ascii="Times New Roman" w:hAnsi="Times New Roman" w:cs="Times New Roman"/>
          <w:bCs/>
          <w:i/>
          <w:sz w:val="24"/>
          <w:szCs w:val="24"/>
        </w:rPr>
        <w:t xml:space="preserve"> Robustness</w:t>
      </w:r>
      <w:r w:rsidR="00CC725B">
        <w:rPr>
          <w:rFonts w:ascii="Times New Roman" w:hAnsi="Times New Roman" w:cs="Times New Roman"/>
          <w:bCs/>
          <w:i/>
          <w:sz w:val="24"/>
          <w:szCs w:val="24"/>
        </w:rPr>
        <w:t xml:space="preserve"> tests</w:t>
      </w:r>
    </w:p>
    <w:p w:rsidR="009800CE" w:rsidRPr="009800CE" w:rsidRDefault="009800CE" w:rsidP="00633CE5">
      <w:pPr>
        <w:spacing w:before="120" w:after="0" w:line="480" w:lineRule="auto"/>
        <w:jc w:val="both"/>
        <w:rPr>
          <w:rFonts w:ascii="Times New Roman" w:hAnsi="Times New Roman" w:cs="Times New Roman"/>
          <w:bCs/>
          <w:sz w:val="24"/>
          <w:szCs w:val="24"/>
        </w:rPr>
      </w:pPr>
      <w:r w:rsidRPr="009800CE">
        <w:rPr>
          <w:rFonts w:ascii="Times New Roman" w:hAnsi="Times New Roman" w:cs="Times New Roman"/>
          <w:bCs/>
          <w:sz w:val="24"/>
          <w:szCs w:val="24"/>
        </w:rPr>
        <w:t xml:space="preserve">We examine the robustness of the </w:t>
      </w:r>
      <w:r w:rsidR="007700E7">
        <w:rPr>
          <w:rFonts w:ascii="Times New Roman" w:hAnsi="Times New Roman" w:cs="Times New Roman"/>
          <w:bCs/>
          <w:sz w:val="24"/>
          <w:szCs w:val="24"/>
        </w:rPr>
        <w:t xml:space="preserve">pension </w:t>
      </w:r>
      <w:r w:rsidRPr="009800CE">
        <w:rPr>
          <w:rFonts w:ascii="Times New Roman" w:hAnsi="Times New Roman" w:cs="Times New Roman"/>
          <w:bCs/>
          <w:sz w:val="24"/>
          <w:szCs w:val="24"/>
        </w:rPr>
        <w:t xml:space="preserve">effect on </w:t>
      </w:r>
      <w:r w:rsidR="00786FE2">
        <w:rPr>
          <w:rFonts w:ascii="Times New Roman" w:hAnsi="Times New Roman" w:cs="Times New Roman"/>
          <w:bCs/>
          <w:sz w:val="24"/>
          <w:szCs w:val="24"/>
        </w:rPr>
        <w:t xml:space="preserve">dividend </w:t>
      </w:r>
      <w:r w:rsidR="007700E7">
        <w:rPr>
          <w:rFonts w:ascii="Times New Roman" w:hAnsi="Times New Roman" w:cs="Times New Roman"/>
          <w:bCs/>
          <w:sz w:val="24"/>
          <w:szCs w:val="24"/>
        </w:rPr>
        <w:t>policy</w:t>
      </w:r>
      <w:r w:rsidRPr="009800CE">
        <w:rPr>
          <w:rFonts w:ascii="Times New Roman" w:hAnsi="Times New Roman" w:cs="Times New Roman"/>
          <w:bCs/>
          <w:sz w:val="24"/>
          <w:szCs w:val="24"/>
        </w:rPr>
        <w:t xml:space="preserve"> to the estimation method. We replicate the regressions reported in Tables 3 and 5 using </w:t>
      </w:r>
      <w:r w:rsidR="00AA4DC7">
        <w:rPr>
          <w:rFonts w:ascii="Times New Roman" w:hAnsi="Times New Roman" w:cs="Times New Roman"/>
          <w:bCs/>
          <w:sz w:val="24"/>
          <w:szCs w:val="24"/>
        </w:rPr>
        <w:t>three</w:t>
      </w:r>
      <w:r w:rsidRPr="009800CE">
        <w:rPr>
          <w:rFonts w:ascii="Times New Roman" w:hAnsi="Times New Roman" w:cs="Times New Roman"/>
          <w:bCs/>
          <w:sz w:val="24"/>
          <w:szCs w:val="24"/>
        </w:rPr>
        <w:t xml:space="preserve"> alternative procedures.</w:t>
      </w:r>
      <w:r>
        <w:rPr>
          <w:rFonts w:ascii="Times New Roman" w:hAnsi="Times New Roman" w:cs="Times New Roman"/>
          <w:bCs/>
          <w:sz w:val="24"/>
          <w:szCs w:val="24"/>
        </w:rPr>
        <w:t xml:space="preserve"> </w:t>
      </w:r>
      <w:r w:rsidR="001A24E5">
        <w:rPr>
          <w:rFonts w:ascii="Times New Roman" w:hAnsi="Times New Roman" w:cs="Times New Roman"/>
          <w:bCs/>
          <w:sz w:val="24"/>
          <w:szCs w:val="24"/>
        </w:rPr>
        <w:t xml:space="preserve">The </w:t>
      </w:r>
      <w:r w:rsidR="00AA4DC7">
        <w:rPr>
          <w:rFonts w:ascii="Times New Roman" w:hAnsi="Times New Roman" w:cs="Times New Roman"/>
          <w:bCs/>
          <w:sz w:val="24"/>
          <w:szCs w:val="24"/>
        </w:rPr>
        <w:t>first</w:t>
      </w:r>
      <w:r w:rsidR="001A24E5">
        <w:rPr>
          <w:rFonts w:ascii="Times New Roman" w:hAnsi="Times New Roman" w:cs="Times New Roman"/>
          <w:bCs/>
          <w:sz w:val="24"/>
          <w:szCs w:val="24"/>
        </w:rPr>
        <w:t xml:space="preserve"> is </w:t>
      </w:r>
      <w:r w:rsidR="00F3434B">
        <w:rPr>
          <w:rFonts w:ascii="Times New Roman" w:hAnsi="Times New Roman" w:cs="Times New Roman"/>
          <w:bCs/>
          <w:sz w:val="24"/>
          <w:szCs w:val="24"/>
        </w:rPr>
        <w:t xml:space="preserve">to </w:t>
      </w:r>
      <w:r w:rsidR="001A24E5">
        <w:rPr>
          <w:rFonts w:ascii="Times New Roman" w:hAnsi="Times New Roman" w:cs="Times New Roman"/>
          <w:bCs/>
          <w:sz w:val="24"/>
          <w:szCs w:val="24"/>
        </w:rPr>
        <w:t>includ</w:t>
      </w:r>
      <w:r w:rsidR="00F3434B">
        <w:rPr>
          <w:rFonts w:ascii="Times New Roman" w:hAnsi="Times New Roman" w:cs="Times New Roman"/>
          <w:bCs/>
          <w:sz w:val="24"/>
          <w:szCs w:val="24"/>
        </w:rPr>
        <w:t>e</w:t>
      </w:r>
      <w:r w:rsidR="001A24E5">
        <w:rPr>
          <w:rFonts w:ascii="Times New Roman" w:hAnsi="Times New Roman" w:cs="Times New Roman"/>
          <w:bCs/>
          <w:sz w:val="24"/>
          <w:szCs w:val="24"/>
        </w:rPr>
        <w:t xml:space="preserve"> firm-specific fixed effect with robust standard errors (referred to as ‘robust fixed effects’)</w:t>
      </w:r>
      <w:r w:rsidR="00D8034C">
        <w:rPr>
          <w:rFonts w:ascii="Times New Roman" w:hAnsi="Times New Roman" w:cs="Times New Roman"/>
          <w:bCs/>
          <w:sz w:val="24"/>
          <w:szCs w:val="24"/>
        </w:rPr>
        <w:t xml:space="preserve"> to control for unobserved firm heterogeneity that could affect both dividend policy and pension size. </w:t>
      </w:r>
      <w:r w:rsidR="00D272FC" w:rsidRPr="009800CE">
        <w:rPr>
          <w:rFonts w:ascii="Times New Roman" w:hAnsi="Times New Roman" w:cs="Times New Roman"/>
          <w:bCs/>
          <w:sz w:val="24"/>
          <w:szCs w:val="24"/>
        </w:rPr>
        <w:t xml:space="preserve">The </w:t>
      </w:r>
      <w:r w:rsidR="00AA4DC7">
        <w:rPr>
          <w:rFonts w:ascii="Times New Roman" w:hAnsi="Times New Roman" w:cs="Times New Roman"/>
          <w:bCs/>
          <w:sz w:val="24"/>
          <w:szCs w:val="24"/>
        </w:rPr>
        <w:t>second</w:t>
      </w:r>
      <w:r w:rsidR="00D272FC" w:rsidRPr="009800CE">
        <w:rPr>
          <w:rFonts w:ascii="Times New Roman" w:hAnsi="Times New Roman" w:cs="Times New Roman"/>
          <w:bCs/>
          <w:sz w:val="24"/>
          <w:szCs w:val="24"/>
        </w:rPr>
        <w:t xml:space="preserve"> is a </w:t>
      </w:r>
      <w:proofErr w:type="spellStart"/>
      <w:r w:rsidR="00D272FC" w:rsidRPr="009800CE">
        <w:rPr>
          <w:rFonts w:ascii="Times New Roman" w:hAnsi="Times New Roman" w:cs="Times New Roman"/>
          <w:bCs/>
          <w:sz w:val="24"/>
          <w:szCs w:val="24"/>
        </w:rPr>
        <w:t>Fama-MacBeth</w:t>
      </w:r>
      <w:proofErr w:type="spellEnd"/>
      <w:r w:rsidR="00D272FC" w:rsidRPr="009800CE">
        <w:rPr>
          <w:rFonts w:ascii="Times New Roman" w:hAnsi="Times New Roman" w:cs="Times New Roman"/>
          <w:bCs/>
          <w:sz w:val="24"/>
          <w:szCs w:val="24"/>
        </w:rPr>
        <w:t xml:space="preserve"> (1973) regression that controls for cross-sectional correlation. </w:t>
      </w:r>
      <w:r w:rsidR="00D272FC">
        <w:rPr>
          <w:rFonts w:ascii="Times New Roman" w:hAnsi="Times New Roman" w:cs="Times New Roman"/>
          <w:bCs/>
          <w:sz w:val="24"/>
          <w:szCs w:val="24"/>
        </w:rPr>
        <w:t xml:space="preserve">And </w:t>
      </w:r>
      <w:r w:rsidR="00AA4DC7">
        <w:rPr>
          <w:rFonts w:ascii="Times New Roman" w:hAnsi="Times New Roman" w:cs="Times New Roman"/>
          <w:bCs/>
          <w:sz w:val="24"/>
          <w:szCs w:val="24"/>
        </w:rPr>
        <w:t>third</w:t>
      </w:r>
      <w:r w:rsidR="00252DDC">
        <w:rPr>
          <w:rFonts w:ascii="Times New Roman" w:hAnsi="Times New Roman" w:cs="Times New Roman"/>
          <w:bCs/>
          <w:sz w:val="24"/>
          <w:szCs w:val="24"/>
        </w:rPr>
        <w:t xml:space="preserve">, as an alternative </w:t>
      </w:r>
      <w:r w:rsidR="00786FE2">
        <w:rPr>
          <w:rFonts w:ascii="Times New Roman" w:hAnsi="Times New Roman" w:cs="Times New Roman"/>
          <w:bCs/>
          <w:sz w:val="24"/>
          <w:szCs w:val="24"/>
        </w:rPr>
        <w:t>to</w:t>
      </w:r>
      <w:r w:rsidR="00252DDC">
        <w:rPr>
          <w:rFonts w:ascii="Times New Roman" w:hAnsi="Times New Roman" w:cs="Times New Roman"/>
          <w:bCs/>
          <w:sz w:val="24"/>
          <w:szCs w:val="24"/>
        </w:rPr>
        <w:t xml:space="preserve"> clustered </w:t>
      </w:r>
      <w:proofErr w:type="gramStart"/>
      <w:r w:rsidR="009B25E8">
        <w:rPr>
          <w:rFonts w:ascii="Times New Roman" w:hAnsi="Times New Roman" w:cs="Times New Roman"/>
          <w:bCs/>
          <w:sz w:val="24"/>
          <w:szCs w:val="24"/>
        </w:rPr>
        <w:t>Rogers</w:t>
      </w:r>
      <w:proofErr w:type="gramEnd"/>
      <w:r w:rsidR="00252DDC">
        <w:rPr>
          <w:rFonts w:ascii="Times New Roman" w:hAnsi="Times New Roman" w:cs="Times New Roman"/>
          <w:bCs/>
          <w:sz w:val="24"/>
          <w:szCs w:val="24"/>
        </w:rPr>
        <w:t xml:space="preserve"> standard errors, we apply the </w:t>
      </w:r>
      <w:proofErr w:type="spellStart"/>
      <w:r w:rsidR="00D272FC">
        <w:rPr>
          <w:rFonts w:ascii="Times New Roman" w:hAnsi="Times New Roman" w:cs="Times New Roman"/>
          <w:bCs/>
          <w:sz w:val="24"/>
          <w:szCs w:val="24"/>
        </w:rPr>
        <w:t>Newey</w:t>
      </w:r>
      <w:proofErr w:type="spellEnd"/>
      <w:r w:rsidR="00D272FC">
        <w:rPr>
          <w:rFonts w:ascii="Times New Roman" w:hAnsi="Times New Roman" w:cs="Times New Roman"/>
          <w:bCs/>
          <w:sz w:val="24"/>
          <w:szCs w:val="24"/>
        </w:rPr>
        <w:t xml:space="preserve">-West (1987) </w:t>
      </w:r>
      <w:r w:rsidR="00252DDC">
        <w:rPr>
          <w:rFonts w:ascii="Times New Roman" w:hAnsi="Times New Roman" w:cs="Times New Roman"/>
          <w:bCs/>
          <w:sz w:val="24"/>
          <w:szCs w:val="24"/>
        </w:rPr>
        <w:t xml:space="preserve">procedure modified to panel data </w:t>
      </w:r>
      <w:r w:rsidR="00F3434B">
        <w:rPr>
          <w:rFonts w:ascii="Times New Roman" w:hAnsi="Times New Roman" w:cs="Times New Roman"/>
          <w:bCs/>
          <w:sz w:val="24"/>
          <w:szCs w:val="24"/>
        </w:rPr>
        <w:t xml:space="preserve">to </w:t>
      </w:r>
      <w:r w:rsidR="00252DDC" w:rsidRPr="00252DDC">
        <w:rPr>
          <w:rFonts w:ascii="Times New Roman" w:hAnsi="Times New Roman" w:cs="Times New Roman"/>
          <w:bCs/>
          <w:sz w:val="24"/>
          <w:szCs w:val="24"/>
        </w:rPr>
        <w:t xml:space="preserve">correct for </w:t>
      </w:r>
      <w:proofErr w:type="spellStart"/>
      <w:r w:rsidR="00252DDC" w:rsidRPr="00252DDC">
        <w:rPr>
          <w:rFonts w:ascii="Times New Roman" w:hAnsi="Times New Roman" w:cs="Times New Roman"/>
          <w:bCs/>
          <w:sz w:val="24"/>
          <w:szCs w:val="24"/>
        </w:rPr>
        <w:t>heteroskedasticity</w:t>
      </w:r>
      <w:proofErr w:type="spellEnd"/>
      <w:r w:rsidR="00252DDC" w:rsidRPr="00252DDC">
        <w:rPr>
          <w:rFonts w:ascii="Times New Roman" w:hAnsi="Times New Roman" w:cs="Times New Roman"/>
          <w:bCs/>
          <w:sz w:val="24"/>
          <w:szCs w:val="24"/>
        </w:rPr>
        <w:t xml:space="preserve"> and serial</w:t>
      </w:r>
      <w:r w:rsidR="00252DDC">
        <w:rPr>
          <w:rFonts w:ascii="Times New Roman" w:hAnsi="Times New Roman" w:cs="Times New Roman"/>
          <w:bCs/>
          <w:sz w:val="24"/>
          <w:szCs w:val="24"/>
        </w:rPr>
        <w:t xml:space="preserve"> </w:t>
      </w:r>
      <w:r w:rsidR="00252DDC" w:rsidRPr="00252DDC">
        <w:rPr>
          <w:rFonts w:ascii="Times New Roman" w:hAnsi="Times New Roman" w:cs="Times New Roman"/>
          <w:bCs/>
          <w:sz w:val="24"/>
          <w:szCs w:val="24"/>
        </w:rPr>
        <w:t>correlation.</w:t>
      </w:r>
      <w:r w:rsidRPr="009800CE">
        <w:rPr>
          <w:rFonts w:ascii="Times New Roman" w:hAnsi="Times New Roman" w:cs="Times New Roman"/>
          <w:bCs/>
          <w:sz w:val="24"/>
          <w:szCs w:val="24"/>
        </w:rPr>
        <w:t xml:space="preserve"> </w:t>
      </w:r>
    </w:p>
    <w:p w:rsidR="009800CE" w:rsidRDefault="009800CE" w:rsidP="007B243F">
      <w:pPr>
        <w:spacing w:before="240" w:after="0" w:line="480" w:lineRule="auto"/>
        <w:ind w:firstLine="360"/>
        <w:jc w:val="both"/>
        <w:rPr>
          <w:rFonts w:ascii="Times New Roman" w:hAnsi="Times New Roman" w:cs="Times New Roman"/>
          <w:bCs/>
          <w:sz w:val="24"/>
          <w:szCs w:val="24"/>
        </w:rPr>
      </w:pPr>
      <w:r w:rsidRPr="009800CE">
        <w:rPr>
          <w:rFonts w:ascii="Times New Roman" w:hAnsi="Times New Roman" w:cs="Times New Roman"/>
          <w:bCs/>
          <w:sz w:val="24"/>
          <w:szCs w:val="24"/>
        </w:rPr>
        <w:t>Table 1</w:t>
      </w:r>
      <w:r w:rsidR="00F3434B">
        <w:rPr>
          <w:rFonts w:ascii="Times New Roman" w:hAnsi="Times New Roman" w:cs="Times New Roman"/>
          <w:bCs/>
          <w:sz w:val="24"/>
          <w:szCs w:val="24"/>
        </w:rPr>
        <w:t>3</w:t>
      </w:r>
      <w:r w:rsidRPr="009800CE">
        <w:rPr>
          <w:rFonts w:ascii="Times New Roman" w:hAnsi="Times New Roman" w:cs="Times New Roman"/>
          <w:bCs/>
          <w:sz w:val="24"/>
          <w:szCs w:val="24"/>
        </w:rPr>
        <w:t xml:space="preserve"> reports the robustness tests. </w:t>
      </w:r>
      <w:r w:rsidR="00563FA0">
        <w:rPr>
          <w:rFonts w:ascii="Times New Roman" w:hAnsi="Times New Roman" w:cs="Times New Roman"/>
          <w:bCs/>
          <w:sz w:val="24"/>
          <w:szCs w:val="24"/>
        </w:rPr>
        <w:t>The regressions results in Panel A are very similar to the results in table 3. The effect of compensation leverage on dividend yield is negative and significan</w:t>
      </w:r>
      <w:r w:rsidR="00E055B1">
        <w:rPr>
          <w:rFonts w:ascii="Times New Roman" w:hAnsi="Times New Roman" w:cs="Times New Roman"/>
          <w:bCs/>
          <w:sz w:val="24"/>
          <w:szCs w:val="24"/>
        </w:rPr>
        <w:t>t</w:t>
      </w:r>
      <w:r w:rsidR="00563FA0">
        <w:rPr>
          <w:rFonts w:ascii="Times New Roman" w:hAnsi="Times New Roman" w:cs="Times New Roman"/>
          <w:bCs/>
          <w:sz w:val="24"/>
          <w:szCs w:val="24"/>
        </w:rPr>
        <w:t xml:space="preserve"> under all </w:t>
      </w:r>
      <w:r w:rsidR="00AA4DC7">
        <w:rPr>
          <w:rFonts w:ascii="Times New Roman" w:hAnsi="Times New Roman" w:cs="Times New Roman"/>
          <w:bCs/>
          <w:sz w:val="24"/>
          <w:szCs w:val="24"/>
        </w:rPr>
        <w:t>three</w:t>
      </w:r>
      <w:r w:rsidR="00563FA0">
        <w:rPr>
          <w:rFonts w:ascii="Times New Roman" w:hAnsi="Times New Roman" w:cs="Times New Roman"/>
          <w:bCs/>
          <w:sz w:val="24"/>
          <w:szCs w:val="24"/>
        </w:rPr>
        <w:t xml:space="preserve"> procedures (</w:t>
      </w:r>
      <w:r w:rsidR="00563FA0" w:rsidRPr="00563FA0">
        <w:rPr>
          <w:rFonts w:ascii="Times New Roman" w:hAnsi="Times New Roman" w:cs="Times New Roman"/>
          <w:bCs/>
          <w:i/>
          <w:sz w:val="24"/>
          <w:szCs w:val="24"/>
        </w:rPr>
        <w:t>t</w:t>
      </w:r>
      <w:r w:rsidR="00563FA0">
        <w:rPr>
          <w:rFonts w:ascii="Times New Roman" w:hAnsi="Times New Roman" w:cs="Times New Roman"/>
          <w:bCs/>
          <w:sz w:val="24"/>
          <w:szCs w:val="24"/>
        </w:rPr>
        <w:t>-statistics between -5.31 and -</w:t>
      </w:r>
      <w:r w:rsidR="00AA4DC7">
        <w:rPr>
          <w:rFonts w:ascii="Times New Roman" w:hAnsi="Times New Roman" w:cs="Times New Roman"/>
          <w:bCs/>
          <w:sz w:val="24"/>
          <w:szCs w:val="24"/>
        </w:rPr>
        <w:t>7</w:t>
      </w:r>
      <w:r w:rsidR="00563FA0">
        <w:rPr>
          <w:rFonts w:ascii="Times New Roman" w:hAnsi="Times New Roman" w:cs="Times New Roman"/>
          <w:bCs/>
          <w:sz w:val="24"/>
          <w:szCs w:val="24"/>
        </w:rPr>
        <w:t>.</w:t>
      </w:r>
      <w:r w:rsidR="00AA4DC7">
        <w:rPr>
          <w:rFonts w:ascii="Times New Roman" w:hAnsi="Times New Roman" w:cs="Times New Roman"/>
          <w:bCs/>
          <w:sz w:val="24"/>
          <w:szCs w:val="24"/>
        </w:rPr>
        <w:t>92</w:t>
      </w:r>
      <w:r w:rsidR="00563FA0">
        <w:rPr>
          <w:rFonts w:ascii="Times New Roman" w:hAnsi="Times New Roman" w:cs="Times New Roman"/>
          <w:bCs/>
          <w:sz w:val="24"/>
          <w:szCs w:val="24"/>
        </w:rPr>
        <w:t>)</w:t>
      </w:r>
      <w:r w:rsidR="00E055B1">
        <w:rPr>
          <w:rFonts w:ascii="Times New Roman" w:hAnsi="Times New Roman" w:cs="Times New Roman"/>
          <w:bCs/>
          <w:sz w:val="24"/>
          <w:szCs w:val="24"/>
        </w:rPr>
        <w:t>. T</w:t>
      </w:r>
      <w:r w:rsidR="00563FA0">
        <w:rPr>
          <w:rFonts w:ascii="Times New Roman" w:hAnsi="Times New Roman" w:cs="Times New Roman"/>
          <w:bCs/>
          <w:sz w:val="24"/>
          <w:szCs w:val="24"/>
        </w:rPr>
        <w:t>he effect of inside debt on dividend yield is somewhat weaker, but mostly significant (</w:t>
      </w:r>
      <w:r w:rsidR="00563FA0" w:rsidRPr="00182166">
        <w:rPr>
          <w:rFonts w:ascii="Times New Roman" w:hAnsi="Times New Roman" w:cs="Times New Roman"/>
          <w:bCs/>
          <w:i/>
          <w:sz w:val="24"/>
          <w:szCs w:val="24"/>
        </w:rPr>
        <w:t>t</w:t>
      </w:r>
      <w:r w:rsidR="00563FA0">
        <w:rPr>
          <w:rFonts w:ascii="Times New Roman" w:hAnsi="Times New Roman" w:cs="Times New Roman"/>
          <w:bCs/>
          <w:sz w:val="24"/>
          <w:szCs w:val="24"/>
        </w:rPr>
        <w:t xml:space="preserve">-statistics between -1.26 and -2.35). </w:t>
      </w:r>
      <w:r w:rsidR="004A038A">
        <w:rPr>
          <w:rFonts w:ascii="Times New Roman" w:hAnsi="Times New Roman" w:cs="Times New Roman"/>
          <w:bCs/>
          <w:sz w:val="24"/>
          <w:szCs w:val="24"/>
        </w:rPr>
        <w:t xml:space="preserve">The regression results reported in Panel B </w:t>
      </w:r>
      <w:r w:rsidR="00182166">
        <w:rPr>
          <w:rFonts w:ascii="Times New Roman" w:hAnsi="Times New Roman" w:cs="Times New Roman"/>
          <w:bCs/>
          <w:sz w:val="24"/>
          <w:szCs w:val="24"/>
        </w:rPr>
        <w:t>indicate a negative effect of pension</w:t>
      </w:r>
      <w:r w:rsidR="00E055B1">
        <w:rPr>
          <w:rFonts w:ascii="Times New Roman" w:hAnsi="Times New Roman" w:cs="Times New Roman"/>
          <w:bCs/>
          <w:sz w:val="24"/>
          <w:szCs w:val="24"/>
        </w:rPr>
        <w:t>s</w:t>
      </w:r>
      <w:r w:rsidR="00182166">
        <w:rPr>
          <w:rFonts w:ascii="Times New Roman" w:hAnsi="Times New Roman" w:cs="Times New Roman"/>
          <w:bCs/>
          <w:sz w:val="24"/>
          <w:szCs w:val="24"/>
        </w:rPr>
        <w:t xml:space="preserve"> </w:t>
      </w:r>
      <w:r w:rsidR="00786FE2">
        <w:rPr>
          <w:rFonts w:ascii="Times New Roman" w:hAnsi="Times New Roman" w:cs="Times New Roman"/>
          <w:bCs/>
          <w:sz w:val="24"/>
          <w:szCs w:val="24"/>
        </w:rPr>
        <w:t xml:space="preserve"> </w:t>
      </w:r>
      <w:r w:rsidR="00182166">
        <w:rPr>
          <w:rFonts w:ascii="Times New Roman" w:hAnsi="Times New Roman" w:cs="Times New Roman"/>
          <w:bCs/>
          <w:sz w:val="24"/>
          <w:szCs w:val="24"/>
        </w:rPr>
        <w:t xml:space="preserve">on </w:t>
      </w:r>
      <w:r w:rsidR="00E055B1">
        <w:rPr>
          <w:rFonts w:ascii="Times New Roman" w:hAnsi="Times New Roman" w:cs="Times New Roman"/>
          <w:bCs/>
          <w:sz w:val="24"/>
          <w:szCs w:val="24"/>
        </w:rPr>
        <w:t xml:space="preserve">the </w:t>
      </w:r>
      <w:r w:rsidR="00182166">
        <w:rPr>
          <w:rFonts w:ascii="Times New Roman" w:hAnsi="Times New Roman" w:cs="Times New Roman"/>
          <w:bCs/>
          <w:sz w:val="24"/>
          <w:szCs w:val="24"/>
        </w:rPr>
        <w:t xml:space="preserve">dividend payout ratio, but are </w:t>
      </w:r>
      <w:r w:rsidR="004A038A">
        <w:rPr>
          <w:rFonts w:ascii="Times New Roman" w:hAnsi="Times New Roman" w:cs="Times New Roman"/>
          <w:bCs/>
          <w:sz w:val="24"/>
          <w:szCs w:val="24"/>
        </w:rPr>
        <w:t xml:space="preserve">generally weaker </w:t>
      </w:r>
      <w:r w:rsidR="00182166">
        <w:rPr>
          <w:rFonts w:ascii="Times New Roman" w:hAnsi="Times New Roman" w:cs="Times New Roman"/>
          <w:bCs/>
          <w:sz w:val="24"/>
          <w:szCs w:val="24"/>
        </w:rPr>
        <w:t xml:space="preserve">than the results in Table 5, especially when the inside debt of the CEO is used. </w:t>
      </w:r>
      <w:r w:rsidR="00E055B1">
        <w:rPr>
          <w:rFonts w:ascii="Times New Roman" w:hAnsi="Times New Roman" w:cs="Times New Roman"/>
          <w:bCs/>
          <w:sz w:val="24"/>
          <w:szCs w:val="24"/>
        </w:rPr>
        <w:t>Overall, t</w:t>
      </w:r>
      <w:r w:rsidRPr="009800CE">
        <w:rPr>
          <w:rFonts w:ascii="Times New Roman" w:hAnsi="Times New Roman" w:cs="Times New Roman"/>
          <w:bCs/>
          <w:sz w:val="24"/>
          <w:szCs w:val="24"/>
        </w:rPr>
        <w:t>he results in Table 1</w:t>
      </w:r>
      <w:r w:rsidR="00E055B1">
        <w:rPr>
          <w:rFonts w:ascii="Times New Roman" w:hAnsi="Times New Roman" w:cs="Times New Roman"/>
          <w:bCs/>
          <w:sz w:val="24"/>
          <w:szCs w:val="24"/>
        </w:rPr>
        <w:t>3</w:t>
      </w:r>
      <w:r w:rsidRPr="009800CE">
        <w:rPr>
          <w:rFonts w:ascii="Times New Roman" w:hAnsi="Times New Roman" w:cs="Times New Roman"/>
          <w:bCs/>
          <w:sz w:val="24"/>
          <w:szCs w:val="24"/>
        </w:rPr>
        <w:t xml:space="preserve"> </w:t>
      </w:r>
      <w:r w:rsidR="00E055B1">
        <w:rPr>
          <w:rFonts w:ascii="Times New Roman" w:hAnsi="Times New Roman" w:cs="Times New Roman"/>
          <w:bCs/>
          <w:sz w:val="24"/>
          <w:szCs w:val="24"/>
        </w:rPr>
        <w:t xml:space="preserve">support </w:t>
      </w:r>
      <w:r w:rsidRPr="009800CE">
        <w:rPr>
          <w:rFonts w:ascii="Times New Roman" w:hAnsi="Times New Roman" w:cs="Times New Roman"/>
          <w:bCs/>
          <w:sz w:val="24"/>
          <w:szCs w:val="24"/>
        </w:rPr>
        <w:t>the main findings of this study</w:t>
      </w:r>
      <w:r w:rsidR="00E055B1">
        <w:rPr>
          <w:rFonts w:ascii="Times New Roman" w:hAnsi="Times New Roman" w:cs="Times New Roman"/>
          <w:bCs/>
          <w:sz w:val="24"/>
          <w:szCs w:val="24"/>
        </w:rPr>
        <w:t xml:space="preserve">; the negative relationship between pensions and dividends payments holds regardless of the </w:t>
      </w:r>
      <w:r w:rsidRPr="009800CE">
        <w:rPr>
          <w:rFonts w:ascii="Times New Roman" w:hAnsi="Times New Roman" w:cs="Times New Roman"/>
          <w:bCs/>
          <w:sz w:val="24"/>
          <w:szCs w:val="24"/>
        </w:rPr>
        <w:t xml:space="preserve">estimation procedure.  </w:t>
      </w:r>
    </w:p>
    <w:p w:rsidR="00D4496D" w:rsidRDefault="00D4496D" w:rsidP="00182166">
      <w:pPr>
        <w:spacing w:after="0" w:line="480" w:lineRule="auto"/>
        <w:ind w:firstLine="360"/>
        <w:jc w:val="both"/>
        <w:rPr>
          <w:rFonts w:ascii="Times New Roman" w:hAnsi="Times New Roman" w:cs="Times New Roman"/>
          <w:bCs/>
          <w:sz w:val="24"/>
          <w:szCs w:val="24"/>
        </w:rPr>
      </w:pPr>
    </w:p>
    <w:p w:rsidR="00D4496D" w:rsidRPr="00275F54" w:rsidRDefault="00D4496D" w:rsidP="00633CE5">
      <w:pPr>
        <w:spacing w:after="0" w:line="480" w:lineRule="auto"/>
        <w:ind w:left="360" w:hanging="360"/>
        <w:jc w:val="both"/>
        <w:rPr>
          <w:sz w:val="32"/>
          <w:szCs w:val="32"/>
        </w:rPr>
      </w:pPr>
      <w:r>
        <w:rPr>
          <w:sz w:val="32"/>
          <w:szCs w:val="32"/>
        </w:rPr>
        <w:t xml:space="preserve">7. </w:t>
      </w:r>
      <w:r w:rsidR="00716DE2">
        <w:rPr>
          <w:sz w:val="32"/>
          <w:szCs w:val="32"/>
        </w:rPr>
        <w:t>The Costs of the Agency Behavior</w:t>
      </w:r>
      <w:r>
        <w:rPr>
          <w:sz w:val="32"/>
          <w:szCs w:val="32"/>
        </w:rPr>
        <w:t xml:space="preserve">  </w:t>
      </w:r>
    </w:p>
    <w:p w:rsidR="00835245" w:rsidRDefault="00C32014" w:rsidP="00633CE5">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Th</w:t>
      </w:r>
      <w:r w:rsidR="007040FA">
        <w:rPr>
          <w:rFonts w:ascii="Times New Roman" w:hAnsi="Times New Roman" w:cs="Times New Roman"/>
          <w:bCs/>
          <w:sz w:val="24"/>
          <w:szCs w:val="24"/>
        </w:rPr>
        <w:t>e evidence provided in the previous section</w:t>
      </w:r>
      <w:r w:rsidR="008F77AD">
        <w:rPr>
          <w:rFonts w:ascii="Times New Roman" w:hAnsi="Times New Roman" w:cs="Times New Roman"/>
          <w:bCs/>
          <w:sz w:val="24"/>
          <w:szCs w:val="24"/>
        </w:rPr>
        <w:t>s</w:t>
      </w:r>
      <w:r w:rsidR="007040FA">
        <w:rPr>
          <w:rFonts w:ascii="Times New Roman" w:hAnsi="Times New Roman" w:cs="Times New Roman"/>
          <w:bCs/>
          <w:sz w:val="24"/>
          <w:szCs w:val="24"/>
        </w:rPr>
        <w:t xml:space="preserve"> suggests that considerations of pension securitization are present in the firm's dividend policy. </w:t>
      </w:r>
      <w:r w:rsidR="00E94792">
        <w:rPr>
          <w:rFonts w:ascii="Times New Roman" w:hAnsi="Times New Roman" w:cs="Times New Roman"/>
          <w:bCs/>
          <w:sz w:val="24"/>
          <w:szCs w:val="24"/>
        </w:rPr>
        <w:t>This means that m</w:t>
      </w:r>
      <w:r w:rsidR="007040FA">
        <w:rPr>
          <w:rFonts w:ascii="Times New Roman" w:hAnsi="Times New Roman" w:cs="Times New Roman"/>
          <w:bCs/>
          <w:sz w:val="24"/>
          <w:szCs w:val="24"/>
        </w:rPr>
        <w:t>anagers are willing to deviate from optimal corporate decisions to serve their own interest</w:t>
      </w:r>
      <w:r w:rsidR="00786FE2">
        <w:rPr>
          <w:rFonts w:ascii="Times New Roman" w:hAnsi="Times New Roman" w:cs="Times New Roman"/>
          <w:bCs/>
          <w:sz w:val="24"/>
          <w:szCs w:val="24"/>
        </w:rPr>
        <w:t>s. D</w:t>
      </w:r>
      <w:r w:rsidR="007040FA">
        <w:rPr>
          <w:rFonts w:ascii="Times New Roman" w:hAnsi="Times New Roman" w:cs="Times New Roman"/>
          <w:bCs/>
          <w:sz w:val="24"/>
          <w:szCs w:val="24"/>
        </w:rPr>
        <w:t>ue to the</w:t>
      </w:r>
      <w:r w:rsidR="00E94792">
        <w:rPr>
          <w:rFonts w:ascii="Times New Roman" w:hAnsi="Times New Roman" w:cs="Times New Roman"/>
          <w:bCs/>
          <w:sz w:val="24"/>
          <w:szCs w:val="24"/>
        </w:rPr>
        <w:t>ir</w:t>
      </w:r>
      <w:r w:rsidR="007040FA">
        <w:rPr>
          <w:rFonts w:ascii="Times New Roman" w:hAnsi="Times New Roman" w:cs="Times New Roman"/>
          <w:bCs/>
          <w:sz w:val="24"/>
          <w:szCs w:val="24"/>
        </w:rPr>
        <w:t xml:space="preserve"> aversion to initiate or increase divide</w:t>
      </w:r>
      <w:r w:rsidR="008F77AD">
        <w:rPr>
          <w:rFonts w:ascii="Times New Roman" w:hAnsi="Times New Roman" w:cs="Times New Roman"/>
          <w:bCs/>
          <w:sz w:val="24"/>
          <w:szCs w:val="24"/>
        </w:rPr>
        <w:t>n</w:t>
      </w:r>
      <w:r w:rsidR="007040FA">
        <w:rPr>
          <w:rFonts w:ascii="Times New Roman" w:hAnsi="Times New Roman" w:cs="Times New Roman"/>
          <w:bCs/>
          <w:sz w:val="24"/>
          <w:szCs w:val="24"/>
        </w:rPr>
        <w:t xml:space="preserve">d payments, </w:t>
      </w:r>
      <w:r w:rsidR="00E94792">
        <w:rPr>
          <w:rFonts w:ascii="Times New Roman" w:hAnsi="Times New Roman" w:cs="Times New Roman"/>
          <w:bCs/>
          <w:sz w:val="24"/>
          <w:szCs w:val="24"/>
        </w:rPr>
        <w:t>managers</w:t>
      </w:r>
      <w:r w:rsidR="007040FA">
        <w:rPr>
          <w:rFonts w:ascii="Times New Roman" w:hAnsi="Times New Roman" w:cs="Times New Roman"/>
          <w:bCs/>
          <w:sz w:val="24"/>
          <w:szCs w:val="24"/>
        </w:rPr>
        <w:t xml:space="preserve"> can direct the firm's fund</w:t>
      </w:r>
      <w:r w:rsidR="00786FE2">
        <w:rPr>
          <w:rFonts w:ascii="Times New Roman" w:hAnsi="Times New Roman" w:cs="Times New Roman"/>
          <w:bCs/>
          <w:sz w:val="24"/>
          <w:szCs w:val="24"/>
        </w:rPr>
        <w:t>s</w:t>
      </w:r>
      <w:r w:rsidR="007040FA">
        <w:rPr>
          <w:rFonts w:ascii="Times New Roman" w:hAnsi="Times New Roman" w:cs="Times New Roman"/>
          <w:bCs/>
          <w:sz w:val="24"/>
          <w:szCs w:val="24"/>
        </w:rPr>
        <w:t xml:space="preserve"> into </w:t>
      </w:r>
      <w:r w:rsidR="008C6117">
        <w:rPr>
          <w:rFonts w:ascii="Times New Roman" w:hAnsi="Times New Roman" w:cs="Times New Roman"/>
          <w:bCs/>
          <w:sz w:val="24"/>
          <w:szCs w:val="24"/>
        </w:rPr>
        <w:t>less-than-optimal investment</w:t>
      </w:r>
      <w:r w:rsidR="00E94792">
        <w:rPr>
          <w:rFonts w:ascii="Times New Roman" w:hAnsi="Times New Roman" w:cs="Times New Roman"/>
          <w:bCs/>
          <w:sz w:val="24"/>
          <w:szCs w:val="24"/>
        </w:rPr>
        <w:t xml:space="preserve"> channels</w:t>
      </w:r>
      <w:r w:rsidR="007040FA">
        <w:rPr>
          <w:rFonts w:ascii="Times New Roman" w:hAnsi="Times New Roman" w:cs="Times New Roman"/>
          <w:bCs/>
          <w:sz w:val="24"/>
          <w:szCs w:val="24"/>
        </w:rPr>
        <w:t>.</w:t>
      </w:r>
      <w:r w:rsidR="008C6117">
        <w:rPr>
          <w:rFonts w:ascii="Times New Roman" w:hAnsi="Times New Roman" w:cs="Times New Roman"/>
          <w:bCs/>
          <w:sz w:val="24"/>
          <w:szCs w:val="24"/>
        </w:rPr>
        <w:t xml:space="preserve"> </w:t>
      </w:r>
      <w:r w:rsidR="00E94792">
        <w:rPr>
          <w:rFonts w:ascii="Times New Roman" w:hAnsi="Times New Roman" w:cs="Times New Roman"/>
          <w:bCs/>
          <w:sz w:val="24"/>
          <w:szCs w:val="24"/>
        </w:rPr>
        <w:t>This</w:t>
      </w:r>
      <w:r w:rsidR="008C6117">
        <w:rPr>
          <w:rFonts w:ascii="Times New Roman" w:hAnsi="Times New Roman" w:cs="Times New Roman"/>
          <w:bCs/>
          <w:sz w:val="24"/>
          <w:szCs w:val="24"/>
        </w:rPr>
        <w:t xml:space="preserve"> agency behavior therefore is likely to have negative consequences </w:t>
      </w:r>
      <w:r w:rsidR="008F77AD">
        <w:rPr>
          <w:rFonts w:ascii="Times New Roman" w:hAnsi="Times New Roman" w:cs="Times New Roman"/>
          <w:bCs/>
          <w:sz w:val="24"/>
          <w:szCs w:val="24"/>
        </w:rPr>
        <w:t xml:space="preserve">for </w:t>
      </w:r>
      <w:r w:rsidR="008C6117">
        <w:rPr>
          <w:rFonts w:ascii="Times New Roman" w:hAnsi="Times New Roman" w:cs="Times New Roman"/>
          <w:bCs/>
          <w:sz w:val="24"/>
          <w:szCs w:val="24"/>
        </w:rPr>
        <w:t>the performance of the firm</w:t>
      </w:r>
      <w:r w:rsidR="00835245">
        <w:rPr>
          <w:rFonts w:ascii="Times New Roman" w:hAnsi="Times New Roman" w:cs="Times New Roman"/>
          <w:bCs/>
          <w:sz w:val="24"/>
          <w:szCs w:val="24"/>
        </w:rPr>
        <w:t xml:space="preserve"> in subsequent years, when the </w:t>
      </w:r>
      <w:r w:rsidR="008F77AD">
        <w:rPr>
          <w:rFonts w:ascii="Times New Roman" w:hAnsi="Times New Roman" w:cs="Times New Roman"/>
          <w:bCs/>
          <w:sz w:val="24"/>
          <w:szCs w:val="24"/>
        </w:rPr>
        <w:t xml:space="preserve">results of </w:t>
      </w:r>
      <w:r w:rsidR="00835245">
        <w:rPr>
          <w:rFonts w:ascii="Times New Roman" w:hAnsi="Times New Roman" w:cs="Times New Roman"/>
          <w:bCs/>
          <w:sz w:val="24"/>
          <w:szCs w:val="24"/>
        </w:rPr>
        <w:t>current investment</w:t>
      </w:r>
      <w:r w:rsidR="003A7158">
        <w:rPr>
          <w:rFonts w:ascii="Times New Roman" w:hAnsi="Times New Roman" w:cs="Times New Roman"/>
          <w:bCs/>
          <w:sz w:val="24"/>
          <w:szCs w:val="24"/>
        </w:rPr>
        <w:t>s</w:t>
      </w:r>
      <w:r w:rsidR="00835245">
        <w:rPr>
          <w:rFonts w:ascii="Times New Roman" w:hAnsi="Times New Roman" w:cs="Times New Roman"/>
          <w:bCs/>
          <w:sz w:val="24"/>
          <w:szCs w:val="24"/>
        </w:rPr>
        <w:t xml:space="preserve"> are realized</w:t>
      </w:r>
      <w:r w:rsidR="008C6117">
        <w:rPr>
          <w:rFonts w:ascii="Times New Roman" w:hAnsi="Times New Roman" w:cs="Times New Roman"/>
          <w:bCs/>
          <w:sz w:val="24"/>
          <w:szCs w:val="24"/>
        </w:rPr>
        <w:t xml:space="preserve">. </w:t>
      </w:r>
      <w:r w:rsidR="00835245">
        <w:rPr>
          <w:rFonts w:ascii="Times New Roman" w:hAnsi="Times New Roman" w:cs="Times New Roman"/>
          <w:bCs/>
          <w:sz w:val="24"/>
          <w:szCs w:val="24"/>
        </w:rPr>
        <w:t xml:space="preserve">We examine </w:t>
      </w:r>
      <w:r w:rsidR="003E49A0">
        <w:rPr>
          <w:rFonts w:ascii="Times New Roman" w:hAnsi="Times New Roman" w:cs="Times New Roman"/>
          <w:bCs/>
          <w:sz w:val="24"/>
          <w:szCs w:val="24"/>
        </w:rPr>
        <w:t>whether</w:t>
      </w:r>
      <w:r w:rsidR="00835245">
        <w:rPr>
          <w:rFonts w:ascii="Times New Roman" w:hAnsi="Times New Roman" w:cs="Times New Roman"/>
          <w:bCs/>
          <w:sz w:val="24"/>
          <w:szCs w:val="24"/>
        </w:rPr>
        <w:t xml:space="preserve"> current low dividend payments </w:t>
      </w:r>
      <w:r w:rsidR="008F77AD">
        <w:rPr>
          <w:rFonts w:ascii="Times New Roman" w:hAnsi="Times New Roman" w:cs="Times New Roman"/>
          <w:bCs/>
          <w:sz w:val="24"/>
          <w:szCs w:val="24"/>
        </w:rPr>
        <w:t xml:space="preserve">-- </w:t>
      </w:r>
      <w:r w:rsidR="00835245">
        <w:rPr>
          <w:rFonts w:ascii="Times New Roman" w:hAnsi="Times New Roman" w:cs="Times New Roman"/>
          <w:bCs/>
          <w:sz w:val="24"/>
          <w:szCs w:val="24"/>
        </w:rPr>
        <w:t>that are driven by pension considerations</w:t>
      </w:r>
      <w:r w:rsidR="008F77AD">
        <w:rPr>
          <w:rFonts w:ascii="Times New Roman" w:hAnsi="Times New Roman" w:cs="Times New Roman"/>
          <w:bCs/>
          <w:sz w:val="24"/>
          <w:szCs w:val="24"/>
        </w:rPr>
        <w:t>,</w:t>
      </w:r>
      <w:r w:rsidR="00835245">
        <w:rPr>
          <w:rFonts w:ascii="Times New Roman" w:hAnsi="Times New Roman" w:cs="Times New Roman"/>
          <w:bCs/>
          <w:sz w:val="24"/>
          <w:szCs w:val="24"/>
        </w:rPr>
        <w:t xml:space="preserve"> affect the future operating performance of the firm.</w:t>
      </w:r>
    </w:p>
    <w:p w:rsidR="005F6663" w:rsidRDefault="00835245" w:rsidP="007B243F">
      <w:pPr>
        <w:spacing w:before="240"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We consider three measures of a firm'</w:t>
      </w:r>
      <w:r w:rsidR="003A7158">
        <w:rPr>
          <w:rFonts w:ascii="Times New Roman" w:hAnsi="Times New Roman" w:cs="Times New Roman"/>
          <w:bCs/>
          <w:sz w:val="24"/>
          <w:szCs w:val="24"/>
        </w:rPr>
        <w:t>s performance: return on assets</w:t>
      </w:r>
      <w:r>
        <w:rPr>
          <w:rFonts w:ascii="Times New Roman" w:hAnsi="Times New Roman" w:cs="Times New Roman"/>
          <w:bCs/>
          <w:sz w:val="24"/>
          <w:szCs w:val="24"/>
        </w:rPr>
        <w:t xml:space="preserve"> </w:t>
      </w:r>
      <w:r w:rsidR="003A7158">
        <w:rPr>
          <w:rFonts w:ascii="Times New Roman" w:hAnsi="Times New Roman" w:cs="Times New Roman"/>
          <w:bCs/>
          <w:sz w:val="24"/>
          <w:szCs w:val="24"/>
        </w:rPr>
        <w:t>(</w:t>
      </w:r>
      <w:r>
        <w:rPr>
          <w:rFonts w:ascii="Times New Roman" w:hAnsi="Times New Roman" w:cs="Times New Roman"/>
          <w:bCs/>
          <w:sz w:val="24"/>
          <w:szCs w:val="24"/>
        </w:rPr>
        <w:t>ROA</w:t>
      </w:r>
      <w:r w:rsidR="003A7158">
        <w:rPr>
          <w:rFonts w:ascii="Times New Roman" w:hAnsi="Times New Roman" w:cs="Times New Roman"/>
          <w:bCs/>
          <w:sz w:val="24"/>
          <w:szCs w:val="24"/>
        </w:rPr>
        <w:t xml:space="preserve">), defined by </w:t>
      </w:r>
      <w:r>
        <w:rPr>
          <w:rFonts w:ascii="Times New Roman" w:hAnsi="Times New Roman" w:cs="Times New Roman"/>
          <w:bCs/>
          <w:sz w:val="24"/>
          <w:szCs w:val="24"/>
        </w:rPr>
        <w:t>net income scale</w:t>
      </w:r>
      <w:r w:rsidR="003A7158">
        <w:rPr>
          <w:rFonts w:ascii="Times New Roman" w:hAnsi="Times New Roman" w:cs="Times New Roman"/>
          <w:bCs/>
          <w:sz w:val="24"/>
          <w:szCs w:val="24"/>
        </w:rPr>
        <w:t>d by book value of total assets; return on equity</w:t>
      </w:r>
      <w:r>
        <w:rPr>
          <w:rFonts w:ascii="Times New Roman" w:hAnsi="Times New Roman" w:cs="Times New Roman"/>
          <w:bCs/>
          <w:sz w:val="24"/>
          <w:szCs w:val="24"/>
        </w:rPr>
        <w:t xml:space="preserve"> </w:t>
      </w:r>
      <w:r w:rsidR="003A7158">
        <w:rPr>
          <w:rFonts w:ascii="Times New Roman" w:hAnsi="Times New Roman" w:cs="Times New Roman"/>
          <w:bCs/>
          <w:sz w:val="24"/>
          <w:szCs w:val="24"/>
        </w:rPr>
        <w:t>(</w:t>
      </w:r>
      <w:r>
        <w:rPr>
          <w:rFonts w:ascii="Times New Roman" w:hAnsi="Times New Roman" w:cs="Times New Roman"/>
          <w:bCs/>
          <w:sz w:val="24"/>
          <w:szCs w:val="24"/>
        </w:rPr>
        <w:t>ROE</w:t>
      </w:r>
      <w:r w:rsidR="003A7158">
        <w:rPr>
          <w:rFonts w:ascii="Times New Roman" w:hAnsi="Times New Roman" w:cs="Times New Roman"/>
          <w:bCs/>
          <w:sz w:val="24"/>
          <w:szCs w:val="24"/>
        </w:rPr>
        <w:t xml:space="preserve">), defined by </w:t>
      </w:r>
      <w:r>
        <w:rPr>
          <w:rFonts w:ascii="Times New Roman" w:hAnsi="Times New Roman" w:cs="Times New Roman"/>
          <w:bCs/>
          <w:sz w:val="24"/>
          <w:szCs w:val="24"/>
        </w:rPr>
        <w:t>net income</w:t>
      </w:r>
      <w:r w:rsidR="003A7158">
        <w:rPr>
          <w:rFonts w:ascii="Times New Roman" w:hAnsi="Times New Roman" w:cs="Times New Roman"/>
          <w:bCs/>
          <w:sz w:val="24"/>
          <w:szCs w:val="24"/>
        </w:rPr>
        <w:t xml:space="preserve"> scaled by book value of equity; and return on investment</w:t>
      </w:r>
      <w:r>
        <w:rPr>
          <w:rFonts w:ascii="Times New Roman" w:hAnsi="Times New Roman" w:cs="Times New Roman"/>
          <w:bCs/>
          <w:sz w:val="24"/>
          <w:szCs w:val="24"/>
        </w:rPr>
        <w:t xml:space="preserve"> </w:t>
      </w:r>
      <w:r w:rsidR="003A7158">
        <w:rPr>
          <w:rFonts w:ascii="Times New Roman" w:hAnsi="Times New Roman" w:cs="Times New Roman"/>
          <w:bCs/>
          <w:sz w:val="24"/>
          <w:szCs w:val="24"/>
        </w:rPr>
        <w:t>(</w:t>
      </w:r>
      <w:r>
        <w:rPr>
          <w:rFonts w:ascii="Times New Roman" w:hAnsi="Times New Roman" w:cs="Times New Roman"/>
          <w:bCs/>
          <w:sz w:val="24"/>
          <w:szCs w:val="24"/>
        </w:rPr>
        <w:t>ROI</w:t>
      </w:r>
      <w:r w:rsidR="003A7158">
        <w:rPr>
          <w:rFonts w:ascii="Times New Roman" w:hAnsi="Times New Roman" w:cs="Times New Roman"/>
          <w:bCs/>
          <w:sz w:val="24"/>
          <w:szCs w:val="24"/>
        </w:rPr>
        <w:t xml:space="preserve">), defined by </w:t>
      </w:r>
      <w:r>
        <w:rPr>
          <w:rFonts w:ascii="Times New Roman" w:hAnsi="Times New Roman" w:cs="Times New Roman"/>
          <w:bCs/>
          <w:sz w:val="24"/>
          <w:szCs w:val="24"/>
        </w:rPr>
        <w:t>net in</w:t>
      </w:r>
      <w:r w:rsidR="003A7158">
        <w:rPr>
          <w:rFonts w:ascii="Times New Roman" w:hAnsi="Times New Roman" w:cs="Times New Roman"/>
          <w:bCs/>
          <w:sz w:val="24"/>
          <w:szCs w:val="24"/>
        </w:rPr>
        <w:t>come scaled by total investment</w:t>
      </w:r>
      <w:r w:rsidR="008F77AD">
        <w:rPr>
          <w:rFonts w:ascii="Times New Roman" w:hAnsi="Times New Roman" w:cs="Times New Roman"/>
          <w:bCs/>
          <w:sz w:val="24"/>
          <w:szCs w:val="24"/>
        </w:rPr>
        <w:t>s</w:t>
      </w:r>
      <w:r>
        <w:rPr>
          <w:rFonts w:ascii="Times New Roman" w:hAnsi="Times New Roman" w:cs="Times New Roman"/>
          <w:bCs/>
          <w:sz w:val="24"/>
          <w:szCs w:val="24"/>
        </w:rPr>
        <w:t xml:space="preserve">. </w:t>
      </w:r>
      <w:r w:rsidR="00B16AAC" w:rsidRPr="00B16AAC">
        <w:rPr>
          <w:rFonts w:ascii="Times New Roman" w:hAnsi="Times New Roman" w:cs="Times New Roman"/>
          <w:bCs/>
          <w:sz w:val="24"/>
          <w:szCs w:val="24"/>
        </w:rPr>
        <w:t xml:space="preserve">All three measures are </w:t>
      </w:r>
      <w:r w:rsidR="003A7158">
        <w:rPr>
          <w:rFonts w:ascii="Times New Roman" w:hAnsi="Times New Roman" w:cs="Times New Roman"/>
          <w:bCs/>
          <w:sz w:val="24"/>
          <w:szCs w:val="24"/>
        </w:rPr>
        <w:t>taken in</w:t>
      </w:r>
      <w:r w:rsidR="00B16AAC" w:rsidRPr="00B16AAC">
        <w:rPr>
          <w:rFonts w:ascii="Times New Roman" w:hAnsi="Times New Roman" w:cs="Times New Roman"/>
          <w:bCs/>
          <w:sz w:val="24"/>
          <w:szCs w:val="24"/>
        </w:rPr>
        <w:t xml:space="preserve"> the subsequent year, and </w:t>
      </w:r>
      <w:r w:rsidR="003A7158">
        <w:rPr>
          <w:rFonts w:ascii="Times New Roman" w:hAnsi="Times New Roman" w:cs="Times New Roman"/>
          <w:bCs/>
          <w:sz w:val="24"/>
          <w:szCs w:val="24"/>
        </w:rPr>
        <w:t>as</w:t>
      </w:r>
      <w:r w:rsidR="00B16AAC" w:rsidRPr="00B16AAC">
        <w:rPr>
          <w:rFonts w:ascii="Times New Roman" w:hAnsi="Times New Roman" w:cs="Times New Roman"/>
          <w:bCs/>
          <w:sz w:val="24"/>
          <w:szCs w:val="24"/>
        </w:rPr>
        <w:t xml:space="preserve"> averages of the subsequent two and three years</w:t>
      </w:r>
      <w:r w:rsidR="008F77AD">
        <w:rPr>
          <w:rFonts w:ascii="Times New Roman" w:hAnsi="Times New Roman" w:cs="Times New Roman"/>
          <w:bCs/>
          <w:sz w:val="24"/>
          <w:szCs w:val="24"/>
        </w:rPr>
        <w:t>;</w:t>
      </w:r>
      <w:r w:rsidR="00B16AAC" w:rsidRPr="00B16AAC">
        <w:rPr>
          <w:rFonts w:ascii="Times New Roman" w:hAnsi="Times New Roman" w:cs="Times New Roman"/>
          <w:bCs/>
          <w:sz w:val="24"/>
          <w:szCs w:val="24"/>
        </w:rPr>
        <w:t xml:space="preserve"> all </w:t>
      </w:r>
      <w:r w:rsidR="008F77AD">
        <w:rPr>
          <w:rFonts w:ascii="Times New Roman" w:hAnsi="Times New Roman" w:cs="Times New Roman"/>
          <w:bCs/>
          <w:sz w:val="24"/>
          <w:szCs w:val="24"/>
        </w:rPr>
        <w:t xml:space="preserve">measures </w:t>
      </w:r>
      <w:r w:rsidR="00B16AAC" w:rsidRPr="00B16AAC">
        <w:rPr>
          <w:rFonts w:ascii="Times New Roman" w:hAnsi="Times New Roman" w:cs="Times New Roman"/>
          <w:bCs/>
          <w:sz w:val="24"/>
          <w:szCs w:val="24"/>
        </w:rPr>
        <w:t>are</w:t>
      </w:r>
      <w:r w:rsidR="000720F3">
        <w:rPr>
          <w:rFonts w:ascii="Times New Roman" w:hAnsi="Times New Roman" w:cs="Times New Roman"/>
          <w:bCs/>
          <w:sz w:val="24"/>
          <w:szCs w:val="24"/>
        </w:rPr>
        <w:t xml:space="preserve"> adjusted to industry averages </w:t>
      </w:r>
      <w:r w:rsidR="0080770C">
        <w:rPr>
          <w:rFonts w:ascii="Times New Roman" w:hAnsi="Times New Roman" w:cs="Times New Roman"/>
          <w:bCs/>
          <w:sz w:val="24"/>
          <w:szCs w:val="24"/>
        </w:rPr>
        <w:t xml:space="preserve">(as </w:t>
      </w:r>
      <w:r w:rsidR="008F77AD">
        <w:rPr>
          <w:rFonts w:ascii="Times New Roman" w:hAnsi="Times New Roman" w:cs="Times New Roman"/>
          <w:bCs/>
          <w:sz w:val="24"/>
          <w:szCs w:val="24"/>
        </w:rPr>
        <w:t xml:space="preserve">are </w:t>
      </w:r>
      <w:r w:rsidR="0080770C">
        <w:rPr>
          <w:rFonts w:ascii="Times New Roman" w:hAnsi="Times New Roman" w:cs="Times New Roman"/>
          <w:bCs/>
          <w:sz w:val="24"/>
          <w:szCs w:val="24"/>
        </w:rPr>
        <w:t xml:space="preserve">the dividend and pension variables). We </w:t>
      </w:r>
      <w:r w:rsidR="00786FE2">
        <w:rPr>
          <w:rFonts w:ascii="Times New Roman" w:hAnsi="Times New Roman" w:cs="Times New Roman"/>
          <w:bCs/>
          <w:sz w:val="24"/>
          <w:szCs w:val="24"/>
        </w:rPr>
        <w:t>regress</w:t>
      </w:r>
      <w:r w:rsidR="0080770C">
        <w:rPr>
          <w:rFonts w:ascii="Times New Roman" w:hAnsi="Times New Roman" w:cs="Times New Roman"/>
          <w:bCs/>
          <w:sz w:val="24"/>
          <w:szCs w:val="24"/>
        </w:rPr>
        <w:t xml:space="preserve"> these measure</w:t>
      </w:r>
      <w:r w:rsidR="003A7158">
        <w:rPr>
          <w:rFonts w:ascii="Times New Roman" w:hAnsi="Times New Roman" w:cs="Times New Roman"/>
          <w:bCs/>
          <w:sz w:val="24"/>
          <w:szCs w:val="24"/>
        </w:rPr>
        <w:t>s</w:t>
      </w:r>
      <w:r w:rsidR="0080770C">
        <w:rPr>
          <w:rFonts w:ascii="Times New Roman" w:hAnsi="Times New Roman" w:cs="Times New Roman"/>
          <w:bCs/>
          <w:sz w:val="24"/>
          <w:szCs w:val="24"/>
        </w:rPr>
        <w:t xml:space="preserve"> on the interaction between the dividend yield and the pension size measures (compensation leverage and inside debt)</w:t>
      </w:r>
      <w:r w:rsidR="000720F3">
        <w:rPr>
          <w:rFonts w:ascii="Times New Roman" w:hAnsi="Times New Roman" w:cs="Times New Roman"/>
          <w:bCs/>
          <w:sz w:val="24"/>
          <w:szCs w:val="24"/>
        </w:rPr>
        <w:t xml:space="preserve"> at the CEO level</w:t>
      </w:r>
      <w:r w:rsidR="0080770C">
        <w:rPr>
          <w:rFonts w:ascii="Times New Roman" w:hAnsi="Times New Roman" w:cs="Times New Roman"/>
          <w:bCs/>
          <w:sz w:val="24"/>
          <w:szCs w:val="24"/>
        </w:rPr>
        <w:t>. Our argument</w:t>
      </w:r>
      <w:r w:rsidR="008F77AD">
        <w:rPr>
          <w:rFonts w:ascii="Times New Roman" w:hAnsi="Times New Roman" w:cs="Times New Roman"/>
          <w:bCs/>
          <w:sz w:val="24"/>
          <w:szCs w:val="24"/>
        </w:rPr>
        <w:t>s</w:t>
      </w:r>
      <w:r w:rsidR="0080770C">
        <w:rPr>
          <w:rFonts w:ascii="Times New Roman" w:hAnsi="Times New Roman" w:cs="Times New Roman"/>
          <w:bCs/>
          <w:sz w:val="24"/>
          <w:szCs w:val="24"/>
        </w:rPr>
        <w:t xml:space="preserve"> predict a </w:t>
      </w:r>
      <w:r w:rsidR="000720F3">
        <w:rPr>
          <w:rFonts w:ascii="Times New Roman" w:hAnsi="Times New Roman" w:cs="Times New Roman"/>
          <w:bCs/>
          <w:sz w:val="24"/>
          <w:szCs w:val="24"/>
        </w:rPr>
        <w:t>positive</w:t>
      </w:r>
      <w:r w:rsidR="0080770C">
        <w:rPr>
          <w:rFonts w:ascii="Times New Roman" w:hAnsi="Times New Roman" w:cs="Times New Roman"/>
          <w:bCs/>
          <w:sz w:val="24"/>
          <w:szCs w:val="24"/>
        </w:rPr>
        <w:t xml:space="preserve"> coefficient of the interaction term. That is, when </w:t>
      </w:r>
      <w:r w:rsidR="000720F3">
        <w:rPr>
          <w:rFonts w:ascii="Times New Roman" w:hAnsi="Times New Roman" w:cs="Times New Roman"/>
          <w:bCs/>
          <w:sz w:val="24"/>
          <w:szCs w:val="24"/>
        </w:rPr>
        <w:t>a decline</w:t>
      </w:r>
      <w:r w:rsidR="0080770C">
        <w:rPr>
          <w:rFonts w:ascii="Times New Roman" w:hAnsi="Times New Roman" w:cs="Times New Roman"/>
          <w:bCs/>
          <w:sz w:val="24"/>
          <w:szCs w:val="24"/>
        </w:rPr>
        <w:t xml:space="preserve"> in dividend </w:t>
      </w:r>
      <w:r w:rsidR="000720F3">
        <w:rPr>
          <w:rFonts w:ascii="Times New Roman" w:hAnsi="Times New Roman" w:cs="Times New Roman"/>
          <w:bCs/>
          <w:sz w:val="24"/>
          <w:szCs w:val="24"/>
        </w:rPr>
        <w:t>payment</w:t>
      </w:r>
      <w:r w:rsidR="008F77AD">
        <w:rPr>
          <w:rFonts w:ascii="Times New Roman" w:hAnsi="Times New Roman" w:cs="Times New Roman"/>
          <w:bCs/>
          <w:sz w:val="24"/>
          <w:szCs w:val="24"/>
        </w:rPr>
        <w:t>s</w:t>
      </w:r>
      <w:r w:rsidR="0080770C">
        <w:rPr>
          <w:rFonts w:ascii="Times New Roman" w:hAnsi="Times New Roman" w:cs="Times New Roman"/>
          <w:bCs/>
          <w:sz w:val="24"/>
          <w:szCs w:val="24"/>
        </w:rPr>
        <w:t xml:space="preserve"> is </w:t>
      </w:r>
      <w:r w:rsidR="003A7158">
        <w:rPr>
          <w:rFonts w:ascii="Times New Roman" w:hAnsi="Times New Roman" w:cs="Times New Roman"/>
          <w:bCs/>
          <w:sz w:val="24"/>
          <w:szCs w:val="24"/>
        </w:rPr>
        <w:t>driven by the presence of large</w:t>
      </w:r>
      <w:r w:rsidR="0080770C">
        <w:rPr>
          <w:rFonts w:ascii="Times New Roman" w:hAnsi="Times New Roman" w:cs="Times New Roman"/>
          <w:bCs/>
          <w:sz w:val="24"/>
          <w:szCs w:val="24"/>
        </w:rPr>
        <w:t xml:space="preserve"> pension plans, it is more likely to </w:t>
      </w:r>
      <w:r w:rsidR="00D67591">
        <w:rPr>
          <w:rFonts w:ascii="Times New Roman" w:hAnsi="Times New Roman" w:cs="Times New Roman"/>
          <w:bCs/>
          <w:sz w:val="24"/>
          <w:szCs w:val="24"/>
        </w:rPr>
        <w:t>reduce</w:t>
      </w:r>
      <w:r w:rsidR="0080770C">
        <w:rPr>
          <w:rFonts w:ascii="Times New Roman" w:hAnsi="Times New Roman" w:cs="Times New Roman"/>
          <w:bCs/>
          <w:sz w:val="24"/>
          <w:szCs w:val="24"/>
        </w:rPr>
        <w:t xml:space="preserve"> the </w:t>
      </w:r>
      <w:r w:rsidR="00026E94">
        <w:rPr>
          <w:rFonts w:ascii="Times New Roman" w:hAnsi="Times New Roman" w:cs="Times New Roman"/>
          <w:bCs/>
          <w:sz w:val="24"/>
          <w:szCs w:val="24"/>
        </w:rPr>
        <w:t xml:space="preserve">firm's </w:t>
      </w:r>
      <w:r w:rsidR="0080770C">
        <w:rPr>
          <w:rFonts w:ascii="Times New Roman" w:hAnsi="Times New Roman" w:cs="Times New Roman"/>
          <w:bCs/>
          <w:sz w:val="24"/>
          <w:szCs w:val="24"/>
        </w:rPr>
        <w:t>operating performance.</w:t>
      </w:r>
    </w:p>
    <w:p w:rsidR="0068292B" w:rsidRDefault="003A7158" w:rsidP="007B243F">
      <w:pPr>
        <w:spacing w:before="240"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The regression</w:t>
      </w:r>
      <w:r w:rsidR="005F6663">
        <w:rPr>
          <w:rFonts w:ascii="Times New Roman" w:hAnsi="Times New Roman" w:cs="Times New Roman"/>
          <w:bCs/>
          <w:sz w:val="24"/>
          <w:szCs w:val="24"/>
        </w:rPr>
        <w:t xml:space="preserve"> results reported in table 14 show </w:t>
      </w:r>
      <w:r w:rsidR="000720F3">
        <w:rPr>
          <w:rFonts w:ascii="Times New Roman" w:hAnsi="Times New Roman" w:cs="Times New Roman"/>
          <w:bCs/>
          <w:sz w:val="24"/>
          <w:szCs w:val="24"/>
        </w:rPr>
        <w:t>first a negative association between dividend yield and firm performance. This is expected</w:t>
      </w:r>
      <w:r w:rsidR="008F77AD">
        <w:rPr>
          <w:rFonts w:ascii="Times New Roman" w:hAnsi="Times New Roman" w:cs="Times New Roman"/>
          <w:bCs/>
          <w:sz w:val="24"/>
          <w:szCs w:val="24"/>
        </w:rPr>
        <w:t xml:space="preserve"> because</w:t>
      </w:r>
      <w:r w:rsidR="000720F3">
        <w:rPr>
          <w:rFonts w:ascii="Times New Roman" w:hAnsi="Times New Roman" w:cs="Times New Roman"/>
          <w:bCs/>
          <w:sz w:val="24"/>
          <w:szCs w:val="24"/>
        </w:rPr>
        <w:t xml:space="preserve">, </w:t>
      </w:r>
      <w:r w:rsidR="000720F3" w:rsidRPr="000720F3">
        <w:rPr>
          <w:rFonts w:ascii="Times New Roman" w:hAnsi="Times New Roman" w:cs="Times New Roman"/>
          <w:bCs/>
          <w:sz w:val="24"/>
          <w:szCs w:val="24"/>
        </w:rPr>
        <w:t>ceteris paribus</w:t>
      </w:r>
      <w:r w:rsidR="008F77AD">
        <w:rPr>
          <w:rFonts w:ascii="Times New Roman" w:hAnsi="Times New Roman" w:cs="Times New Roman"/>
          <w:bCs/>
          <w:sz w:val="24"/>
          <w:szCs w:val="24"/>
        </w:rPr>
        <w:t>,</w:t>
      </w:r>
      <w:r w:rsidR="000720F3">
        <w:rPr>
          <w:rFonts w:ascii="Times New Roman" w:hAnsi="Times New Roman" w:cs="Times New Roman"/>
          <w:bCs/>
          <w:sz w:val="24"/>
          <w:szCs w:val="24"/>
        </w:rPr>
        <w:t xml:space="preserve"> managers will retain more earnings </w:t>
      </w:r>
      <w:r w:rsidR="008A5116">
        <w:rPr>
          <w:rFonts w:ascii="Times New Roman" w:hAnsi="Times New Roman" w:cs="Times New Roman"/>
          <w:bCs/>
          <w:sz w:val="24"/>
          <w:szCs w:val="24"/>
        </w:rPr>
        <w:t>when they can invest in profitable projects.</w:t>
      </w:r>
      <w:r w:rsidR="000720F3">
        <w:rPr>
          <w:rFonts w:ascii="Times New Roman" w:hAnsi="Times New Roman" w:cs="Times New Roman"/>
          <w:bCs/>
          <w:sz w:val="24"/>
          <w:szCs w:val="24"/>
        </w:rPr>
        <w:t xml:space="preserve"> </w:t>
      </w:r>
      <w:r w:rsidR="00C82670">
        <w:rPr>
          <w:rFonts w:ascii="Times New Roman" w:hAnsi="Times New Roman" w:cs="Times New Roman"/>
          <w:bCs/>
          <w:sz w:val="24"/>
          <w:szCs w:val="24"/>
        </w:rPr>
        <w:t xml:space="preserve">More importantly, the </w:t>
      </w:r>
      <w:r w:rsidR="005F6663">
        <w:rPr>
          <w:rFonts w:ascii="Times New Roman" w:hAnsi="Times New Roman" w:cs="Times New Roman"/>
          <w:bCs/>
          <w:sz w:val="24"/>
          <w:szCs w:val="24"/>
        </w:rPr>
        <w:t xml:space="preserve">interaction term between dividend yield and compensation leverage is </w:t>
      </w:r>
      <w:r w:rsidR="00C82670">
        <w:rPr>
          <w:rFonts w:ascii="Times New Roman" w:hAnsi="Times New Roman" w:cs="Times New Roman"/>
          <w:bCs/>
          <w:sz w:val="24"/>
          <w:szCs w:val="24"/>
        </w:rPr>
        <w:t>positive</w:t>
      </w:r>
      <w:r w:rsidR="00813A15">
        <w:rPr>
          <w:rFonts w:ascii="Times New Roman" w:hAnsi="Times New Roman" w:cs="Times New Roman"/>
          <w:bCs/>
          <w:sz w:val="24"/>
          <w:szCs w:val="24"/>
        </w:rPr>
        <w:t xml:space="preserve"> and significant</w:t>
      </w:r>
      <w:r w:rsidR="00C82670">
        <w:rPr>
          <w:rFonts w:ascii="Times New Roman" w:hAnsi="Times New Roman" w:cs="Times New Roman"/>
          <w:bCs/>
          <w:sz w:val="24"/>
          <w:szCs w:val="24"/>
        </w:rPr>
        <w:t xml:space="preserve">, especially </w:t>
      </w:r>
      <w:r w:rsidR="000206D0">
        <w:rPr>
          <w:rFonts w:ascii="Times New Roman" w:hAnsi="Times New Roman" w:cs="Times New Roman"/>
          <w:bCs/>
          <w:sz w:val="24"/>
          <w:szCs w:val="24"/>
        </w:rPr>
        <w:t>in</w:t>
      </w:r>
      <w:r w:rsidR="00C82670">
        <w:rPr>
          <w:rFonts w:ascii="Times New Roman" w:hAnsi="Times New Roman" w:cs="Times New Roman"/>
          <w:bCs/>
          <w:sz w:val="24"/>
          <w:szCs w:val="24"/>
        </w:rPr>
        <w:t xml:space="preserve"> the long-term </w:t>
      </w:r>
      <w:r w:rsidR="000206D0">
        <w:rPr>
          <w:rFonts w:ascii="Times New Roman" w:hAnsi="Times New Roman" w:cs="Times New Roman"/>
          <w:bCs/>
          <w:sz w:val="24"/>
          <w:szCs w:val="24"/>
        </w:rPr>
        <w:t xml:space="preserve">regressions </w:t>
      </w:r>
      <w:r w:rsidR="00C82670">
        <w:rPr>
          <w:rFonts w:ascii="Times New Roman" w:hAnsi="Times New Roman" w:cs="Times New Roman"/>
          <w:bCs/>
          <w:sz w:val="24"/>
          <w:szCs w:val="24"/>
        </w:rPr>
        <w:t xml:space="preserve">(the </w:t>
      </w:r>
      <w:r w:rsidR="00813A15" w:rsidRPr="002D02A1">
        <w:rPr>
          <w:rFonts w:ascii="Times New Roman" w:hAnsi="Times New Roman" w:cs="Times New Roman"/>
          <w:bCs/>
          <w:i/>
          <w:sz w:val="24"/>
          <w:szCs w:val="24"/>
        </w:rPr>
        <w:t>t</w:t>
      </w:r>
      <w:r w:rsidR="00813A15">
        <w:rPr>
          <w:rFonts w:ascii="Times New Roman" w:hAnsi="Times New Roman" w:cs="Times New Roman"/>
          <w:bCs/>
          <w:sz w:val="24"/>
          <w:szCs w:val="24"/>
        </w:rPr>
        <w:t xml:space="preserve">-statistics </w:t>
      </w:r>
      <w:r w:rsidR="00C82670">
        <w:rPr>
          <w:rFonts w:ascii="Times New Roman" w:hAnsi="Times New Roman" w:cs="Times New Roman"/>
          <w:bCs/>
          <w:sz w:val="24"/>
          <w:szCs w:val="24"/>
        </w:rPr>
        <w:t>for the three-year average</w:t>
      </w:r>
      <w:r w:rsidR="000206D0">
        <w:rPr>
          <w:rFonts w:ascii="Times New Roman" w:hAnsi="Times New Roman" w:cs="Times New Roman"/>
          <w:bCs/>
          <w:sz w:val="24"/>
          <w:szCs w:val="24"/>
        </w:rPr>
        <w:t xml:space="preserve">s are </w:t>
      </w:r>
      <w:r w:rsidR="00C82670">
        <w:rPr>
          <w:rFonts w:ascii="Times New Roman" w:hAnsi="Times New Roman" w:cs="Times New Roman"/>
          <w:bCs/>
          <w:sz w:val="24"/>
          <w:szCs w:val="24"/>
        </w:rPr>
        <w:t xml:space="preserve">2.47, </w:t>
      </w:r>
      <w:r w:rsidR="000206D0">
        <w:rPr>
          <w:rFonts w:ascii="Times New Roman" w:hAnsi="Times New Roman" w:cs="Times New Roman"/>
          <w:bCs/>
          <w:sz w:val="24"/>
          <w:szCs w:val="24"/>
        </w:rPr>
        <w:t>4.58, and 3.73</w:t>
      </w:r>
      <w:r w:rsidR="00813A15">
        <w:rPr>
          <w:rFonts w:ascii="Times New Roman" w:hAnsi="Times New Roman" w:cs="Times New Roman"/>
          <w:bCs/>
          <w:sz w:val="24"/>
          <w:szCs w:val="24"/>
        </w:rPr>
        <w:t xml:space="preserve">). </w:t>
      </w:r>
      <w:r w:rsidR="000206D0">
        <w:rPr>
          <w:rFonts w:ascii="Times New Roman" w:hAnsi="Times New Roman" w:cs="Times New Roman"/>
          <w:bCs/>
          <w:sz w:val="24"/>
          <w:szCs w:val="24"/>
        </w:rPr>
        <w:t xml:space="preserve">Table </w:t>
      </w:r>
      <w:r w:rsidR="000206D0">
        <w:rPr>
          <w:rFonts w:ascii="Times New Roman" w:hAnsi="Times New Roman" w:cs="Times New Roman"/>
          <w:bCs/>
          <w:sz w:val="24"/>
          <w:szCs w:val="24"/>
        </w:rPr>
        <w:lastRenderedPageBreak/>
        <w:t>15 shows similar effect of inside debt on the relation between dividend and future performance. Th</w:t>
      </w:r>
      <w:r w:rsidR="0068292B">
        <w:rPr>
          <w:rFonts w:ascii="Times New Roman" w:hAnsi="Times New Roman" w:cs="Times New Roman"/>
          <w:bCs/>
          <w:sz w:val="24"/>
          <w:szCs w:val="24"/>
        </w:rPr>
        <w:t>at is,</w:t>
      </w:r>
      <w:r w:rsidR="000206D0">
        <w:rPr>
          <w:rFonts w:ascii="Times New Roman" w:hAnsi="Times New Roman" w:cs="Times New Roman"/>
          <w:bCs/>
          <w:sz w:val="24"/>
          <w:szCs w:val="24"/>
        </w:rPr>
        <w:t xml:space="preserve"> </w:t>
      </w:r>
      <w:r w:rsidR="0068292B">
        <w:rPr>
          <w:rFonts w:ascii="Times New Roman" w:hAnsi="Times New Roman" w:cs="Times New Roman"/>
          <w:bCs/>
          <w:sz w:val="24"/>
          <w:szCs w:val="24"/>
        </w:rPr>
        <w:t xml:space="preserve">when </w:t>
      </w:r>
      <w:r w:rsidR="000206D0">
        <w:rPr>
          <w:rFonts w:ascii="Times New Roman" w:hAnsi="Times New Roman" w:cs="Times New Roman"/>
          <w:bCs/>
          <w:sz w:val="24"/>
          <w:szCs w:val="24"/>
        </w:rPr>
        <w:t xml:space="preserve">a reduction in dividend </w:t>
      </w:r>
      <w:r w:rsidR="00C91DF3">
        <w:rPr>
          <w:rFonts w:ascii="Times New Roman" w:hAnsi="Times New Roman" w:cs="Times New Roman"/>
          <w:bCs/>
          <w:sz w:val="24"/>
          <w:szCs w:val="24"/>
        </w:rPr>
        <w:t xml:space="preserve">payment </w:t>
      </w:r>
      <w:r w:rsidR="000206D0">
        <w:rPr>
          <w:rFonts w:ascii="Times New Roman" w:hAnsi="Times New Roman" w:cs="Times New Roman"/>
          <w:bCs/>
          <w:sz w:val="24"/>
          <w:szCs w:val="24"/>
        </w:rPr>
        <w:t>is associated with an increase in pension</w:t>
      </w:r>
      <w:r>
        <w:rPr>
          <w:rFonts w:ascii="Times New Roman" w:hAnsi="Times New Roman" w:cs="Times New Roman"/>
          <w:bCs/>
          <w:sz w:val="24"/>
          <w:szCs w:val="24"/>
        </w:rPr>
        <w:t xml:space="preserve"> size</w:t>
      </w:r>
      <w:r w:rsidR="000206D0">
        <w:rPr>
          <w:rFonts w:ascii="Times New Roman" w:hAnsi="Times New Roman" w:cs="Times New Roman"/>
          <w:bCs/>
          <w:sz w:val="24"/>
          <w:szCs w:val="24"/>
        </w:rPr>
        <w:t xml:space="preserve">, it will have a </w:t>
      </w:r>
      <w:r w:rsidR="00C91DF3">
        <w:rPr>
          <w:rFonts w:ascii="Times New Roman" w:hAnsi="Times New Roman" w:cs="Times New Roman"/>
          <w:bCs/>
          <w:sz w:val="24"/>
          <w:szCs w:val="24"/>
        </w:rPr>
        <w:t>weaker</w:t>
      </w:r>
      <w:r w:rsidR="0068292B">
        <w:rPr>
          <w:rFonts w:ascii="Times New Roman" w:hAnsi="Times New Roman" w:cs="Times New Roman"/>
          <w:bCs/>
          <w:sz w:val="24"/>
          <w:szCs w:val="24"/>
        </w:rPr>
        <w:t xml:space="preserve"> effect on firm performance. This finding is consistent with our prediction; in the presence of </w:t>
      </w:r>
      <w:r>
        <w:rPr>
          <w:rFonts w:ascii="Times New Roman" w:hAnsi="Times New Roman" w:cs="Times New Roman"/>
          <w:bCs/>
          <w:sz w:val="24"/>
          <w:szCs w:val="24"/>
        </w:rPr>
        <w:t>large</w:t>
      </w:r>
      <w:r w:rsidR="0068292B">
        <w:rPr>
          <w:rFonts w:ascii="Times New Roman" w:hAnsi="Times New Roman" w:cs="Times New Roman"/>
          <w:bCs/>
          <w:sz w:val="24"/>
          <w:szCs w:val="24"/>
        </w:rPr>
        <w:t xml:space="preserve"> pension plans, managers may reduce dividends to cover future pension payouts, even in the absence of good investment opportunities.     </w:t>
      </w:r>
    </w:p>
    <w:p w:rsidR="00EC0E88" w:rsidRDefault="007040FA" w:rsidP="00716DE2">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873155" w:rsidRPr="00275F54" w:rsidRDefault="00D4496D" w:rsidP="002B4C80">
      <w:pPr>
        <w:spacing w:after="0" w:line="480" w:lineRule="auto"/>
        <w:ind w:left="360" w:hanging="360"/>
        <w:jc w:val="both"/>
        <w:rPr>
          <w:sz w:val="32"/>
          <w:szCs w:val="32"/>
        </w:rPr>
      </w:pPr>
      <w:r>
        <w:rPr>
          <w:sz w:val="32"/>
          <w:szCs w:val="32"/>
        </w:rPr>
        <w:t>8</w:t>
      </w:r>
      <w:r w:rsidR="00873155">
        <w:rPr>
          <w:sz w:val="32"/>
          <w:szCs w:val="32"/>
        </w:rPr>
        <w:t>. Conclusion</w:t>
      </w:r>
      <w:r w:rsidR="00981041">
        <w:rPr>
          <w:sz w:val="32"/>
          <w:szCs w:val="32"/>
        </w:rPr>
        <w:t>s</w:t>
      </w:r>
    </w:p>
    <w:p w:rsidR="00B27171" w:rsidRPr="00B27171" w:rsidRDefault="00B27171" w:rsidP="00B27171">
      <w:pPr>
        <w:spacing w:after="0" w:line="480" w:lineRule="auto"/>
        <w:jc w:val="both"/>
        <w:rPr>
          <w:rFonts w:ascii="Times New Roman" w:hAnsi="Times New Roman"/>
          <w:sz w:val="24"/>
          <w:szCs w:val="24"/>
        </w:rPr>
      </w:pPr>
      <w:r w:rsidRPr="00B27171">
        <w:rPr>
          <w:rFonts w:ascii="Times New Roman" w:hAnsi="Times New Roman"/>
          <w:sz w:val="24"/>
          <w:szCs w:val="24"/>
        </w:rPr>
        <w:t>We address a manager-owner agency aspect that has not be</w:t>
      </w:r>
      <w:r>
        <w:rPr>
          <w:rFonts w:ascii="Times New Roman" w:hAnsi="Times New Roman"/>
          <w:sz w:val="24"/>
          <w:szCs w:val="24"/>
        </w:rPr>
        <w:t xml:space="preserve">en analyzed </w:t>
      </w:r>
      <w:r w:rsidR="00017CCA">
        <w:rPr>
          <w:rFonts w:ascii="Times New Roman" w:hAnsi="Times New Roman"/>
          <w:sz w:val="24"/>
          <w:szCs w:val="24"/>
        </w:rPr>
        <w:t>in the literature</w:t>
      </w:r>
      <w:r>
        <w:rPr>
          <w:rFonts w:ascii="Times New Roman" w:hAnsi="Times New Roman"/>
          <w:sz w:val="24"/>
          <w:szCs w:val="24"/>
        </w:rPr>
        <w:t xml:space="preserve">. We argue that managers with relatively high pension plans will have a </w:t>
      </w:r>
      <w:r w:rsidR="00017CCA">
        <w:rPr>
          <w:rFonts w:ascii="Times New Roman" w:hAnsi="Times New Roman"/>
          <w:sz w:val="24"/>
          <w:szCs w:val="24"/>
        </w:rPr>
        <w:t xml:space="preserve">personal and </w:t>
      </w:r>
      <w:r>
        <w:rPr>
          <w:rFonts w:ascii="Times New Roman" w:hAnsi="Times New Roman"/>
          <w:sz w:val="24"/>
          <w:szCs w:val="24"/>
        </w:rPr>
        <w:t xml:space="preserve">natural aversion to </w:t>
      </w:r>
      <w:r w:rsidR="00017CCA">
        <w:rPr>
          <w:rFonts w:ascii="Times New Roman" w:hAnsi="Times New Roman"/>
          <w:sz w:val="24"/>
          <w:szCs w:val="24"/>
        </w:rPr>
        <w:t xml:space="preserve">distribute </w:t>
      </w:r>
      <w:r>
        <w:rPr>
          <w:rFonts w:ascii="Times New Roman" w:hAnsi="Times New Roman"/>
          <w:sz w:val="24"/>
          <w:szCs w:val="24"/>
        </w:rPr>
        <w:t>profit</w:t>
      </w:r>
      <w:r w:rsidR="00017CCA">
        <w:rPr>
          <w:rFonts w:ascii="Times New Roman" w:hAnsi="Times New Roman"/>
          <w:sz w:val="24"/>
          <w:szCs w:val="24"/>
        </w:rPr>
        <w:t>s</w:t>
      </w:r>
      <w:r>
        <w:rPr>
          <w:rFonts w:ascii="Times New Roman" w:hAnsi="Times New Roman"/>
          <w:sz w:val="24"/>
          <w:szCs w:val="24"/>
        </w:rPr>
        <w:t xml:space="preserve"> to shareholders</w:t>
      </w:r>
      <w:r w:rsidR="00ED18D3">
        <w:rPr>
          <w:rFonts w:ascii="Times New Roman" w:hAnsi="Times New Roman"/>
          <w:sz w:val="24"/>
          <w:szCs w:val="24"/>
        </w:rPr>
        <w:t xml:space="preserve">. </w:t>
      </w:r>
      <w:r w:rsidR="009964A0">
        <w:rPr>
          <w:rFonts w:ascii="Times New Roman" w:hAnsi="Times New Roman"/>
          <w:sz w:val="24"/>
          <w:szCs w:val="24"/>
        </w:rPr>
        <w:t>F</w:t>
      </w:r>
      <w:r w:rsidR="00ED18D3">
        <w:rPr>
          <w:rFonts w:ascii="Times New Roman" w:hAnsi="Times New Roman"/>
          <w:sz w:val="24"/>
          <w:szCs w:val="24"/>
        </w:rPr>
        <w:t>irms that pay</w:t>
      </w:r>
      <w:r w:rsidR="00ED18D3" w:rsidRPr="00B27171">
        <w:rPr>
          <w:rFonts w:ascii="Times New Roman" w:hAnsi="Times New Roman"/>
          <w:sz w:val="24"/>
          <w:szCs w:val="24"/>
        </w:rPr>
        <w:t xml:space="preserve"> dividend</w:t>
      </w:r>
      <w:r w:rsidR="00ED18D3">
        <w:rPr>
          <w:rFonts w:ascii="Times New Roman" w:hAnsi="Times New Roman"/>
          <w:sz w:val="24"/>
          <w:szCs w:val="24"/>
        </w:rPr>
        <w:t>s</w:t>
      </w:r>
      <w:r w:rsidR="00ED18D3" w:rsidRPr="00B27171">
        <w:rPr>
          <w:rFonts w:ascii="Times New Roman" w:hAnsi="Times New Roman"/>
          <w:sz w:val="24"/>
          <w:szCs w:val="24"/>
        </w:rPr>
        <w:t xml:space="preserve"> </w:t>
      </w:r>
      <w:r w:rsidR="00ED18D3">
        <w:rPr>
          <w:rFonts w:ascii="Times New Roman" w:hAnsi="Times New Roman"/>
          <w:sz w:val="24"/>
          <w:szCs w:val="24"/>
        </w:rPr>
        <w:t xml:space="preserve">have </w:t>
      </w:r>
      <w:r w:rsidR="00ED18D3" w:rsidRPr="00B27171">
        <w:rPr>
          <w:rFonts w:ascii="Times New Roman" w:hAnsi="Times New Roman"/>
          <w:sz w:val="24"/>
          <w:szCs w:val="24"/>
        </w:rPr>
        <w:t xml:space="preserve">an unwritten commitment to </w:t>
      </w:r>
      <w:r w:rsidR="00ED18D3">
        <w:rPr>
          <w:rFonts w:ascii="Times New Roman" w:hAnsi="Times New Roman"/>
          <w:sz w:val="24"/>
          <w:szCs w:val="24"/>
        </w:rPr>
        <w:t xml:space="preserve">maintain </w:t>
      </w:r>
      <w:r w:rsidR="00ED18D3" w:rsidRPr="00B27171">
        <w:rPr>
          <w:rFonts w:ascii="Times New Roman" w:hAnsi="Times New Roman"/>
          <w:sz w:val="24"/>
          <w:szCs w:val="24"/>
        </w:rPr>
        <w:t>similar payouts in the following years</w:t>
      </w:r>
      <w:r w:rsidR="009964A0">
        <w:rPr>
          <w:rFonts w:ascii="Times New Roman" w:hAnsi="Times New Roman"/>
          <w:sz w:val="24"/>
          <w:szCs w:val="24"/>
        </w:rPr>
        <w:t xml:space="preserve">; </w:t>
      </w:r>
      <w:r w:rsidR="00017CCA">
        <w:rPr>
          <w:rFonts w:ascii="Times New Roman" w:hAnsi="Times New Roman"/>
          <w:sz w:val="24"/>
          <w:szCs w:val="24"/>
        </w:rPr>
        <w:t xml:space="preserve">such distributions increase the </w:t>
      </w:r>
      <w:r>
        <w:rPr>
          <w:rFonts w:ascii="Times New Roman" w:hAnsi="Times New Roman"/>
          <w:sz w:val="24"/>
          <w:szCs w:val="24"/>
        </w:rPr>
        <w:t xml:space="preserve">risk </w:t>
      </w:r>
      <w:r w:rsidR="00017CCA">
        <w:rPr>
          <w:rFonts w:ascii="Times New Roman" w:hAnsi="Times New Roman"/>
          <w:sz w:val="24"/>
          <w:szCs w:val="24"/>
        </w:rPr>
        <w:t xml:space="preserve">that the firm may not be able to meet </w:t>
      </w:r>
      <w:r w:rsidR="009964A0">
        <w:rPr>
          <w:rFonts w:ascii="Times New Roman" w:hAnsi="Times New Roman"/>
          <w:sz w:val="24"/>
          <w:szCs w:val="24"/>
        </w:rPr>
        <w:t xml:space="preserve">future </w:t>
      </w:r>
      <w:r>
        <w:rPr>
          <w:rFonts w:ascii="Times New Roman" w:hAnsi="Times New Roman"/>
          <w:sz w:val="24"/>
          <w:szCs w:val="24"/>
        </w:rPr>
        <w:t xml:space="preserve">pension </w:t>
      </w:r>
      <w:r w:rsidR="00017CCA">
        <w:rPr>
          <w:rFonts w:ascii="Times New Roman" w:hAnsi="Times New Roman"/>
          <w:sz w:val="24"/>
          <w:szCs w:val="24"/>
        </w:rPr>
        <w:t>obligations to retired executives</w:t>
      </w:r>
      <w:r>
        <w:rPr>
          <w:rFonts w:ascii="Times New Roman" w:hAnsi="Times New Roman"/>
          <w:sz w:val="24"/>
          <w:szCs w:val="24"/>
        </w:rPr>
        <w:t xml:space="preserve">. </w:t>
      </w:r>
      <w:r w:rsidRPr="00B27171">
        <w:rPr>
          <w:rFonts w:ascii="Times New Roman" w:hAnsi="Times New Roman"/>
          <w:sz w:val="24"/>
          <w:szCs w:val="24"/>
        </w:rPr>
        <w:t xml:space="preserve">We therefore expect </w:t>
      </w:r>
      <w:r>
        <w:rPr>
          <w:rFonts w:ascii="Times New Roman" w:hAnsi="Times New Roman"/>
          <w:sz w:val="24"/>
          <w:szCs w:val="24"/>
        </w:rPr>
        <w:t xml:space="preserve">that the extent of </w:t>
      </w:r>
      <w:r w:rsidRPr="00B27171">
        <w:rPr>
          <w:rFonts w:ascii="Times New Roman" w:hAnsi="Times New Roman"/>
          <w:sz w:val="24"/>
          <w:szCs w:val="24"/>
        </w:rPr>
        <w:t xml:space="preserve">executive pension plans </w:t>
      </w:r>
      <w:r>
        <w:rPr>
          <w:rFonts w:ascii="Times New Roman" w:hAnsi="Times New Roman"/>
          <w:sz w:val="24"/>
          <w:szCs w:val="24"/>
        </w:rPr>
        <w:t>will lead to lower</w:t>
      </w:r>
      <w:r w:rsidRPr="00B27171">
        <w:rPr>
          <w:rFonts w:ascii="Times New Roman" w:hAnsi="Times New Roman"/>
          <w:sz w:val="24"/>
          <w:szCs w:val="24"/>
        </w:rPr>
        <w:t xml:space="preserve"> current dividend policy.</w:t>
      </w:r>
    </w:p>
    <w:p w:rsidR="009964A0" w:rsidRDefault="00C44349" w:rsidP="00925019">
      <w:pPr>
        <w:spacing w:before="240"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Using our hand-collected database on executive compensation, we find empirical support for our prediction. Consistent with agency theory, higher levels of executive pensions generate a more restrictive firm dividend policy. Particularly, we find that firms maintain a relatively low dividend yield and dividend payout ratio when the proportion of pension value in the </w:t>
      </w:r>
      <w:r w:rsidR="00F65113">
        <w:rPr>
          <w:rFonts w:ascii="Times New Roman" w:hAnsi="Times New Roman" w:cs="Times New Roman"/>
          <w:sz w:val="24"/>
          <w:szCs w:val="24"/>
        </w:rPr>
        <w:t>executives’</w:t>
      </w:r>
      <w:r>
        <w:rPr>
          <w:rFonts w:ascii="Times New Roman" w:hAnsi="Times New Roman" w:cs="Times New Roman"/>
          <w:sz w:val="24"/>
          <w:szCs w:val="24"/>
        </w:rPr>
        <w:t xml:space="preserve"> </w:t>
      </w:r>
      <w:r w:rsidR="00F65113">
        <w:rPr>
          <w:rFonts w:ascii="Times New Roman" w:hAnsi="Times New Roman" w:cs="Times New Roman"/>
          <w:sz w:val="24"/>
          <w:szCs w:val="24"/>
        </w:rPr>
        <w:t xml:space="preserve">compensation </w:t>
      </w:r>
      <w:r>
        <w:rPr>
          <w:rFonts w:ascii="Times New Roman" w:hAnsi="Times New Roman" w:cs="Times New Roman"/>
          <w:sz w:val="24"/>
          <w:szCs w:val="24"/>
        </w:rPr>
        <w:t>p</w:t>
      </w:r>
      <w:r w:rsidR="009964A0">
        <w:rPr>
          <w:rFonts w:ascii="Times New Roman" w:hAnsi="Times New Roman" w:cs="Times New Roman"/>
          <w:sz w:val="24"/>
          <w:szCs w:val="24"/>
        </w:rPr>
        <w:t>ackage</w:t>
      </w:r>
      <w:r>
        <w:rPr>
          <w:rFonts w:ascii="Times New Roman" w:hAnsi="Times New Roman" w:cs="Times New Roman"/>
          <w:sz w:val="24"/>
          <w:szCs w:val="24"/>
        </w:rPr>
        <w:t xml:space="preserve"> is high</w:t>
      </w:r>
      <w:r w:rsidR="009964A0">
        <w:rPr>
          <w:rFonts w:ascii="Times New Roman" w:hAnsi="Times New Roman" w:cs="Times New Roman"/>
          <w:sz w:val="24"/>
          <w:szCs w:val="24"/>
        </w:rPr>
        <w:t>,</w:t>
      </w:r>
      <w:r>
        <w:rPr>
          <w:rFonts w:ascii="Times New Roman" w:hAnsi="Times New Roman" w:cs="Times New Roman"/>
          <w:sz w:val="24"/>
          <w:szCs w:val="24"/>
        </w:rPr>
        <w:t xml:space="preserve"> and when the pension value </w:t>
      </w:r>
      <w:r w:rsidR="009964A0">
        <w:rPr>
          <w:rFonts w:ascii="Times New Roman" w:hAnsi="Times New Roman" w:cs="Times New Roman"/>
          <w:sz w:val="24"/>
          <w:szCs w:val="24"/>
        </w:rPr>
        <w:t xml:space="preserve">represents a </w:t>
      </w:r>
      <w:r w:rsidR="00F65113">
        <w:rPr>
          <w:rFonts w:ascii="Times New Roman" w:hAnsi="Times New Roman" w:cs="Times New Roman"/>
          <w:sz w:val="24"/>
          <w:szCs w:val="24"/>
        </w:rPr>
        <w:t xml:space="preserve">high fraction of the firm assets. </w:t>
      </w:r>
    </w:p>
    <w:p w:rsidR="00925019" w:rsidRDefault="00F65113" w:rsidP="00925019">
      <w:pPr>
        <w:spacing w:before="240" w:after="0" w:line="480" w:lineRule="auto"/>
        <w:ind w:firstLine="360"/>
        <w:jc w:val="both"/>
        <w:rPr>
          <w:rFonts w:ascii="Times New Roman" w:hAnsi="Times New Roman"/>
          <w:sz w:val="24"/>
          <w:szCs w:val="24"/>
        </w:rPr>
      </w:pPr>
      <w:r>
        <w:rPr>
          <w:rFonts w:ascii="Times New Roman" w:hAnsi="Times New Roman" w:cs="Times New Roman"/>
          <w:sz w:val="24"/>
          <w:szCs w:val="24"/>
        </w:rPr>
        <w:t xml:space="preserve">The results also indicate that given a desirable level of payout to shareholders, the firm’s managers prefer </w:t>
      </w:r>
      <w:r w:rsidR="009964A0">
        <w:rPr>
          <w:rFonts w:ascii="Times New Roman" w:hAnsi="Times New Roman" w:cs="Times New Roman"/>
          <w:sz w:val="24"/>
          <w:szCs w:val="24"/>
        </w:rPr>
        <w:t xml:space="preserve">cash distributions in the form of stock buyback </w:t>
      </w:r>
      <w:r>
        <w:rPr>
          <w:rFonts w:ascii="Times New Roman" w:hAnsi="Times New Roman" w:cs="Times New Roman"/>
          <w:sz w:val="24"/>
          <w:szCs w:val="24"/>
        </w:rPr>
        <w:t>over dividend</w:t>
      </w:r>
      <w:r w:rsidR="009964A0">
        <w:rPr>
          <w:rFonts w:ascii="Times New Roman" w:hAnsi="Times New Roman" w:cs="Times New Roman"/>
          <w:sz w:val="24"/>
          <w:szCs w:val="24"/>
        </w:rPr>
        <w:t>s</w:t>
      </w:r>
      <w:r>
        <w:rPr>
          <w:rFonts w:ascii="Times New Roman" w:hAnsi="Times New Roman" w:cs="Times New Roman"/>
          <w:sz w:val="24"/>
          <w:szCs w:val="24"/>
        </w:rPr>
        <w:t xml:space="preserve"> in the presence of large pension plans. </w:t>
      </w:r>
      <w:r w:rsidR="009964A0">
        <w:rPr>
          <w:rFonts w:ascii="Times New Roman" w:hAnsi="Times New Roman" w:cs="Times New Roman"/>
          <w:sz w:val="24"/>
          <w:szCs w:val="24"/>
        </w:rPr>
        <w:t xml:space="preserve">We find also that </w:t>
      </w:r>
      <w:r w:rsidR="0065235A">
        <w:rPr>
          <w:rFonts w:ascii="Times New Roman" w:hAnsi="Times New Roman" w:cs="Times New Roman"/>
          <w:sz w:val="24"/>
          <w:szCs w:val="24"/>
        </w:rPr>
        <w:t xml:space="preserve">when pension plans are secured by pre-funded rabbi trusts, </w:t>
      </w:r>
      <w:r w:rsidR="0065235A">
        <w:rPr>
          <w:rFonts w:ascii="Times New Roman" w:hAnsi="Times New Roman" w:cs="Times New Roman"/>
          <w:sz w:val="24"/>
          <w:szCs w:val="24"/>
        </w:rPr>
        <w:lastRenderedPageBreak/>
        <w:t xml:space="preserve">the negative effect of pension size on dividend payments is significantly weaker and often eliminated. </w:t>
      </w:r>
      <w:r w:rsidR="009964A0">
        <w:rPr>
          <w:rFonts w:ascii="Times New Roman" w:hAnsi="Times New Roman" w:cs="Times New Roman"/>
          <w:sz w:val="24"/>
          <w:szCs w:val="24"/>
        </w:rPr>
        <w:t>Lastly, w</w:t>
      </w:r>
      <w:r w:rsidR="00716DE2">
        <w:rPr>
          <w:rFonts w:ascii="Times New Roman" w:hAnsi="Times New Roman" w:cs="Times New Roman"/>
          <w:sz w:val="24"/>
          <w:szCs w:val="24"/>
        </w:rPr>
        <w:t>e explore the consequences of this pension-dividend agency behavior</w:t>
      </w:r>
      <w:r w:rsidR="009964A0">
        <w:rPr>
          <w:rFonts w:ascii="Times New Roman" w:hAnsi="Times New Roman" w:cs="Times New Roman"/>
          <w:sz w:val="24"/>
          <w:szCs w:val="24"/>
        </w:rPr>
        <w:t xml:space="preserve"> for future </w:t>
      </w:r>
      <w:r w:rsidR="00510DF6">
        <w:rPr>
          <w:rFonts w:ascii="Times New Roman" w:hAnsi="Times New Roman" w:cs="Times New Roman"/>
          <w:sz w:val="24"/>
          <w:szCs w:val="24"/>
        </w:rPr>
        <w:t xml:space="preserve">firm </w:t>
      </w:r>
      <w:r w:rsidR="009964A0">
        <w:rPr>
          <w:rFonts w:ascii="Times New Roman" w:hAnsi="Times New Roman" w:cs="Times New Roman"/>
          <w:sz w:val="24"/>
          <w:szCs w:val="24"/>
        </w:rPr>
        <w:t>p</w:t>
      </w:r>
      <w:r w:rsidR="00510DF6">
        <w:rPr>
          <w:rFonts w:ascii="Times New Roman" w:hAnsi="Times New Roman" w:cs="Times New Roman"/>
          <w:sz w:val="24"/>
          <w:szCs w:val="24"/>
        </w:rPr>
        <w:t>erformance</w:t>
      </w:r>
      <w:r w:rsidR="00716DE2">
        <w:rPr>
          <w:rFonts w:ascii="Times New Roman" w:hAnsi="Times New Roman" w:cs="Times New Roman"/>
          <w:sz w:val="24"/>
          <w:szCs w:val="24"/>
        </w:rPr>
        <w:t xml:space="preserve">. We show that </w:t>
      </w:r>
      <w:r w:rsidR="00C7102D">
        <w:rPr>
          <w:rFonts w:ascii="Times New Roman" w:hAnsi="Times New Roman" w:cs="Times New Roman"/>
          <w:sz w:val="24"/>
          <w:szCs w:val="24"/>
        </w:rPr>
        <w:t xml:space="preserve">the presence of pension-based considerations in current payout policy results in a decline </w:t>
      </w:r>
      <w:r w:rsidR="00C91DF3">
        <w:rPr>
          <w:rFonts w:ascii="Times New Roman" w:hAnsi="Times New Roman" w:cs="Times New Roman"/>
          <w:sz w:val="24"/>
          <w:szCs w:val="24"/>
        </w:rPr>
        <w:t xml:space="preserve">in </w:t>
      </w:r>
      <w:r w:rsidR="00C7102D">
        <w:rPr>
          <w:rFonts w:ascii="Times New Roman" w:hAnsi="Times New Roman" w:cs="Times New Roman"/>
          <w:sz w:val="24"/>
          <w:szCs w:val="24"/>
        </w:rPr>
        <w:t>the firm</w:t>
      </w:r>
      <w:r w:rsidR="00C91DF3">
        <w:rPr>
          <w:rFonts w:ascii="Times New Roman" w:hAnsi="Times New Roman" w:cs="Times New Roman"/>
          <w:sz w:val="24"/>
          <w:szCs w:val="24"/>
        </w:rPr>
        <w:t>’s</w:t>
      </w:r>
      <w:r w:rsidR="00C7102D">
        <w:rPr>
          <w:rFonts w:ascii="Times New Roman" w:hAnsi="Times New Roman" w:cs="Times New Roman"/>
          <w:sz w:val="24"/>
          <w:szCs w:val="24"/>
        </w:rPr>
        <w:t xml:space="preserve"> p</w:t>
      </w:r>
      <w:r w:rsidR="00510DF6">
        <w:rPr>
          <w:rFonts w:ascii="Times New Roman" w:hAnsi="Times New Roman" w:cs="Times New Roman"/>
          <w:sz w:val="24"/>
          <w:szCs w:val="24"/>
        </w:rPr>
        <w:t>rofitability</w:t>
      </w:r>
      <w:r w:rsidR="00C7102D">
        <w:rPr>
          <w:rFonts w:ascii="Times New Roman" w:hAnsi="Times New Roman" w:cs="Times New Roman"/>
          <w:sz w:val="24"/>
          <w:szCs w:val="24"/>
        </w:rPr>
        <w:t xml:space="preserve">. </w:t>
      </w:r>
      <w:r w:rsidR="009368E7">
        <w:rPr>
          <w:rFonts w:ascii="Times New Roman" w:hAnsi="Times New Roman"/>
          <w:sz w:val="24"/>
          <w:szCs w:val="24"/>
        </w:rPr>
        <w:t>These</w:t>
      </w:r>
      <w:r w:rsidR="00064A74">
        <w:rPr>
          <w:rFonts w:ascii="Times New Roman" w:hAnsi="Times New Roman"/>
          <w:sz w:val="24"/>
          <w:szCs w:val="24"/>
        </w:rPr>
        <w:t xml:space="preserve"> findings </w:t>
      </w:r>
      <w:r w:rsidR="004756AE">
        <w:rPr>
          <w:rFonts w:ascii="Times New Roman" w:hAnsi="Times New Roman"/>
          <w:sz w:val="24"/>
          <w:szCs w:val="24"/>
        </w:rPr>
        <w:t>suggest that</w:t>
      </w:r>
      <w:r w:rsidR="009368E7">
        <w:rPr>
          <w:rFonts w:ascii="Times New Roman" w:hAnsi="Times New Roman"/>
          <w:sz w:val="24"/>
          <w:szCs w:val="24"/>
        </w:rPr>
        <w:t xml:space="preserve"> pension plans and their funding status </w:t>
      </w:r>
      <w:r w:rsidR="004756AE">
        <w:rPr>
          <w:rFonts w:ascii="Times New Roman" w:hAnsi="Times New Roman"/>
          <w:sz w:val="24"/>
          <w:szCs w:val="24"/>
        </w:rPr>
        <w:t xml:space="preserve">play a significant role in </w:t>
      </w:r>
      <w:r w:rsidR="00A803E0">
        <w:rPr>
          <w:rFonts w:ascii="Times New Roman" w:hAnsi="Times New Roman"/>
          <w:sz w:val="24"/>
          <w:szCs w:val="24"/>
        </w:rPr>
        <w:t>the</w:t>
      </w:r>
      <w:r w:rsidR="007A4747">
        <w:rPr>
          <w:rFonts w:ascii="Times New Roman" w:hAnsi="Times New Roman"/>
          <w:sz w:val="24"/>
          <w:szCs w:val="24"/>
        </w:rPr>
        <w:t xml:space="preserve"> </w:t>
      </w:r>
      <w:r w:rsidR="00A803E0">
        <w:rPr>
          <w:rFonts w:ascii="Times New Roman" w:hAnsi="Times New Roman"/>
          <w:sz w:val="24"/>
          <w:szCs w:val="24"/>
        </w:rPr>
        <w:t>manager-owner agency theory</w:t>
      </w:r>
      <w:r w:rsidR="007A4747">
        <w:rPr>
          <w:rFonts w:ascii="Times New Roman" w:hAnsi="Times New Roman"/>
          <w:sz w:val="24"/>
          <w:szCs w:val="24"/>
        </w:rPr>
        <w:t xml:space="preserve">. </w:t>
      </w:r>
    </w:p>
    <w:p w:rsidR="00064A74" w:rsidRDefault="00064A74" w:rsidP="00C44349">
      <w:pPr>
        <w:spacing w:after="0" w:line="480" w:lineRule="auto"/>
        <w:ind w:firstLine="360"/>
        <w:jc w:val="both"/>
        <w:rPr>
          <w:rFonts w:ascii="Times New Roman" w:hAnsi="Times New Roman" w:cs="Times New Roman"/>
          <w:sz w:val="24"/>
          <w:szCs w:val="24"/>
        </w:rPr>
      </w:pPr>
    </w:p>
    <w:p w:rsidR="00807580" w:rsidRDefault="00807580">
      <w:pPr>
        <w:rPr>
          <w:rFonts w:ascii="Times New Roman" w:hAnsi="Times New Roman" w:cs="Times New Roman"/>
          <w:b/>
          <w:bCs/>
          <w:sz w:val="24"/>
          <w:szCs w:val="24"/>
        </w:rPr>
      </w:pPr>
      <w:r>
        <w:rPr>
          <w:rFonts w:ascii="Times New Roman" w:hAnsi="Times New Roman" w:cs="Times New Roman"/>
          <w:b/>
          <w:bCs/>
          <w:sz w:val="24"/>
          <w:szCs w:val="24"/>
        </w:rPr>
        <w:br w:type="page"/>
      </w:r>
    </w:p>
    <w:p w:rsidR="00606651" w:rsidRPr="00E6325C" w:rsidRDefault="00606651" w:rsidP="00203DEF">
      <w:pPr>
        <w:spacing w:line="480" w:lineRule="auto"/>
        <w:rPr>
          <w:rFonts w:ascii="Times New Roman" w:hAnsi="Times New Roman" w:cs="Times New Roman"/>
          <w:b/>
          <w:bCs/>
          <w:sz w:val="24"/>
          <w:szCs w:val="24"/>
        </w:rPr>
      </w:pPr>
      <w:r w:rsidRPr="00B571CC">
        <w:rPr>
          <w:rFonts w:ascii="Times New Roman" w:hAnsi="Times New Roman" w:cs="Times New Roman"/>
          <w:b/>
          <w:bCs/>
          <w:sz w:val="24"/>
          <w:szCs w:val="24"/>
        </w:rPr>
        <w:lastRenderedPageBreak/>
        <w:t xml:space="preserve">Appendix A: An example of the pension value estimation procedure </w:t>
      </w:r>
    </w:p>
    <w:p w:rsidR="00606651" w:rsidRPr="00DF1D5A" w:rsidRDefault="00606651" w:rsidP="00203DEF">
      <w:pPr>
        <w:spacing w:before="240" w:after="0" w:line="480" w:lineRule="auto"/>
        <w:jc w:val="both"/>
        <w:rPr>
          <w:rFonts w:ascii="Times New Roman" w:hAnsi="Times New Roman" w:cs="Times New Roman"/>
          <w:bCs/>
          <w:sz w:val="24"/>
          <w:szCs w:val="24"/>
        </w:rPr>
      </w:pPr>
      <w:r w:rsidRPr="00DF1D5A">
        <w:rPr>
          <w:rFonts w:ascii="Times New Roman" w:hAnsi="Times New Roman" w:cs="Times New Roman"/>
          <w:bCs/>
          <w:sz w:val="24"/>
          <w:szCs w:val="24"/>
        </w:rPr>
        <w:t xml:space="preserve">Using </w:t>
      </w:r>
      <w:r w:rsidR="00916BF3">
        <w:rPr>
          <w:rFonts w:ascii="Times New Roman" w:hAnsi="Times New Roman" w:cs="Times New Roman"/>
          <w:bCs/>
          <w:sz w:val="24"/>
          <w:szCs w:val="24"/>
        </w:rPr>
        <w:t>Exxon</w:t>
      </w:r>
      <w:r>
        <w:rPr>
          <w:rFonts w:ascii="Times New Roman" w:hAnsi="Times New Roman" w:cs="Times New Roman"/>
          <w:bCs/>
          <w:sz w:val="24"/>
          <w:szCs w:val="24"/>
        </w:rPr>
        <w:t>Mobil</w:t>
      </w:r>
      <w:r w:rsidRPr="00DF1D5A">
        <w:rPr>
          <w:rFonts w:ascii="Times New Roman" w:hAnsi="Times New Roman" w:cs="Times New Roman"/>
          <w:bCs/>
          <w:sz w:val="24"/>
          <w:szCs w:val="24"/>
        </w:rPr>
        <w:t xml:space="preserve"> as an example firm, we can establish how the pension computation is performed for each executive. In this case, </w:t>
      </w:r>
      <w:r>
        <w:rPr>
          <w:rFonts w:ascii="Times New Roman" w:hAnsi="Times New Roman" w:cs="Times New Roman"/>
          <w:bCs/>
          <w:sz w:val="24"/>
          <w:szCs w:val="24"/>
        </w:rPr>
        <w:t>Lee R. R</w:t>
      </w:r>
      <w:r w:rsidRPr="00DF1D5A">
        <w:rPr>
          <w:rFonts w:ascii="Times New Roman" w:hAnsi="Times New Roman" w:cs="Times New Roman"/>
          <w:bCs/>
          <w:sz w:val="24"/>
          <w:szCs w:val="24"/>
        </w:rPr>
        <w:t>a</w:t>
      </w:r>
      <w:r>
        <w:rPr>
          <w:rFonts w:ascii="Times New Roman" w:hAnsi="Times New Roman" w:cs="Times New Roman"/>
          <w:bCs/>
          <w:sz w:val="24"/>
          <w:szCs w:val="24"/>
        </w:rPr>
        <w:t>ymond</w:t>
      </w:r>
      <w:r w:rsidRPr="00DF1D5A">
        <w:rPr>
          <w:rFonts w:ascii="Times New Roman" w:hAnsi="Times New Roman" w:cs="Times New Roman"/>
          <w:bCs/>
          <w:sz w:val="24"/>
          <w:szCs w:val="24"/>
        </w:rPr>
        <w:t xml:space="preserve">, the </w:t>
      </w:r>
      <w:r>
        <w:rPr>
          <w:rFonts w:ascii="Times New Roman" w:hAnsi="Times New Roman" w:cs="Times New Roman"/>
          <w:bCs/>
          <w:sz w:val="24"/>
          <w:szCs w:val="24"/>
        </w:rPr>
        <w:t>Chief Executive Officer</w:t>
      </w:r>
      <w:r w:rsidRPr="00DF1D5A">
        <w:rPr>
          <w:rFonts w:ascii="Times New Roman" w:hAnsi="Times New Roman" w:cs="Times New Roman"/>
          <w:bCs/>
          <w:sz w:val="24"/>
          <w:szCs w:val="24"/>
        </w:rPr>
        <w:t xml:space="preserve"> of </w:t>
      </w:r>
      <w:r>
        <w:rPr>
          <w:rFonts w:ascii="Times New Roman" w:hAnsi="Times New Roman" w:cs="Times New Roman"/>
          <w:bCs/>
          <w:sz w:val="24"/>
          <w:szCs w:val="24"/>
        </w:rPr>
        <w:t>ExxonMobil in 2005</w:t>
      </w:r>
      <w:r w:rsidRPr="00DF1D5A">
        <w:rPr>
          <w:rFonts w:ascii="Times New Roman" w:hAnsi="Times New Roman" w:cs="Times New Roman"/>
          <w:bCs/>
          <w:sz w:val="24"/>
          <w:szCs w:val="24"/>
        </w:rPr>
        <w:t xml:space="preserve">, provides the example representation. </w:t>
      </w:r>
    </w:p>
    <w:p w:rsidR="00606651" w:rsidRPr="00DF1D5A" w:rsidRDefault="00606651" w:rsidP="00203DEF">
      <w:pPr>
        <w:spacing w:before="240" w:after="0" w:line="480" w:lineRule="auto"/>
        <w:ind w:firstLine="360"/>
        <w:jc w:val="both"/>
        <w:rPr>
          <w:rFonts w:ascii="Times New Roman" w:hAnsi="Times New Roman" w:cs="Times New Roman"/>
          <w:bCs/>
          <w:sz w:val="24"/>
          <w:szCs w:val="24"/>
        </w:rPr>
      </w:pPr>
      <w:r w:rsidRPr="00DF1D5A">
        <w:rPr>
          <w:rFonts w:ascii="Times New Roman" w:hAnsi="Times New Roman" w:cs="Times New Roman"/>
          <w:bCs/>
          <w:sz w:val="24"/>
          <w:szCs w:val="24"/>
        </w:rPr>
        <w:t xml:space="preserve">In Table A1, we have produced the same pension table disclosure available to investors of </w:t>
      </w:r>
      <w:r>
        <w:rPr>
          <w:rFonts w:ascii="Times New Roman" w:hAnsi="Times New Roman" w:cs="Times New Roman"/>
          <w:bCs/>
          <w:sz w:val="24"/>
          <w:szCs w:val="24"/>
        </w:rPr>
        <w:t>ExxonMobil in fiscal year 2005</w:t>
      </w:r>
      <w:r w:rsidRPr="00DF1D5A">
        <w:rPr>
          <w:rFonts w:ascii="Times New Roman" w:hAnsi="Times New Roman" w:cs="Times New Roman"/>
          <w:bCs/>
          <w:sz w:val="24"/>
          <w:szCs w:val="24"/>
        </w:rPr>
        <w:t xml:space="preserve">. While investors may reference annual reports to access these tables, they are presented more conveniently in Definitive 14A statements. The table records years of service in five-year increments on the horizontal axis, and final average earnings in $500,000 increments on the vertical axis. Final average earnings are defined as the average of the three highest years of salary and bonus awards in the ten years prior to retirement. We assume the most recent three years of Mr. </w:t>
      </w:r>
      <w:r>
        <w:rPr>
          <w:rFonts w:ascii="Times New Roman" w:hAnsi="Times New Roman" w:cs="Times New Roman"/>
          <w:bCs/>
          <w:sz w:val="24"/>
          <w:szCs w:val="24"/>
        </w:rPr>
        <w:t>Raymond</w:t>
      </w:r>
      <w:r w:rsidRPr="00DF1D5A">
        <w:rPr>
          <w:rFonts w:ascii="Times New Roman" w:hAnsi="Times New Roman" w:cs="Times New Roman"/>
          <w:bCs/>
          <w:sz w:val="24"/>
          <w:szCs w:val="24"/>
        </w:rPr>
        <w:t>’s compensation are his three highest years of compensation in the last ten years, yielding a three-year average of $</w:t>
      </w:r>
      <w:r>
        <w:rPr>
          <w:rFonts w:ascii="Times New Roman" w:hAnsi="Times New Roman" w:cs="Times New Roman"/>
          <w:bCs/>
          <w:sz w:val="24"/>
          <w:szCs w:val="24"/>
        </w:rPr>
        <w:t>6.582</w:t>
      </w:r>
      <w:r w:rsidRPr="00DF1D5A">
        <w:rPr>
          <w:rFonts w:ascii="Times New Roman" w:hAnsi="Times New Roman" w:cs="Times New Roman"/>
          <w:bCs/>
          <w:sz w:val="24"/>
          <w:szCs w:val="24"/>
        </w:rPr>
        <w:t xml:space="preserve"> million in earnings credited towards retirement. </w:t>
      </w:r>
    </w:p>
    <w:p w:rsidR="00606651" w:rsidRPr="00DF1D5A" w:rsidRDefault="00606651" w:rsidP="00203DEF">
      <w:pPr>
        <w:spacing w:before="240" w:after="0" w:line="480" w:lineRule="auto"/>
        <w:ind w:firstLine="360"/>
        <w:jc w:val="both"/>
        <w:rPr>
          <w:rFonts w:ascii="Times New Roman" w:hAnsi="Times New Roman" w:cs="Times New Roman"/>
          <w:bCs/>
          <w:sz w:val="24"/>
          <w:szCs w:val="24"/>
        </w:rPr>
      </w:pPr>
      <w:r w:rsidRPr="00DF1D5A">
        <w:rPr>
          <w:rFonts w:ascii="Times New Roman" w:hAnsi="Times New Roman" w:cs="Times New Roman"/>
          <w:bCs/>
          <w:sz w:val="24"/>
          <w:szCs w:val="24"/>
        </w:rPr>
        <w:t xml:space="preserve">For each executive firm-year, a sufficient historical salary and bonus level of each executive was computed. To begin the sample at 2000, firms requiring three years of historical compensation needed SEC data beginning in 1998, and for firms requiring five years, 1996 was the first year of hand-collection. For many executives, especially those requiring five or more years of averaged compensation to compute their earnings, historical data was unavailable for as much time as was needed. To compute average compensation for these executives, salaries and bonuses were ‘downwardly weighted’ to the oldest year. For example, if five years of data was required to average an executive’s compensation and four years were available, the most recent three years were waited equally and the most distant year double-weighted to generate a five-year proxy.  </w:t>
      </w:r>
    </w:p>
    <w:p w:rsidR="00606651" w:rsidRPr="00DF1D5A" w:rsidRDefault="00606651" w:rsidP="00203DEF">
      <w:pPr>
        <w:spacing w:before="240" w:after="0" w:line="480" w:lineRule="auto"/>
        <w:ind w:firstLine="360"/>
        <w:jc w:val="both"/>
        <w:rPr>
          <w:rFonts w:ascii="Times New Roman" w:hAnsi="Times New Roman" w:cs="Times New Roman"/>
          <w:bCs/>
          <w:sz w:val="24"/>
          <w:szCs w:val="24"/>
        </w:rPr>
      </w:pPr>
      <w:r w:rsidRPr="00DF1D5A">
        <w:rPr>
          <w:rFonts w:ascii="Times New Roman" w:hAnsi="Times New Roman" w:cs="Times New Roman"/>
          <w:bCs/>
          <w:sz w:val="24"/>
          <w:szCs w:val="24"/>
        </w:rPr>
        <w:lastRenderedPageBreak/>
        <w:t xml:space="preserve">Mr. </w:t>
      </w:r>
      <w:r>
        <w:rPr>
          <w:rFonts w:ascii="Times New Roman" w:hAnsi="Times New Roman" w:cs="Times New Roman"/>
          <w:bCs/>
          <w:sz w:val="24"/>
          <w:szCs w:val="24"/>
        </w:rPr>
        <w:t>Raymond</w:t>
      </w:r>
      <w:r w:rsidRPr="00DF1D5A">
        <w:rPr>
          <w:rFonts w:ascii="Times New Roman" w:hAnsi="Times New Roman" w:cs="Times New Roman"/>
          <w:bCs/>
          <w:sz w:val="24"/>
          <w:szCs w:val="24"/>
        </w:rPr>
        <w:t>’s widely-available birth year of 19</w:t>
      </w:r>
      <w:r>
        <w:rPr>
          <w:rFonts w:ascii="Times New Roman" w:hAnsi="Times New Roman" w:cs="Times New Roman"/>
          <w:bCs/>
          <w:sz w:val="24"/>
          <w:szCs w:val="24"/>
        </w:rPr>
        <w:t xml:space="preserve">38 </w:t>
      </w:r>
      <w:r w:rsidRPr="00DF1D5A">
        <w:rPr>
          <w:rFonts w:ascii="Times New Roman" w:hAnsi="Times New Roman" w:cs="Times New Roman"/>
          <w:bCs/>
          <w:sz w:val="24"/>
          <w:szCs w:val="24"/>
        </w:rPr>
        <w:t>establishes his age at the end of 200</w:t>
      </w:r>
      <w:r>
        <w:rPr>
          <w:rFonts w:ascii="Times New Roman" w:hAnsi="Times New Roman" w:cs="Times New Roman"/>
          <w:bCs/>
          <w:sz w:val="24"/>
          <w:szCs w:val="24"/>
        </w:rPr>
        <w:t>5</w:t>
      </w:r>
      <w:r w:rsidRPr="00DF1D5A">
        <w:rPr>
          <w:rFonts w:ascii="Times New Roman" w:hAnsi="Times New Roman" w:cs="Times New Roman"/>
          <w:bCs/>
          <w:sz w:val="24"/>
          <w:szCs w:val="24"/>
        </w:rPr>
        <w:t xml:space="preserve"> at </w:t>
      </w:r>
      <w:r>
        <w:rPr>
          <w:rFonts w:ascii="Times New Roman" w:hAnsi="Times New Roman" w:cs="Times New Roman"/>
          <w:bCs/>
          <w:sz w:val="24"/>
          <w:szCs w:val="24"/>
        </w:rPr>
        <w:t>66</w:t>
      </w:r>
      <w:r w:rsidRPr="00DF1D5A">
        <w:rPr>
          <w:rFonts w:ascii="Times New Roman" w:hAnsi="Times New Roman" w:cs="Times New Roman"/>
          <w:bCs/>
          <w:sz w:val="24"/>
          <w:szCs w:val="24"/>
        </w:rPr>
        <w:t xml:space="preserve">; for other executives, age information was obtained from 10-Ks (when available), and using a variety of other sources including old news articles, obituaries, and public records indexing services. Retirement age to achieve full benefit is </w:t>
      </w:r>
      <w:r>
        <w:rPr>
          <w:rFonts w:ascii="Times New Roman" w:hAnsi="Times New Roman" w:cs="Times New Roman"/>
          <w:bCs/>
          <w:sz w:val="24"/>
          <w:szCs w:val="24"/>
        </w:rPr>
        <w:t>60.</w:t>
      </w:r>
      <w:r w:rsidRPr="00DF1D5A">
        <w:rPr>
          <w:rFonts w:ascii="Times New Roman" w:hAnsi="Times New Roman" w:cs="Times New Roman"/>
          <w:bCs/>
          <w:sz w:val="24"/>
          <w:szCs w:val="24"/>
        </w:rPr>
        <w:t xml:space="preserve"> </w:t>
      </w:r>
    </w:p>
    <w:p w:rsidR="00606651" w:rsidRPr="00BA6B58" w:rsidRDefault="00606651" w:rsidP="00203DEF">
      <w:pPr>
        <w:spacing w:before="240" w:line="480" w:lineRule="auto"/>
        <w:ind w:firstLine="360"/>
        <w:jc w:val="both"/>
        <w:rPr>
          <w:rFonts w:ascii="Times New Roman" w:hAnsi="Times New Roman" w:cs="Times New Roman"/>
          <w:bCs/>
          <w:sz w:val="24"/>
          <w:szCs w:val="24"/>
        </w:rPr>
      </w:pPr>
      <w:r w:rsidRPr="00DF1D5A">
        <w:rPr>
          <w:rFonts w:ascii="Times New Roman" w:hAnsi="Times New Roman" w:cs="Times New Roman"/>
          <w:bCs/>
          <w:sz w:val="24"/>
          <w:szCs w:val="24"/>
        </w:rPr>
        <w:t xml:space="preserve">The multiplicative factor </w:t>
      </w:r>
      <w:r w:rsidRPr="00DF1D5A">
        <w:rPr>
          <w:rFonts w:ascii="Times New Roman" w:hAnsi="Times New Roman" w:cs="Times New Roman"/>
          <w:bCs/>
          <w:i/>
          <w:sz w:val="24"/>
          <w:szCs w:val="24"/>
        </w:rPr>
        <w:t>M</w:t>
      </w:r>
      <w:r w:rsidRPr="00DF1D5A">
        <w:rPr>
          <w:rFonts w:ascii="Times New Roman" w:hAnsi="Times New Roman" w:cs="Times New Roman"/>
          <w:bCs/>
          <w:sz w:val="24"/>
          <w:szCs w:val="24"/>
        </w:rPr>
        <w:t xml:space="preserve"> can be determined algebraically from Table A1: the addition of every $1,000,000 in fin</w:t>
      </w:r>
      <w:r>
        <w:rPr>
          <w:rFonts w:ascii="Times New Roman" w:hAnsi="Times New Roman" w:cs="Times New Roman"/>
          <w:bCs/>
          <w:sz w:val="24"/>
          <w:szCs w:val="24"/>
        </w:rPr>
        <w:t>al average earnings generates $48</w:t>
      </w:r>
      <w:r w:rsidRPr="00DF1D5A">
        <w:rPr>
          <w:rFonts w:ascii="Times New Roman" w:hAnsi="Times New Roman" w:cs="Times New Roman"/>
          <w:bCs/>
          <w:sz w:val="24"/>
          <w:szCs w:val="24"/>
        </w:rPr>
        <w:t>0,000 of addit</w:t>
      </w:r>
      <w:r>
        <w:rPr>
          <w:rFonts w:ascii="Times New Roman" w:hAnsi="Times New Roman" w:cs="Times New Roman"/>
          <w:bCs/>
          <w:sz w:val="24"/>
          <w:szCs w:val="24"/>
        </w:rPr>
        <w:t>ional pension compensation for 3</w:t>
      </w:r>
      <w:r w:rsidRPr="00DF1D5A">
        <w:rPr>
          <w:rFonts w:ascii="Times New Roman" w:hAnsi="Times New Roman" w:cs="Times New Roman"/>
          <w:bCs/>
          <w:sz w:val="24"/>
          <w:szCs w:val="24"/>
        </w:rPr>
        <w:t>0 years of service</w:t>
      </w:r>
      <w:r>
        <w:rPr>
          <w:rFonts w:ascii="Times New Roman" w:hAnsi="Times New Roman" w:cs="Times New Roman"/>
          <w:bCs/>
          <w:sz w:val="24"/>
          <w:szCs w:val="24"/>
        </w:rPr>
        <w:t>; this corresponds to 0.48 (48% of total average compensation) for 30 years, or 0.016 (1.6</w:t>
      </w:r>
      <w:r w:rsidRPr="00DF1D5A">
        <w:rPr>
          <w:rFonts w:ascii="Times New Roman" w:hAnsi="Times New Roman" w:cs="Times New Roman"/>
          <w:bCs/>
          <w:sz w:val="24"/>
          <w:szCs w:val="24"/>
        </w:rPr>
        <w:t>%) of final average earnings</w:t>
      </w:r>
      <w:r>
        <w:rPr>
          <w:rFonts w:ascii="Times New Roman" w:hAnsi="Times New Roman" w:cs="Times New Roman"/>
          <w:bCs/>
          <w:sz w:val="24"/>
          <w:szCs w:val="24"/>
        </w:rPr>
        <w:t xml:space="preserve"> for each year of service. Raymond, as of 2005</w:t>
      </w:r>
      <w:r w:rsidRPr="00DF1D5A">
        <w:rPr>
          <w:rFonts w:ascii="Times New Roman" w:hAnsi="Times New Roman" w:cs="Times New Roman"/>
          <w:bCs/>
          <w:sz w:val="24"/>
          <w:szCs w:val="24"/>
        </w:rPr>
        <w:t xml:space="preserve">, has </w:t>
      </w:r>
      <w:r>
        <w:rPr>
          <w:rFonts w:ascii="Times New Roman" w:hAnsi="Times New Roman" w:cs="Times New Roman"/>
          <w:bCs/>
          <w:sz w:val="24"/>
          <w:szCs w:val="24"/>
        </w:rPr>
        <w:t>42</w:t>
      </w:r>
      <w:r w:rsidRPr="00DF1D5A">
        <w:rPr>
          <w:rFonts w:ascii="Times New Roman" w:hAnsi="Times New Roman" w:cs="Times New Roman"/>
          <w:bCs/>
          <w:sz w:val="24"/>
          <w:szCs w:val="24"/>
        </w:rPr>
        <w:t xml:space="preserve"> years of ser</w:t>
      </w:r>
      <w:r>
        <w:rPr>
          <w:rFonts w:ascii="Times New Roman" w:hAnsi="Times New Roman" w:cs="Times New Roman"/>
          <w:bCs/>
          <w:sz w:val="24"/>
          <w:szCs w:val="24"/>
        </w:rPr>
        <w:t>vice credit towards retirement.</w:t>
      </w:r>
    </w:p>
    <w:tbl>
      <w:tblPr>
        <w:tblStyle w:val="TableGrid"/>
        <w:tblW w:w="0" w:type="auto"/>
        <w:jc w:val="center"/>
        <w:tblLook w:val="04A0" w:firstRow="1" w:lastRow="0" w:firstColumn="1" w:lastColumn="0" w:noHBand="0" w:noVBand="1"/>
      </w:tblPr>
      <w:tblGrid>
        <w:gridCol w:w="1696"/>
        <w:gridCol w:w="1782"/>
        <w:gridCol w:w="1890"/>
        <w:gridCol w:w="1890"/>
        <w:gridCol w:w="1890"/>
      </w:tblGrid>
      <w:tr w:rsidR="00606651" w:rsidRPr="006B5693" w:rsidTr="00C11A31">
        <w:trPr>
          <w:jc w:val="center"/>
        </w:trPr>
        <w:tc>
          <w:tcPr>
            <w:tcW w:w="8928" w:type="dxa"/>
            <w:gridSpan w:val="5"/>
            <w:tcBorders>
              <w:top w:val="nil"/>
              <w:left w:val="nil"/>
              <w:bottom w:val="nil"/>
              <w:right w:val="nil"/>
            </w:tcBorders>
          </w:tcPr>
          <w:p w:rsidR="00606651" w:rsidRPr="00717DC3" w:rsidRDefault="00606651" w:rsidP="00C11A31">
            <w:pPr>
              <w:jc w:val="center"/>
              <w:rPr>
                <w:rFonts w:ascii="Times New Roman" w:hAnsi="Times New Roman" w:cs="Times New Roman"/>
                <w:b/>
                <w:sz w:val="24"/>
                <w:szCs w:val="24"/>
              </w:rPr>
            </w:pPr>
            <w:r w:rsidRPr="00717DC3">
              <w:rPr>
                <w:rFonts w:ascii="Times New Roman" w:hAnsi="Times New Roman" w:cs="Times New Roman"/>
                <w:b/>
                <w:sz w:val="24"/>
                <w:szCs w:val="24"/>
              </w:rPr>
              <w:t>Table A1</w:t>
            </w:r>
          </w:p>
        </w:tc>
      </w:tr>
      <w:tr w:rsidR="00606651" w:rsidRPr="006B5693" w:rsidTr="00C11A31">
        <w:trPr>
          <w:jc w:val="center"/>
        </w:trPr>
        <w:tc>
          <w:tcPr>
            <w:tcW w:w="8928" w:type="dxa"/>
            <w:gridSpan w:val="5"/>
            <w:tcBorders>
              <w:top w:val="nil"/>
              <w:left w:val="nil"/>
              <w:bottom w:val="nil"/>
              <w:right w:val="nil"/>
            </w:tcBorders>
          </w:tcPr>
          <w:p w:rsidR="00606651" w:rsidRPr="00717DC3" w:rsidRDefault="00606651" w:rsidP="00916BF3">
            <w:pPr>
              <w:jc w:val="center"/>
              <w:rPr>
                <w:rFonts w:ascii="Times New Roman" w:hAnsi="Times New Roman" w:cs="Times New Roman"/>
                <w:b/>
                <w:sz w:val="24"/>
                <w:szCs w:val="24"/>
              </w:rPr>
            </w:pPr>
            <w:r w:rsidRPr="00717DC3">
              <w:rPr>
                <w:rFonts w:ascii="Times New Roman" w:hAnsi="Times New Roman" w:cs="Times New Roman"/>
                <w:b/>
                <w:sz w:val="24"/>
                <w:szCs w:val="24"/>
              </w:rPr>
              <w:t xml:space="preserve">Pension Plan Disclosure for </w:t>
            </w:r>
            <w:r>
              <w:rPr>
                <w:rFonts w:ascii="Times New Roman" w:hAnsi="Times New Roman" w:cs="Times New Roman"/>
                <w:b/>
                <w:sz w:val="24"/>
                <w:szCs w:val="24"/>
              </w:rPr>
              <w:t>ExxonMobil Corp, FY 2004</w:t>
            </w:r>
          </w:p>
        </w:tc>
      </w:tr>
      <w:tr w:rsidR="00606651" w:rsidRPr="006B5693" w:rsidTr="00C11A31">
        <w:trPr>
          <w:jc w:val="center"/>
        </w:trPr>
        <w:tc>
          <w:tcPr>
            <w:tcW w:w="8928" w:type="dxa"/>
            <w:gridSpan w:val="5"/>
            <w:tcBorders>
              <w:top w:val="nil"/>
              <w:left w:val="nil"/>
              <w:bottom w:val="single" w:sz="4" w:space="0" w:color="auto"/>
              <w:right w:val="nil"/>
            </w:tcBorders>
          </w:tcPr>
          <w:p w:rsidR="00606651" w:rsidRPr="00717DC3" w:rsidRDefault="00606651" w:rsidP="00916BF3">
            <w:pPr>
              <w:jc w:val="center"/>
              <w:rPr>
                <w:rFonts w:ascii="Times New Roman" w:hAnsi="Times New Roman" w:cs="Times New Roman"/>
                <w:sz w:val="16"/>
                <w:szCs w:val="16"/>
              </w:rPr>
            </w:pPr>
            <w:r w:rsidRPr="00717DC3">
              <w:rPr>
                <w:rFonts w:ascii="Times New Roman" w:hAnsi="Times New Roman" w:cs="Times New Roman"/>
                <w:sz w:val="16"/>
                <w:szCs w:val="16"/>
              </w:rPr>
              <w:t>The pension benefit table is taken directly from the FY 200</w:t>
            </w:r>
            <w:r>
              <w:rPr>
                <w:rFonts w:ascii="Times New Roman" w:hAnsi="Times New Roman" w:cs="Times New Roman"/>
                <w:sz w:val="16"/>
                <w:szCs w:val="16"/>
              </w:rPr>
              <w:t>4</w:t>
            </w:r>
            <w:r w:rsidRPr="00717DC3">
              <w:rPr>
                <w:rFonts w:ascii="Times New Roman" w:hAnsi="Times New Roman" w:cs="Times New Roman"/>
                <w:sz w:val="16"/>
                <w:szCs w:val="16"/>
              </w:rPr>
              <w:t xml:space="preserve"> DEF-14A statement filed b</w:t>
            </w:r>
            <w:r>
              <w:rPr>
                <w:rFonts w:ascii="Times New Roman" w:hAnsi="Times New Roman" w:cs="Times New Roman"/>
                <w:sz w:val="16"/>
                <w:szCs w:val="16"/>
              </w:rPr>
              <w:t>y ExxonMobil on April 13, 2005, p.21.</w:t>
            </w:r>
          </w:p>
        </w:tc>
      </w:tr>
      <w:tr w:rsidR="00606651" w:rsidRPr="006B5693" w:rsidTr="00C11A31">
        <w:trPr>
          <w:jc w:val="center"/>
        </w:trPr>
        <w:tc>
          <w:tcPr>
            <w:tcW w:w="1476" w:type="dxa"/>
            <w:tcBorders>
              <w:left w:val="nil"/>
              <w:bottom w:val="nil"/>
              <w:right w:val="nil"/>
            </w:tcBorders>
          </w:tcPr>
          <w:p w:rsidR="00606651" w:rsidRPr="00717DC3" w:rsidRDefault="00606651" w:rsidP="00C11A31">
            <w:pPr>
              <w:rPr>
                <w:rFonts w:ascii="Times New Roman" w:hAnsi="Times New Roman" w:cs="Times New Roman"/>
                <w:sz w:val="24"/>
                <w:szCs w:val="24"/>
              </w:rPr>
            </w:pPr>
          </w:p>
        </w:tc>
        <w:tc>
          <w:tcPr>
            <w:tcW w:w="7452" w:type="dxa"/>
            <w:gridSpan w:val="4"/>
            <w:tcBorders>
              <w:left w:val="nil"/>
              <w:bottom w:val="single" w:sz="4" w:space="0" w:color="auto"/>
              <w:right w:val="nil"/>
            </w:tcBorders>
          </w:tcPr>
          <w:p w:rsidR="00606651" w:rsidRPr="00717DC3" w:rsidRDefault="00606651" w:rsidP="00C11A31">
            <w:pPr>
              <w:jc w:val="center"/>
              <w:rPr>
                <w:rFonts w:ascii="Times New Roman" w:hAnsi="Times New Roman" w:cs="Times New Roman"/>
                <w:b/>
                <w:sz w:val="24"/>
                <w:szCs w:val="24"/>
              </w:rPr>
            </w:pPr>
            <w:r w:rsidRPr="00717DC3">
              <w:rPr>
                <w:rFonts w:ascii="Times New Roman" w:hAnsi="Times New Roman" w:cs="Times New Roman"/>
                <w:b/>
                <w:sz w:val="24"/>
                <w:szCs w:val="24"/>
              </w:rPr>
              <w:t>Years of Credited Service at Normal Retirement</w:t>
            </w:r>
          </w:p>
        </w:tc>
      </w:tr>
      <w:tr w:rsidR="00606651" w:rsidRPr="006B5693" w:rsidTr="00C11A31">
        <w:trPr>
          <w:jc w:val="center"/>
        </w:trPr>
        <w:tc>
          <w:tcPr>
            <w:tcW w:w="1476" w:type="dxa"/>
            <w:tcBorders>
              <w:top w:val="nil"/>
              <w:left w:val="nil"/>
              <w:bottom w:val="single" w:sz="4" w:space="0" w:color="auto"/>
              <w:right w:val="nil"/>
            </w:tcBorders>
            <w:shd w:val="clear" w:color="auto" w:fill="FFFFFF" w:themeFill="background1"/>
          </w:tcPr>
          <w:p w:rsidR="00606651" w:rsidRPr="00717DC3" w:rsidRDefault="00606651" w:rsidP="00C11A31">
            <w:pPr>
              <w:rPr>
                <w:rFonts w:ascii="Times New Roman" w:hAnsi="Times New Roman" w:cs="Times New Roman"/>
                <w:b/>
                <w:sz w:val="24"/>
                <w:szCs w:val="24"/>
              </w:rPr>
            </w:pPr>
            <w:proofErr w:type="spellStart"/>
            <w:r>
              <w:rPr>
                <w:rFonts w:ascii="Times New Roman" w:hAnsi="Times New Roman" w:cs="Times New Roman"/>
                <w:b/>
                <w:sz w:val="24"/>
                <w:szCs w:val="24"/>
              </w:rPr>
              <w:t>Renumeration</w:t>
            </w:r>
            <w:proofErr w:type="spellEnd"/>
          </w:p>
        </w:tc>
        <w:tc>
          <w:tcPr>
            <w:tcW w:w="1782" w:type="dxa"/>
            <w:tcBorders>
              <w:left w:val="nil"/>
              <w:bottom w:val="single" w:sz="4" w:space="0" w:color="auto"/>
              <w:right w:val="nil"/>
            </w:tcBorders>
            <w:shd w:val="clear" w:color="auto" w:fill="FFFFFF" w:themeFill="background1"/>
          </w:tcPr>
          <w:p w:rsidR="00606651" w:rsidRPr="00717DC3" w:rsidRDefault="00606651" w:rsidP="00C11A31">
            <w:pPr>
              <w:jc w:val="center"/>
              <w:rPr>
                <w:rFonts w:ascii="Times New Roman" w:hAnsi="Times New Roman" w:cs="Times New Roman"/>
                <w:b/>
                <w:sz w:val="24"/>
                <w:szCs w:val="24"/>
              </w:rPr>
            </w:pPr>
            <w:r>
              <w:rPr>
                <w:rFonts w:ascii="Times New Roman" w:hAnsi="Times New Roman" w:cs="Times New Roman"/>
                <w:b/>
                <w:sz w:val="24"/>
                <w:szCs w:val="24"/>
              </w:rPr>
              <w:t>30</w:t>
            </w:r>
          </w:p>
        </w:tc>
        <w:tc>
          <w:tcPr>
            <w:tcW w:w="1890" w:type="dxa"/>
            <w:tcBorders>
              <w:left w:val="nil"/>
              <w:bottom w:val="single" w:sz="4" w:space="0" w:color="auto"/>
              <w:right w:val="nil"/>
            </w:tcBorders>
            <w:shd w:val="clear" w:color="auto" w:fill="FFFFFF" w:themeFill="background1"/>
          </w:tcPr>
          <w:p w:rsidR="00606651" w:rsidRPr="00717DC3" w:rsidRDefault="00606651" w:rsidP="00C11A31">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890" w:type="dxa"/>
            <w:tcBorders>
              <w:left w:val="nil"/>
              <w:bottom w:val="single" w:sz="4" w:space="0" w:color="auto"/>
              <w:right w:val="nil"/>
            </w:tcBorders>
            <w:shd w:val="clear" w:color="auto" w:fill="FFFFFF" w:themeFill="background1"/>
          </w:tcPr>
          <w:p w:rsidR="00606651" w:rsidRPr="00717DC3" w:rsidRDefault="00606651" w:rsidP="00C11A3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1890" w:type="dxa"/>
            <w:tcBorders>
              <w:left w:val="nil"/>
              <w:bottom w:val="single" w:sz="4" w:space="0" w:color="auto"/>
              <w:right w:val="nil"/>
            </w:tcBorders>
          </w:tcPr>
          <w:p w:rsidR="00606651" w:rsidRPr="00717DC3" w:rsidRDefault="00606651" w:rsidP="00C11A31">
            <w:pPr>
              <w:jc w:val="center"/>
              <w:rPr>
                <w:rFonts w:ascii="Times New Roman" w:hAnsi="Times New Roman" w:cs="Times New Roman"/>
                <w:b/>
                <w:sz w:val="24"/>
                <w:szCs w:val="24"/>
              </w:rPr>
            </w:pPr>
            <w:r>
              <w:rPr>
                <w:rFonts w:ascii="Times New Roman" w:hAnsi="Times New Roman" w:cs="Times New Roman"/>
                <w:b/>
                <w:sz w:val="24"/>
                <w:szCs w:val="24"/>
              </w:rPr>
              <w:t>45</w:t>
            </w:r>
          </w:p>
        </w:tc>
      </w:tr>
      <w:tr w:rsidR="00606651" w:rsidRPr="006B5693" w:rsidTr="00C11A31">
        <w:trPr>
          <w:jc w:val="center"/>
        </w:trPr>
        <w:tc>
          <w:tcPr>
            <w:tcW w:w="1476" w:type="dxa"/>
            <w:tcBorders>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      500,000</w:t>
            </w:r>
          </w:p>
        </w:tc>
        <w:tc>
          <w:tcPr>
            <w:tcW w:w="1782" w:type="dxa"/>
            <w:tcBorders>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240,000</w:t>
            </w:r>
          </w:p>
        </w:tc>
        <w:tc>
          <w:tcPr>
            <w:tcW w:w="1890" w:type="dxa"/>
            <w:tcBorders>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280,000</w:t>
            </w:r>
          </w:p>
        </w:tc>
        <w:tc>
          <w:tcPr>
            <w:tcW w:w="1890" w:type="dxa"/>
            <w:tcBorders>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320,000</w:t>
            </w:r>
          </w:p>
        </w:tc>
        <w:tc>
          <w:tcPr>
            <w:tcW w:w="1890" w:type="dxa"/>
            <w:tcBorders>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360,000</w:t>
            </w:r>
          </w:p>
        </w:tc>
      </w:tr>
      <w:tr w:rsidR="00606651" w:rsidRPr="00DF1D5A"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1,000,000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480,000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560,000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640,000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720,000</w:t>
            </w:r>
          </w:p>
        </w:tc>
      </w:tr>
      <w:tr w:rsidR="00606651" w:rsidRPr="006B5693"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1,500,000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720,000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840,000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960,000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1,080,000</w:t>
            </w:r>
          </w:p>
        </w:tc>
      </w:tr>
      <w:tr w:rsidR="00606651" w:rsidRPr="006B5693"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2,000,000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960,000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1,120,000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1,280,000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1,440,000</w:t>
            </w:r>
          </w:p>
        </w:tc>
      </w:tr>
      <w:tr w:rsidR="00606651" w:rsidRPr="006B5693"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2,500,000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1,200,000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1,400,000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1,600,000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1,800,000</w:t>
            </w:r>
          </w:p>
        </w:tc>
      </w:tr>
      <w:tr w:rsidR="00606651" w:rsidRPr="006B5693"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3,000,000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1,440,000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1,680,000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1,920,000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2,160,000</w:t>
            </w:r>
          </w:p>
        </w:tc>
      </w:tr>
      <w:tr w:rsidR="00606651" w:rsidRPr="006B5693"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4,000,000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1,920,000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2,240,000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2,560,000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2,880,000</w:t>
            </w:r>
          </w:p>
        </w:tc>
      </w:tr>
      <w:tr w:rsidR="00606651" w:rsidRPr="006B5693"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6,000,000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2,880,000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3,360,000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3,840,000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4,320,000</w:t>
            </w:r>
          </w:p>
        </w:tc>
      </w:tr>
      <w:tr w:rsidR="00606651" w:rsidRPr="006B5693"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8,000,000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3,840,000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4,480,000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5,120,000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5,760,000</w:t>
            </w:r>
          </w:p>
        </w:tc>
      </w:tr>
      <w:tr w:rsidR="00606651" w:rsidRPr="006B5693" w:rsidTr="00C11A31">
        <w:trPr>
          <w:jc w:val="center"/>
        </w:trPr>
        <w:tc>
          <w:tcPr>
            <w:tcW w:w="1476" w:type="dxa"/>
            <w:tcBorders>
              <w:top w:val="nil"/>
              <w:left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10,000,000</w:t>
            </w:r>
          </w:p>
        </w:tc>
        <w:tc>
          <w:tcPr>
            <w:tcW w:w="1782"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4,800,000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5,600,000</w:t>
            </w:r>
          </w:p>
        </w:tc>
        <w:tc>
          <w:tcPr>
            <w:tcW w:w="1890" w:type="dxa"/>
            <w:tcBorders>
              <w:top w:val="nil"/>
              <w:bottom w:val="nil"/>
            </w:tcBorders>
            <w:shd w:val="clear" w:color="auto" w:fill="FFFFFF" w:themeFill="background1"/>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6,400,000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7,200,000</w:t>
            </w:r>
          </w:p>
        </w:tc>
      </w:tr>
      <w:tr w:rsidR="00606651" w:rsidRPr="006B5693" w:rsidTr="00C11A31">
        <w:trPr>
          <w:jc w:val="center"/>
        </w:trPr>
        <w:tc>
          <w:tcPr>
            <w:tcW w:w="1476" w:type="dxa"/>
            <w:tcBorders>
              <w:top w:val="nil"/>
              <w:left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12,000,000</w:t>
            </w:r>
          </w:p>
        </w:tc>
        <w:tc>
          <w:tcPr>
            <w:tcW w:w="1782"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5,760,000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6,720,000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7,680,000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8,640,000</w:t>
            </w:r>
          </w:p>
        </w:tc>
      </w:tr>
      <w:tr w:rsidR="00606651" w:rsidRPr="006B5693" w:rsidTr="00C11A31">
        <w:trPr>
          <w:jc w:val="center"/>
        </w:trPr>
        <w:tc>
          <w:tcPr>
            <w:tcW w:w="1476" w:type="dxa"/>
            <w:tcBorders>
              <w:top w:val="nil"/>
              <w:left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14,000,000</w:t>
            </w:r>
          </w:p>
        </w:tc>
        <w:tc>
          <w:tcPr>
            <w:tcW w:w="1782"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6,720,000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7,840,000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8,960,000</w:t>
            </w:r>
          </w:p>
        </w:tc>
        <w:tc>
          <w:tcPr>
            <w:tcW w:w="1890" w:type="dxa"/>
            <w:tcBorders>
              <w:top w:val="nil"/>
              <w:bottom w:val="nil"/>
            </w:tcBorders>
          </w:tcPr>
          <w:p w:rsidR="00606651" w:rsidRPr="009B6A7F" w:rsidRDefault="00606651" w:rsidP="00C11A31">
            <w:pPr>
              <w:jc w:val="right"/>
              <w:rPr>
                <w:rFonts w:ascii="Times New Roman" w:eastAsia="Times New Roman" w:hAnsi="Times New Roman" w:cs="Times New Roman"/>
                <w:sz w:val="24"/>
                <w:szCs w:val="24"/>
              </w:rPr>
            </w:pPr>
            <w:r w:rsidRPr="009B6A7F">
              <w:rPr>
                <w:rFonts w:ascii="Times New Roman" w:eastAsia="Times New Roman" w:hAnsi="Times New Roman" w:cs="Times New Roman"/>
                <w:sz w:val="20"/>
                <w:szCs w:val="20"/>
              </w:rPr>
              <w:t>10,080,000</w:t>
            </w:r>
          </w:p>
        </w:tc>
      </w:tr>
      <w:tr w:rsidR="00606651" w:rsidRPr="006B5693" w:rsidTr="00C11A31">
        <w:trPr>
          <w:trHeight w:val="746"/>
          <w:jc w:val="center"/>
        </w:trPr>
        <w:tc>
          <w:tcPr>
            <w:tcW w:w="8928" w:type="dxa"/>
            <w:gridSpan w:val="5"/>
            <w:tcBorders>
              <w:top w:val="single" w:sz="4" w:space="0" w:color="auto"/>
              <w:left w:val="nil"/>
              <w:bottom w:val="nil"/>
              <w:right w:val="nil"/>
            </w:tcBorders>
          </w:tcPr>
          <w:p w:rsidR="00606651" w:rsidRPr="00314766" w:rsidRDefault="00606651" w:rsidP="00C11A31">
            <w:pPr>
              <w:jc w:val="both"/>
              <w:rPr>
                <w:rFonts w:ascii="Times New Roman" w:hAnsi="Times New Roman" w:cs="Times New Roman"/>
                <w:b/>
                <w:i/>
                <w:sz w:val="16"/>
                <w:szCs w:val="16"/>
              </w:rPr>
            </w:pPr>
            <w:r w:rsidRPr="00717DC3">
              <w:rPr>
                <w:rFonts w:ascii="Times New Roman" w:hAnsi="Times New Roman" w:cs="Times New Roman"/>
                <w:sz w:val="16"/>
                <w:szCs w:val="16"/>
              </w:rPr>
              <w:t>The Pension Plan Ta</w:t>
            </w:r>
            <w:r w:rsidRPr="000A6274">
              <w:rPr>
                <w:rFonts w:ascii="Times New Roman" w:hAnsi="Times New Roman" w:cs="Times New Roman"/>
                <w:sz w:val="16"/>
                <w:szCs w:val="16"/>
              </w:rPr>
              <w:t xml:space="preserve">ble section of the Definitive 14A provides the following information: </w:t>
            </w:r>
            <w:r w:rsidRPr="000A6274">
              <w:rPr>
                <w:rFonts w:ascii="Times New Roman" w:hAnsi="Times New Roman" w:cs="Times New Roman"/>
                <w:i/>
                <w:sz w:val="16"/>
                <w:szCs w:val="16"/>
              </w:rPr>
              <w:t>“</w:t>
            </w:r>
            <w:r w:rsidRPr="000A6274">
              <w:rPr>
                <w:rFonts w:ascii="Times New Roman" w:hAnsi="Times New Roman" w:cs="Times New Roman"/>
                <w:sz w:val="16"/>
                <w:szCs w:val="16"/>
              </w:rPr>
              <w:t>The qualified pension plan benefit is based on average annual salary over the highest paid consecutive 36-month period during the employee's last 10 years of employment.</w:t>
            </w:r>
            <w:r w:rsidRPr="000A6274">
              <w:rPr>
                <w:rFonts w:ascii="Times New Roman" w:hAnsi="Times New Roman" w:cs="Times New Roman"/>
                <w:i/>
                <w:sz w:val="16"/>
                <w:szCs w:val="16"/>
              </w:rPr>
              <w:t>”</w:t>
            </w:r>
          </w:p>
        </w:tc>
      </w:tr>
    </w:tbl>
    <w:p w:rsidR="00606651" w:rsidRPr="00DF1D5A" w:rsidRDefault="00606651" w:rsidP="000E67C5">
      <w:pPr>
        <w:spacing w:before="240" w:after="0"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For executives like Lee Raymond that are over the full-benefit retirement age, the annual calculated pension entitlement is based on the value if they retired this year. </w:t>
      </w:r>
      <w:r w:rsidRPr="00DF1D5A">
        <w:rPr>
          <w:rFonts w:ascii="Times New Roman" w:hAnsi="Times New Roman" w:cs="Times New Roman"/>
          <w:bCs/>
          <w:sz w:val="24"/>
          <w:szCs w:val="24"/>
        </w:rPr>
        <w:t xml:space="preserve">We can </w:t>
      </w:r>
      <w:r>
        <w:rPr>
          <w:rFonts w:ascii="Times New Roman" w:hAnsi="Times New Roman" w:cs="Times New Roman"/>
          <w:bCs/>
          <w:sz w:val="24"/>
          <w:szCs w:val="24"/>
        </w:rPr>
        <w:t xml:space="preserve">therefore </w:t>
      </w:r>
      <w:r w:rsidRPr="00DF1D5A">
        <w:rPr>
          <w:rFonts w:ascii="Times New Roman" w:hAnsi="Times New Roman" w:cs="Times New Roman"/>
          <w:bCs/>
          <w:sz w:val="24"/>
          <w:szCs w:val="24"/>
        </w:rPr>
        <w:t xml:space="preserve">assume that </w:t>
      </w:r>
      <w:r>
        <w:rPr>
          <w:rFonts w:ascii="Times New Roman" w:hAnsi="Times New Roman" w:cs="Times New Roman"/>
          <w:bCs/>
          <w:sz w:val="24"/>
          <w:szCs w:val="24"/>
        </w:rPr>
        <w:t>Raymond</w:t>
      </w:r>
      <w:r w:rsidRPr="00DF1D5A">
        <w:rPr>
          <w:rFonts w:ascii="Times New Roman" w:hAnsi="Times New Roman" w:cs="Times New Roman"/>
          <w:bCs/>
          <w:sz w:val="24"/>
          <w:szCs w:val="24"/>
        </w:rPr>
        <w:t xml:space="preserve"> will work through his</w:t>
      </w:r>
      <w:r>
        <w:rPr>
          <w:rFonts w:ascii="Times New Roman" w:hAnsi="Times New Roman" w:cs="Times New Roman"/>
          <w:bCs/>
          <w:sz w:val="24"/>
          <w:szCs w:val="24"/>
        </w:rPr>
        <w:t xml:space="preserve"> 66th</w:t>
      </w:r>
      <w:r w:rsidRPr="00DF1D5A">
        <w:rPr>
          <w:rFonts w:ascii="Times New Roman" w:hAnsi="Times New Roman" w:cs="Times New Roman"/>
          <w:bCs/>
          <w:sz w:val="24"/>
          <w:szCs w:val="24"/>
        </w:rPr>
        <w:t xml:space="preserve"> year, at which point he will retire with 4</w:t>
      </w:r>
      <w:r>
        <w:rPr>
          <w:rFonts w:ascii="Times New Roman" w:hAnsi="Times New Roman" w:cs="Times New Roman"/>
          <w:bCs/>
          <w:sz w:val="24"/>
          <w:szCs w:val="24"/>
        </w:rPr>
        <w:t>2</w:t>
      </w:r>
      <w:r w:rsidRPr="00DF1D5A">
        <w:rPr>
          <w:rFonts w:ascii="Times New Roman" w:hAnsi="Times New Roman" w:cs="Times New Roman"/>
          <w:bCs/>
          <w:sz w:val="24"/>
          <w:szCs w:val="24"/>
        </w:rPr>
        <w:t xml:space="preserve"> years of service. Following Equation (2), we can calculate his annual pension entitlement credited upo</w:t>
      </w:r>
      <w:r>
        <w:rPr>
          <w:rFonts w:ascii="Times New Roman" w:hAnsi="Times New Roman" w:cs="Times New Roman"/>
          <w:bCs/>
          <w:sz w:val="24"/>
          <w:szCs w:val="24"/>
        </w:rPr>
        <w:t xml:space="preserve">n </w:t>
      </w:r>
      <w:r>
        <w:rPr>
          <w:rFonts w:ascii="Times New Roman" w:hAnsi="Times New Roman" w:cs="Times New Roman"/>
          <w:bCs/>
          <w:sz w:val="24"/>
          <w:szCs w:val="24"/>
        </w:rPr>
        <w:lastRenderedPageBreak/>
        <w:t>retirement as 0.016 x 42 x $6.582</w:t>
      </w:r>
      <w:r w:rsidRPr="00DF1D5A">
        <w:rPr>
          <w:rFonts w:ascii="Times New Roman" w:hAnsi="Times New Roman" w:cs="Times New Roman"/>
          <w:bCs/>
          <w:sz w:val="24"/>
          <w:szCs w:val="24"/>
        </w:rPr>
        <w:t>= $</w:t>
      </w:r>
      <w:r>
        <w:rPr>
          <w:rFonts w:ascii="Times New Roman" w:hAnsi="Times New Roman" w:cs="Times New Roman"/>
          <w:bCs/>
          <w:sz w:val="24"/>
          <w:szCs w:val="24"/>
        </w:rPr>
        <w:t xml:space="preserve">4.423 </w:t>
      </w:r>
      <w:r w:rsidRPr="00DF1D5A">
        <w:rPr>
          <w:rFonts w:ascii="Times New Roman" w:hAnsi="Times New Roman" w:cs="Times New Roman"/>
          <w:bCs/>
          <w:sz w:val="24"/>
          <w:szCs w:val="24"/>
        </w:rPr>
        <w:t xml:space="preserve">million. </w:t>
      </w:r>
      <w:r>
        <w:rPr>
          <w:rFonts w:ascii="Times New Roman" w:hAnsi="Times New Roman" w:cs="Times New Roman"/>
          <w:bCs/>
          <w:sz w:val="24"/>
          <w:szCs w:val="24"/>
        </w:rPr>
        <w:t xml:space="preserve">For executives that are under retirement age, we calculate their anticipated years of total services upon reaching retirement age; for ExxonMobil, this is at age 60. </w:t>
      </w:r>
    </w:p>
    <w:p w:rsidR="00606651" w:rsidRPr="00DF1D5A" w:rsidRDefault="00606651" w:rsidP="00203DEF">
      <w:pPr>
        <w:spacing w:before="240" w:after="0" w:line="480" w:lineRule="auto"/>
        <w:ind w:firstLine="360"/>
        <w:jc w:val="both"/>
        <w:rPr>
          <w:rFonts w:ascii="Times New Roman" w:hAnsi="Times New Roman" w:cs="Times New Roman"/>
          <w:bCs/>
          <w:sz w:val="24"/>
          <w:szCs w:val="24"/>
        </w:rPr>
      </w:pPr>
      <w:r w:rsidRPr="00DF1D5A">
        <w:rPr>
          <w:rFonts w:ascii="Times New Roman" w:hAnsi="Times New Roman" w:cs="Times New Roman"/>
          <w:bCs/>
          <w:sz w:val="24"/>
          <w:szCs w:val="24"/>
        </w:rPr>
        <w:t xml:space="preserve">To complete Equation (1), we require </w:t>
      </w:r>
      <w:r>
        <w:rPr>
          <w:rFonts w:ascii="Times New Roman" w:hAnsi="Times New Roman" w:cs="Times New Roman"/>
          <w:bCs/>
          <w:sz w:val="24"/>
          <w:szCs w:val="24"/>
        </w:rPr>
        <w:t>Raymond</w:t>
      </w:r>
      <w:r w:rsidRPr="00DF1D5A">
        <w:rPr>
          <w:rFonts w:ascii="Times New Roman" w:hAnsi="Times New Roman" w:cs="Times New Roman"/>
          <w:bCs/>
          <w:sz w:val="24"/>
          <w:szCs w:val="24"/>
        </w:rPr>
        <w:t xml:space="preserve">’s age, </w:t>
      </w:r>
      <w:r w:rsidRPr="00DF1D5A">
        <w:rPr>
          <w:rFonts w:ascii="Times New Roman" w:hAnsi="Times New Roman" w:cs="Times New Roman"/>
          <w:bCs/>
          <w:i/>
          <w:sz w:val="24"/>
          <w:szCs w:val="24"/>
        </w:rPr>
        <w:t>A</w:t>
      </w:r>
      <w:r w:rsidRPr="00DF1D5A">
        <w:rPr>
          <w:rFonts w:ascii="Times New Roman" w:hAnsi="Times New Roman" w:cs="Times New Roman"/>
          <w:bCs/>
          <w:sz w:val="24"/>
          <w:szCs w:val="24"/>
        </w:rPr>
        <w:t xml:space="preserve"> (</w:t>
      </w:r>
      <w:r>
        <w:rPr>
          <w:rFonts w:ascii="Times New Roman" w:hAnsi="Times New Roman" w:cs="Times New Roman"/>
          <w:bCs/>
          <w:sz w:val="24"/>
          <w:szCs w:val="24"/>
        </w:rPr>
        <w:t>66</w:t>
      </w:r>
      <w:r w:rsidRPr="00DF1D5A">
        <w:rPr>
          <w:rFonts w:ascii="Times New Roman" w:hAnsi="Times New Roman" w:cs="Times New Roman"/>
          <w:bCs/>
          <w:sz w:val="24"/>
          <w:szCs w:val="24"/>
        </w:rPr>
        <w:t xml:space="preserve">); </w:t>
      </w:r>
      <w:r w:rsidRPr="00E83C79">
        <w:rPr>
          <w:rFonts w:ascii="Times New Roman" w:hAnsi="Times New Roman" w:cs="Times New Roman"/>
          <w:bCs/>
          <w:i/>
          <w:sz w:val="24"/>
          <w:szCs w:val="24"/>
        </w:rPr>
        <w:t>R</w:t>
      </w:r>
      <w:r w:rsidRPr="00DF1D5A">
        <w:rPr>
          <w:rFonts w:ascii="Times New Roman" w:hAnsi="Times New Roman" w:cs="Times New Roman"/>
          <w:bCs/>
          <w:sz w:val="24"/>
          <w:szCs w:val="24"/>
        </w:rPr>
        <w:t>, the company’s retirement age (6</w:t>
      </w:r>
      <w:r>
        <w:rPr>
          <w:rFonts w:ascii="Times New Roman" w:hAnsi="Times New Roman" w:cs="Times New Roman"/>
          <w:bCs/>
          <w:sz w:val="24"/>
          <w:szCs w:val="24"/>
        </w:rPr>
        <w:t>0</w:t>
      </w:r>
      <w:r w:rsidRPr="00DF1D5A">
        <w:rPr>
          <w:rFonts w:ascii="Times New Roman" w:hAnsi="Times New Roman" w:cs="Times New Roman"/>
          <w:bCs/>
          <w:sz w:val="24"/>
          <w:szCs w:val="24"/>
        </w:rPr>
        <w:t xml:space="preserve">); </w:t>
      </w:r>
      <w:r w:rsidRPr="00DF1D5A">
        <w:rPr>
          <w:rFonts w:ascii="Times New Roman" w:hAnsi="Times New Roman" w:cs="Times New Roman"/>
          <w:bCs/>
          <w:i/>
          <w:sz w:val="24"/>
          <w:szCs w:val="24"/>
        </w:rPr>
        <w:t>d</w:t>
      </w:r>
      <w:r w:rsidRPr="00DF1D5A">
        <w:rPr>
          <w:rFonts w:ascii="Times New Roman" w:hAnsi="Times New Roman" w:cs="Times New Roman"/>
          <w:bCs/>
          <w:sz w:val="24"/>
          <w:szCs w:val="24"/>
        </w:rPr>
        <w:t xml:space="preserve">, the cost of long-term debt; and </w:t>
      </w:r>
      <w:r w:rsidRPr="00DF1D5A">
        <w:rPr>
          <w:rFonts w:ascii="Times New Roman" w:hAnsi="Times New Roman" w:cs="Times New Roman"/>
          <w:bCs/>
          <w:i/>
          <w:sz w:val="24"/>
          <w:szCs w:val="24"/>
        </w:rPr>
        <w:t>P(n)</w:t>
      </w:r>
      <w:r w:rsidRPr="00DF1D5A">
        <w:rPr>
          <w:rFonts w:ascii="Times New Roman" w:hAnsi="Times New Roman" w:cs="Times New Roman"/>
          <w:bCs/>
          <w:sz w:val="24"/>
          <w:szCs w:val="24"/>
        </w:rPr>
        <w:t xml:space="preserve">, the probability that </w:t>
      </w:r>
      <w:r>
        <w:rPr>
          <w:rFonts w:ascii="Times New Roman" w:hAnsi="Times New Roman" w:cs="Times New Roman"/>
          <w:bCs/>
          <w:sz w:val="24"/>
          <w:szCs w:val="24"/>
        </w:rPr>
        <w:t>Raymond</w:t>
      </w:r>
      <w:r w:rsidRPr="00DF1D5A">
        <w:rPr>
          <w:rFonts w:ascii="Times New Roman" w:hAnsi="Times New Roman" w:cs="Times New Roman"/>
          <w:bCs/>
          <w:sz w:val="24"/>
          <w:szCs w:val="24"/>
        </w:rPr>
        <w:t xml:space="preserve"> will be alive and receiving pension disbursements n years into the future. The cost of long term debt, determined from the Federal Reserve Statistical Release H15 for Moody’s </w:t>
      </w:r>
      <w:proofErr w:type="spellStart"/>
      <w:r w:rsidRPr="00DF1D5A">
        <w:rPr>
          <w:rFonts w:ascii="Times New Roman" w:hAnsi="Times New Roman" w:cs="Times New Roman"/>
          <w:bCs/>
          <w:sz w:val="24"/>
          <w:szCs w:val="24"/>
        </w:rPr>
        <w:t>Aaa</w:t>
      </w:r>
      <w:proofErr w:type="spellEnd"/>
      <w:r w:rsidRPr="00DF1D5A">
        <w:rPr>
          <w:rFonts w:ascii="Times New Roman" w:hAnsi="Times New Roman" w:cs="Times New Roman"/>
          <w:bCs/>
          <w:sz w:val="24"/>
          <w:szCs w:val="24"/>
        </w:rPr>
        <w:t xml:space="preserve"> rated bonds was </w:t>
      </w:r>
      <w:r w:rsidRPr="00E83C79">
        <w:rPr>
          <w:rFonts w:ascii="Times New Roman" w:hAnsi="Times New Roman" w:cs="Times New Roman"/>
          <w:bCs/>
          <w:i/>
          <w:sz w:val="24"/>
          <w:szCs w:val="24"/>
        </w:rPr>
        <w:t>d</w:t>
      </w:r>
      <w:r w:rsidRPr="00DF1D5A">
        <w:rPr>
          <w:rFonts w:ascii="Times New Roman" w:hAnsi="Times New Roman" w:cs="Times New Roman"/>
          <w:bCs/>
          <w:sz w:val="24"/>
          <w:szCs w:val="24"/>
        </w:rPr>
        <w:t>=0.0</w:t>
      </w:r>
      <w:r>
        <w:rPr>
          <w:rFonts w:ascii="Times New Roman" w:hAnsi="Times New Roman" w:cs="Times New Roman"/>
          <w:bCs/>
          <w:sz w:val="24"/>
          <w:szCs w:val="24"/>
        </w:rPr>
        <w:t>563</w:t>
      </w:r>
      <w:r w:rsidRPr="00DF1D5A">
        <w:rPr>
          <w:rFonts w:ascii="Times New Roman" w:hAnsi="Times New Roman" w:cs="Times New Roman"/>
          <w:bCs/>
          <w:sz w:val="24"/>
          <w:szCs w:val="24"/>
        </w:rPr>
        <w:t xml:space="preserve"> for 200</w:t>
      </w:r>
      <w:r>
        <w:rPr>
          <w:rFonts w:ascii="Times New Roman" w:hAnsi="Times New Roman" w:cs="Times New Roman"/>
          <w:bCs/>
          <w:sz w:val="24"/>
          <w:szCs w:val="24"/>
        </w:rPr>
        <w:t>4</w:t>
      </w:r>
      <w:r w:rsidRPr="00DF1D5A">
        <w:rPr>
          <w:rFonts w:ascii="Times New Roman" w:hAnsi="Times New Roman" w:cs="Times New Roman"/>
          <w:bCs/>
          <w:sz w:val="24"/>
          <w:szCs w:val="24"/>
        </w:rPr>
        <w:t xml:space="preserve">. Using the statistical tables provided by the U.S. Social Security Administration, we can infer that </w:t>
      </w:r>
      <w:r>
        <w:rPr>
          <w:rFonts w:ascii="Times New Roman" w:hAnsi="Times New Roman" w:cs="Times New Roman"/>
          <w:bCs/>
          <w:sz w:val="24"/>
          <w:szCs w:val="24"/>
        </w:rPr>
        <w:t xml:space="preserve">Raymond has a 98.2% </w:t>
      </w:r>
      <w:r w:rsidRPr="00DF1D5A">
        <w:rPr>
          <w:rFonts w:ascii="Times New Roman" w:hAnsi="Times New Roman" w:cs="Times New Roman"/>
          <w:bCs/>
          <w:sz w:val="24"/>
          <w:szCs w:val="24"/>
        </w:rPr>
        <w:t xml:space="preserve">chance of being alive to receive </w:t>
      </w:r>
      <w:r>
        <w:rPr>
          <w:rFonts w:ascii="Times New Roman" w:hAnsi="Times New Roman" w:cs="Times New Roman"/>
          <w:bCs/>
          <w:sz w:val="24"/>
          <w:szCs w:val="24"/>
        </w:rPr>
        <w:t>a</w:t>
      </w:r>
      <w:r w:rsidRPr="00DF1D5A">
        <w:rPr>
          <w:rFonts w:ascii="Times New Roman" w:hAnsi="Times New Roman" w:cs="Times New Roman"/>
          <w:bCs/>
          <w:sz w:val="24"/>
          <w:szCs w:val="24"/>
        </w:rPr>
        <w:t xml:space="preserve"> </w:t>
      </w:r>
      <w:r>
        <w:rPr>
          <w:rFonts w:ascii="Times New Roman" w:hAnsi="Times New Roman" w:cs="Times New Roman"/>
          <w:bCs/>
          <w:sz w:val="24"/>
          <w:szCs w:val="24"/>
        </w:rPr>
        <w:t>retirement payment at age</w:t>
      </w:r>
      <w:r w:rsidRPr="00DF1D5A">
        <w:rPr>
          <w:rFonts w:ascii="Times New Roman" w:hAnsi="Times New Roman" w:cs="Times New Roman"/>
          <w:bCs/>
          <w:sz w:val="24"/>
          <w:szCs w:val="24"/>
        </w:rPr>
        <w:t xml:space="preserve"> 6</w:t>
      </w:r>
      <w:r>
        <w:rPr>
          <w:rFonts w:ascii="Times New Roman" w:hAnsi="Times New Roman" w:cs="Times New Roman"/>
          <w:bCs/>
          <w:sz w:val="24"/>
          <w:szCs w:val="24"/>
        </w:rPr>
        <w:t>7</w:t>
      </w:r>
      <w:r w:rsidRPr="00DF1D5A">
        <w:rPr>
          <w:rFonts w:ascii="Times New Roman" w:hAnsi="Times New Roman" w:cs="Times New Roman"/>
          <w:bCs/>
          <w:sz w:val="24"/>
          <w:szCs w:val="24"/>
        </w:rPr>
        <w:t xml:space="preserve">, </w:t>
      </w:r>
      <w:r>
        <w:rPr>
          <w:rFonts w:ascii="Times New Roman" w:hAnsi="Times New Roman" w:cs="Times New Roman"/>
          <w:bCs/>
          <w:sz w:val="24"/>
          <w:szCs w:val="24"/>
        </w:rPr>
        <w:t>96.2</w:t>
      </w:r>
      <w:r w:rsidRPr="00DF1D5A">
        <w:rPr>
          <w:rFonts w:ascii="Times New Roman" w:hAnsi="Times New Roman" w:cs="Times New Roman"/>
          <w:bCs/>
          <w:sz w:val="24"/>
          <w:szCs w:val="24"/>
        </w:rPr>
        <w:t xml:space="preserve">% chance of surviving until age </w:t>
      </w:r>
      <w:r>
        <w:rPr>
          <w:rFonts w:ascii="Times New Roman" w:hAnsi="Times New Roman" w:cs="Times New Roman"/>
          <w:bCs/>
          <w:sz w:val="24"/>
          <w:szCs w:val="24"/>
        </w:rPr>
        <w:t>68</w:t>
      </w:r>
      <w:r w:rsidRPr="00DF1D5A">
        <w:rPr>
          <w:rFonts w:ascii="Times New Roman" w:hAnsi="Times New Roman" w:cs="Times New Roman"/>
          <w:bCs/>
          <w:sz w:val="24"/>
          <w:szCs w:val="24"/>
        </w:rPr>
        <w:t>, and so forth until age 120.</w:t>
      </w:r>
      <w:r w:rsidRPr="00DF1D5A">
        <w:rPr>
          <w:rStyle w:val="FootnoteReference"/>
          <w:rFonts w:ascii="Times New Roman" w:eastAsia="PMingLiU" w:hAnsi="Times New Roman" w:cs="Times New Roman"/>
          <w:sz w:val="24"/>
          <w:szCs w:val="24"/>
        </w:rPr>
        <w:footnoteReference w:id="5"/>
      </w:r>
      <w:r w:rsidRPr="00DF1D5A">
        <w:rPr>
          <w:rFonts w:ascii="Times New Roman" w:hAnsi="Times New Roman" w:cs="Times New Roman"/>
          <w:bCs/>
          <w:sz w:val="24"/>
          <w:szCs w:val="24"/>
        </w:rPr>
        <w:t xml:space="preserve"> </w:t>
      </w:r>
    </w:p>
    <w:p w:rsidR="00606651" w:rsidRDefault="00606651" w:rsidP="00203DEF">
      <w:pPr>
        <w:spacing w:before="240" w:after="0" w:line="480" w:lineRule="auto"/>
        <w:ind w:firstLine="360"/>
        <w:rPr>
          <w:rFonts w:ascii="Times New Roman" w:hAnsi="Times New Roman" w:cs="Times New Roman"/>
          <w:bCs/>
          <w:sz w:val="24"/>
          <w:szCs w:val="24"/>
        </w:rPr>
      </w:pPr>
      <w:r w:rsidRPr="00DF1D5A">
        <w:rPr>
          <w:rFonts w:ascii="Times New Roman" w:hAnsi="Times New Roman" w:cs="Times New Roman"/>
          <w:bCs/>
          <w:sz w:val="24"/>
          <w:szCs w:val="24"/>
        </w:rPr>
        <w:t xml:space="preserve">The summation of each year’s actuarial present value contribution establishes our present value of </w:t>
      </w:r>
      <w:r>
        <w:rPr>
          <w:rFonts w:ascii="Times New Roman" w:hAnsi="Times New Roman" w:cs="Times New Roman"/>
          <w:bCs/>
          <w:sz w:val="24"/>
          <w:szCs w:val="24"/>
        </w:rPr>
        <w:t>Raymond</w:t>
      </w:r>
      <w:r w:rsidRPr="00DF1D5A">
        <w:rPr>
          <w:rFonts w:ascii="Times New Roman" w:hAnsi="Times New Roman" w:cs="Times New Roman"/>
          <w:bCs/>
          <w:sz w:val="24"/>
          <w:szCs w:val="24"/>
        </w:rPr>
        <w:t>’s pension benefit at the end of 200</w:t>
      </w:r>
      <w:r>
        <w:rPr>
          <w:rFonts w:ascii="Times New Roman" w:hAnsi="Times New Roman" w:cs="Times New Roman"/>
          <w:bCs/>
          <w:sz w:val="24"/>
          <w:szCs w:val="24"/>
        </w:rPr>
        <w:t>4</w:t>
      </w:r>
      <w:r w:rsidRPr="00DF1D5A">
        <w:rPr>
          <w:rFonts w:ascii="Times New Roman" w:hAnsi="Times New Roman" w:cs="Times New Roman"/>
          <w:bCs/>
          <w:sz w:val="24"/>
          <w:szCs w:val="24"/>
        </w:rPr>
        <w:t>: $</w:t>
      </w:r>
      <w:r>
        <w:rPr>
          <w:rFonts w:ascii="Times New Roman" w:hAnsi="Times New Roman" w:cs="Times New Roman"/>
          <w:bCs/>
          <w:sz w:val="24"/>
          <w:szCs w:val="24"/>
        </w:rPr>
        <w:t>52.420</w:t>
      </w:r>
      <w:r w:rsidRPr="00DF1D5A">
        <w:rPr>
          <w:rFonts w:ascii="Times New Roman" w:hAnsi="Times New Roman" w:cs="Times New Roman"/>
          <w:bCs/>
          <w:sz w:val="24"/>
          <w:szCs w:val="24"/>
        </w:rPr>
        <w:t xml:space="preserve"> million.</w:t>
      </w:r>
    </w:p>
    <w:p w:rsidR="00873155" w:rsidRDefault="00873155" w:rsidP="00873155">
      <w:pPr>
        <w:spacing w:after="0" w:line="480" w:lineRule="auto"/>
        <w:rPr>
          <w:rFonts w:ascii="Times New Roman" w:hAnsi="Times New Roman" w:cs="Times New Roman"/>
          <w:bCs/>
          <w:sz w:val="24"/>
          <w:szCs w:val="24"/>
        </w:rPr>
      </w:pPr>
    </w:p>
    <w:p w:rsidR="00873155" w:rsidRDefault="00873155" w:rsidP="00873155">
      <w:pPr>
        <w:spacing w:after="0" w:line="480" w:lineRule="auto"/>
        <w:rPr>
          <w:rFonts w:ascii="Times New Roman" w:hAnsi="Times New Roman" w:cs="Times New Roman"/>
          <w:bCs/>
          <w:sz w:val="24"/>
          <w:szCs w:val="24"/>
        </w:rPr>
      </w:pPr>
    </w:p>
    <w:p w:rsidR="00873155" w:rsidRDefault="00873155" w:rsidP="00873155">
      <w:pPr>
        <w:spacing w:after="0" w:line="480" w:lineRule="auto"/>
        <w:rPr>
          <w:rFonts w:ascii="Times New Roman" w:hAnsi="Times New Roman" w:cs="Times New Roman"/>
          <w:bCs/>
          <w:sz w:val="24"/>
          <w:szCs w:val="24"/>
        </w:rPr>
      </w:pPr>
    </w:p>
    <w:p w:rsidR="00873155" w:rsidRPr="008A1AA7" w:rsidRDefault="00873155" w:rsidP="00873155">
      <w:pPr>
        <w:spacing w:after="0" w:line="480" w:lineRule="auto"/>
        <w:rPr>
          <w:rFonts w:ascii="Times New Roman" w:hAnsi="Times New Roman" w:cs="Times New Roman"/>
          <w:bCs/>
          <w:sz w:val="24"/>
          <w:szCs w:val="24"/>
        </w:rPr>
      </w:pPr>
    </w:p>
    <w:p w:rsidR="00873155" w:rsidRDefault="00873155" w:rsidP="00873155">
      <w:pPr>
        <w:spacing w:after="0" w:line="480" w:lineRule="auto"/>
        <w:rPr>
          <w:rFonts w:ascii="Times New Roman" w:hAnsi="Times New Roman" w:cs="Times New Roman"/>
          <w:sz w:val="24"/>
          <w:szCs w:val="24"/>
        </w:rPr>
      </w:pPr>
    </w:p>
    <w:p w:rsidR="00EA213D" w:rsidRDefault="00EA213D" w:rsidP="008D4752">
      <w:pPr>
        <w:autoSpaceDE w:val="0"/>
        <w:autoSpaceDN w:val="0"/>
        <w:adjustRightInd w:val="0"/>
        <w:spacing w:line="360" w:lineRule="auto"/>
        <w:ind w:left="360" w:hanging="360"/>
        <w:rPr>
          <w:rFonts w:ascii="Times New Roman" w:hAnsi="Times New Roman" w:cs="Times New Roman"/>
          <w:bCs/>
          <w:sz w:val="32"/>
          <w:szCs w:val="32"/>
        </w:rPr>
      </w:pPr>
    </w:p>
    <w:p w:rsidR="001A7C27" w:rsidRDefault="001A7C27" w:rsidP="008D4752">
      <w:pPr>
        <w:autoSpaceDE w:val="0"/>
        <w:autoSpaceDN w:val="0"/>
        <w:adjustRightInd w:val="0"/>
        <w:spacing w:line="360" w:lineRule="auto"/>
        <w:ind w:left="360" w:hanging="360"/>
        <w:rPr>
          <w:rFonts w:ascii="Times New Roman" w:hAnsi="Times New Roman" w:cs="Times New Roman"/>
          <w:bCs/>
          <w:sz w:val="32"/>
          <w:szCs w:val="32"/>
        </w:rPr>
      </w:pPr>
    </w:p>
    <w:p w:rsidR="000E67C5" w:rsidRDefault="000E67C5">
      <w:pPr>
        <w:rPr>
          <w:rFonts w:ascii="Times New Roman" w:hAnsi="Times New Roman" w:cs="Times New Roman"/>
          <w:bCs/>
          <w:sz w:val="32"/>
          <w:szCs w:val="32"/>
        </w:rPr>
      </w:pPr>
      <w:r>
        <w:rPr>
          <w:rFonts w:ascii="Times New Roman" w:hAnsi="Times New Roman" w:cs="Times New Roman"/>
          <w:bCs/>
          <w:sz w:val="32"/>
          <w:szCs w:val="32"/>
        </w:rPr>
        <w:br w:type="page"/>
      </w:r>
    </w:p>
    <w:p w:rsidR="008D4752" w:rsidRDefault="008D4752" w:rsidP="008D4752">
      <w:pPr>
        <w:autoSpaceDE w:val="0"/>
        <w:autoSpaceDN w:val="0"/>
        <w:adjustRightInd w:val="0"/>
        <w:spacing w:line="360" w:lineRule="auto"/>
        <w:ind w:left="360" w:hanging="360"/>
        <w:rPr>
          <w:rFonts w:ascii="Times New Roman" w:hAnsi="Times New Roman" w:cs="Times New Roman"/>
          <w:bCs/>
          <w:sz w:val="32"/>
          <w:szCs w:val="32"/>
        </w:rPr>
      </w:pPr>
      <w:r w:rsidRPr="0065221D">
        <w:rPr>
          <w:rFonts w:ascii="Times New Roman" w:hAnsi="Times New Roman" w:cs="Times New Roman"/>
          <w:bCs/>
          <w:sz w:val="32"/>
          <w:szCs w:val="32"/>
        </w:rPr>
        <w:lastRenderedPageBreak/>
        <w:t>References</w:t>
      </w:r>
    </w:p>
    <w:p w:rsidR="008D4752" w:rsidRDefault="008D4752" w:rsidP="00FB12DA">
      <w:pPr>
        <w:tabs>
          <w:tab w:val="left" w:pos="360"/>
        </w:tabs>
        <w:spacing w:after="0" w:line="240" w:lineRule="auto"/>
        <w:ind w:left="360" w:hanging="360"/>
        <w:jc w:val="both"/>
        <w:rPr>
          <w:rStyle w:val="cit-name-surname"/>
          <w:rFonts w:ascii="Times New Roman" w:hAnsi="Times New Roman" w:cs="Times New Roman"/>
          <w:iCs/>
          <w:sz w:val="24"/>
          <w:szCs w:val="24"/>
        </w:rPr>
      </w:pPr>
      <w:proofErr w:type="spellStart"/>
      <w:r w:rsidRPr="001D1663">
        <w:rPr>
          <w:rStyle w:val="cit-name-surname"/>
          <w:rFonts w:ascii="Times New Roman" w:hAnsi="Times New Roman" w:cs="Times New Roman"/>
          <w:iCs/>
          <w:sz w:val="24"/>
          <w:szCs w:val="24"/>
        </w:rPr>
        <w:t>Amihud</w:t>
      </w:r>
      <w:proofErr w:type="spellEnd"/>
      <w:r w:rsidR="009A557E">
        <w:rPr>
          <w:rStyle w:val="cit-name-surname"/>
          <w:rFonts w:ascii="Times New Roman" w:hAnsi="Times New Roman" w:cs="Times New Roman"/>
          <w:iCs/>
          <w:sz w:val="24"/>
          <w:szCs w:val="24"/>
        </w:rPr>
        <w:t>,</w:t>
      </w:r>
      <w:r w:rsidRPr="001D1663">
        <w:rPr>
          <w:rStyle w:val="cit-name-surname"/>
          <w:rFonts w:ascii="Times New Roman" w:hAnsi="Times New Roman" w:cs="Times New Roman"/>
          <w:iCs/>
          <w:sz w:val="24"/>
          <w:szCs w:val="24"/>
        </w:rPr>
        <w:t xml:space="preserve"> Y</w:t>
      </w:r>
      <w:r w:rsidR="009A557E">
        <w:rPr>
          <w:rStyle w:val="cit-name-surname"/>
          <w:rFonts w:ascii="Times New Roman" w:hAnsi="Times New Roman" w:cs="Times New Roman"/>
          <w:iCs/>
          <w:sz w:val="24"/>
          <w:szCs w:val="24"/>
        </w:rPr>
        <w:t>.</w:t>
      </w:r>
      <w:r w:rsidRPr="001D1663">
        <w:rPr>
          <w:rStyle w:val="cit-name-surname"/>
          <w:rFonts w:ascii="Times New Roman" w:hAnsi="Times New Roman" w:cs="Times New Roman"/>
          <w:iCs/>
          <w:sz w:val="24"/>
          <w:szCs w:val="24"/>
        </w:rPr>
        <w:t xml:space="preserve">, </w:t>
      </w:r>
      <w:r w:rsidR="009A557E">
        <w:rPr>
          <w:rStyle w:val="cit-name-surname"/>
          <w:rFonts w:ascii="Times New Roman" w:hAnsi="Times New Roman" w:cs="Times New Roman"/>
          <w:iCs/>
          <w:sz w:val="24"/>
          <w:szCs w:val="24"/>
        </w:rPr>
        <w:t>and B. Lev, 1981,</w:t>
      </w:r>
      <w:r w:rsidRPr="001D1663">
        <w:rPr>
          <w:rStyle w:val="cit-name-surname"/>
          <w:rFonts w:ascii="Times New Roman" w:hAnsi="Times New Roman" w:cs="Times New Roman"/>
          <w:iCs/>
          <w:sz w:val="24"/>
          <w:szCs w:val="24"/>
        </w:rPr>
        <w:t xml:space="preserve"> Risk reduction as a managerial m</w:t>
      </w:r>
      <w:r w:rsidR="009A557E">
        <w:rPr>
          <w:rStyle w:val="cit-name-surname"/>
          <w:rFonts w:ascii="Times New Roman" w:hAnsi="Times New Roman" w:cs="Times New Roman"/>
          <w:iCs/>
          <w:sz w:val="24"/>
          <w:szCs w:val="24"/>
        </w:rPr>
        <w:t xml:space="preserve">otive for conglomerate mergers, </w:t>
      </w:r>
      <w:r w:rsidRPr="00F23F4E">
        <w:rPr>
          <w:rStyle w:val="cit-name-surname"/>
          <w:rFonts w:ascii="Times New Roman" w:hAnsi="Times New Roman" w:cs="Times New Roman"/>
          <w:i/>
          <w:iCs/>
          <w:sz w:val="24"/>
          <w:szCs w:val="24"/>
        </w:rPr>
        <w:t>Bell Journal of Economics</w:t>
      </w:r>
      <w:r w:rsidR="009A557E">
        <w:rPr>
          <w:rStyle w:val="cit-name-surname"/>
          <w:rFonts w:ascii="Times New Roman" w:hAnsi="Times New Roman" w:cs="Times New Roman"/>
          <w:iCs/>
          <w:sz w:val="24"/>
          <w:szCs w:val="24"/>
        </w:rPr>
        <w:t xml:space="preserve"> 12,</w:t>
      </w:r>
      <w:r w:rsidRPr="001D1663">
        <w:rPr>
          <w:rStyle w:val="cit-name-surname"/>
          <w:rFonts w:ascii="Times New Roman" w:hAnsi="Times New Roman" w:cs="Times New Roman"/>
          <w:iCs/>
          <w:sz w:val="24"/>
          <w:szCs w:val="24"/>
        </w:rPr>
        <w:t xml:space="preserve"> 605-617</w:t>
      </w:r>
      <w:r>
        <w:rPr>
          <w:rStyle w:val="cit-name-surname"/>
          <w:rFonts w:ascii="Times New Roman" w:hAnsi="Times New Roman" w:cs="Times New Roman"/>
          <w:iCs/>
          <w:sz w:val="24"/>
          <w:szCs w:val="24"/>
        </w:rPr>
        <w:t>.</w:t>
      </w:r>
    </w:p>
    <w:p w:rsidR="00FB12DA" w:rsidRDefault="00FB12DA" w:rsidP="00FB12DA">
      <w:pPr>
        <w:tabs>
          <w:tab w:val="left" w:pos="360"/>
        </w:tabs>
        <w:spacing w:after="0" w:line="240" w:lineRule="auto"/>
        <w:ind w:left="360" w:hanging="360"/>
        <w:jc w:val="both"/>
        <w:rPr>
          <w:rStyle w:val="cit-name-surname"/>
          <w:rFonts w:ascii="Times New Roman" w:hAnsi="Times New Roman" w:cs="Times New Roman"/>
          <w:iCs/>
          <w:sz w:val="24"/>
          <w:szCs w:val="24"/>
        </w:rPr>
      </w:pPr>
    </w:p>
    <w:p w:rsidR="008D4752" w:rsidRDefault="008D4752" w:rsidP="00FB12DA">
      <w:pPr>
        <w:tabs>
          <w:tab w:val="left" w:pos="360"/>
        </w:tabs>
        <w:spacing w:after="0" w:line="240" w:lineRule="auto"/>
        <w:ind w:left="360" w:hanging="360"/>
        <w:jc w:val="both"/>
        <w:rPr>
          <w:rStyle w:val="cit-name-surname"/>
          <w:rFonts w:ascii="Times New Roman" w:hAnsi="Times New Roman" w:cs="Times New Roman"/>
          <w:iCs/>
          <w:sz w:val="24"/>
          <w:szCs w:val="24"/>
        </w:rPr>
      </w:pPr>
      <w:proofErr w:type="spellStart"/>
      <w:r>
        <w:rPr>
          <w:rStyle w:val="cit-name-surname"/>
          <w:rFonts w:ascii="Times New Roman" w:hAnsi="Times New Roman" w:cs="Times New Roman"/>
          <w:iCs/>
          <w:sz w:val="24"/>
          <w:szCs w:val="24"/>
        </w:rPr>
        <w:t>Bachelder</w:t>
      </w:r>
      <w:proofErr w:type="spellEnd"/>
      <w:r>
        <w:rPr>
          <w:rStyle w:val="cit-name-surname"/>
          <w:rFonts w:ascii="Times New Roman" w:hAnsi="Times New Roman" w:cs="Times New Roman"/>
          <w:iCs/>
          <w:sz w:val="24"/>
          <w:szCs w:val="24"/>
        </w:rPr>
        <w:t>, J</w:t>
      </w:r>
      <w:r w:rsidR="009A557E">
        <w:rPr>
          <w:rStyle w:val="cit-name-surname"/>
          <w:rFonts w:ascii="Times New Roman" w:hAnsi="Times New Roman" w:cs="Times New Roman"/>
          <w:iCs/>
          <w:sz w:val="24"/>
          <w:szCs w:val="24"/>
        </w:rPr>
        <w:t>.</w:t>
      </w:r>
      <w:r>
        <w:rPr>
          <w:rStyle w:val="cit-name-surname"/>
          <w:rFonts w:ascii="Times New Roman" w:hAnsi="Times New Roman" w:cs="Times New Roman"/>
          <w:iCs/>
          <w:sz w:val="24"/>
          <w:szCs w:val="24"/>
        </w:rPr>
        <w:t>E.</w:t>
      </w:r>
      <w:r w:rsidR="009A557E">
        <w:rPr>
          <w:rStyle w:val="cit-name-surname"/>
          <w:rFonts w:ascii="Times New Roman" w:hAnsi="Times New Roman" w:cs="Times New Roman"/>
          <w:iCs/>
          <w:sz w:val="24"/>
          <w:szCs w:val="24"/>
        </w:rPr>
        <w:t xml:space="preserve">, 2002, </w:t>
      </w:r>
      <w:proofErr w:type="gramStart"/>
      <w:r w:rsidR="009A557E">
        <w:rPr>
          <w:rStyle w:val="cit-name-surname"/>
          <w:rFonts w:ascii="Times New Roman" w:hAnsi="Times New Roman" w:cs="Times New Roman"/>
          <w:iCs/>
          <w:sz w:val="24"/>
          <w:szCs w:val="24"/>
        </w:rPr>
        <w:t>Securing</w:t>
      </w:r>
      <w:proofErr w:type="gramEnd"/>
      <w:r>
        <w:rPr>
          <w:rStyle w:val="cit-name-surname"/>
          <w:rFonts w:ascii="Times New Roman" w:hAnsi="Times New Roman" w:cs="Times New Roman"/>
          <w:iCs/>
          <w:sz w:val="24"/>
          <w:szCs w:val="24"/>
        </w:rPr>
        <w:t xml:space="preserve"> </w:t>
      </w:r>
      <w:r w:rsidR="009A557E">
        <w:rPr>
          <w:rStyle w:val="cit-name-surname"/>
          <w:rFonts w:ascii="Times New Roman" w:hAnsi="Times New Roman" w:cs="Times New Roman"/>
          <w:iCs/>
          <w:sz w:val="24"/>
          <w:szCs w:val="24"/>
        </w:rPr>
        <w:t>p</w:t>
      </w:r>
      <w:r>
        <w:rPr>
          <w:rStyle w:val="cit-name-surname"/>
          <w:rFonts w:ascii="Times New Roman" w:hAnsi="Times New Roman" w:cs="Times New Roman"/>
          <w:iCs/>
          <w:sz w:val="24"/>
          <w:szCs w:val="24"/>
        </w:rPr>
        <w:t xml:space="preserve">ayouts of </w:t>
      </w:r>
      <w:r w:rsidR="009A557E">
        <w:rPr>
          <w:rStyle w:val="cit-name-surname"/>
          <w:rFonts w:ascii="Times New Roman" w:hAnsi="Times New Roman" w:cs="Times New Roman"/>
          <w:iCs/>
          <w:sz w:val="24"/>
          <w:szCs w:val="24"/>
        </w:rPr>
        <w:t>s</w:t>
      </w:r>
      <w:r>
        <w:rPr>
          <w:rStyle w:val="cit-name-surname"/>
          <w:rFonts w:ascii="Times New Roman" w:hAnsi="Times New Roman" w:cs="Times New Roman"/>
          <w:iCs/>
          <w:sz w:val="24"/>
          <w:szCs w:val="24"/>
        </w:rPr>
        <w:t xml:space="preserve">upplemental </w:t>
      </w:r>
      <w:r w:rsidR="009A557E">
        <w:rPr>
          <w:rStyle w:val="cit-name-surname"/>
          <w:rFonts w:ascii="Times New Roman" w:hAnsi="Times New Roman" w:cs="Times New Roman"/>
          <w:iCs/>
          <w:sz w:val="24"/>
          <w:szCs w:val="24"/>
        </w:rPr>
        <w:t>e</w:t>
      </w:r>
      <w:r>
        <w:rPr>
          <w:rStyle w:val="cit-name-surname"/>
          <w:rFonts w:ascii="Times New Roman" w:hAnsi="Times New Roman" w:cs="Times New Roman"/>
          <w:iCs/>
          <w:sz w:val="24"/>
          <w:szCs w:val="24"/>
        </w:rPr>
        <w:t xml:space="preserve">xecutive </w:t>
      </w:r>
      <w:r w:rsidR="009A557E">
        <w:rPr>
          <w:rStyle w:val="cit-name-surname"/>
          <w:rFonts w:ascii="Times New Roman" w:hAnsi="Times New Roman" w:cs="Times New Roman"/>
          <w:iCs/>
          <w:sz w:val="24"/>
          <w:szCs w:val="24"/>
        </w:rPr>
        <w:t>r</w:t>
      </w:r>
      <w:r>
        <w:rPr>
          <w:rStyle w:val="cit-name-surname"/>
          <w:rFonts w:ascii="Times New Roman" w:hAnsi="Times New Roman" w:cs="Times New Roman"/>
          <w:iCs/>
          <w:sz w:val="24"/>
          <w:szCs w:val="24"/>
        </w:rPr>
        <w:t xml:space="preserve">etirement </w:t>
      </w:r>
      <w:r w:rsidR="009A557E">
        <w:rPr>
          <w:rStyle w:val="cit-name-surname"/>
          <w:rFonts w:ascii="Times New Roman" w:hAnsi="Times New Roman" w:cs="Times New Roman"/>
          <w:iCs/>
          <w:sz w:val="24"/>
          <w:szCs w:val="24"/>
        </w:rPr>
        <w:t>plans</w:t>
      </w:r>
      <w:r>
        <w:rPr>
          <w:rStyle w:val="cit-name-surname"/>
          <w:rFonts w:ascii="Times New Roman" w:hAnsi="Times New Roman" w:cs="Times New Roman"/>
          <w:iCs/>
          <w:sz w:val="24"/>
          <w:szCs w:val="24"/>
        </w:rPr>
        <w:t xml:space="preserve">, </w:t>
      </w:r>
      <w:r>
        <w:rPr>
          <w:rStyle w:val="cit-name-surname"/>
          <w:rFonts w:ascii="Times New Roman" w:hAnsi="Times New Roman" w:cs="Times New Roman"/>
          <w:i/>
          <w:iCs/>
          <w:sz w:val="24"/>
          <w:szCs w:val="24"/>
        </w:rPr>
        <w:t>New York Law Journal</w:t>
      </w:r>
      <w:r>
        <w:rPr>
          <w:rStyle w:val="cit-name-surname"/>
          <w:rFonts w:ascii="Times New Roman" w:hAnsi="Times New Roman" w:cs="Times New Roman"/>
          <w:iCs/>
          <w:sz w:val="24"/>
          <w:szCs w:val="24"/>
        </w:rPr>
        <w:t>, March 20, 2002.</w:t>
      </w:r>
    </w:p>
    <w:p w:rsidR="00FB12DA" w:rsidRDefault="00FB12DA" w:rsidP="00FB12DA">
      <w:pPr>
        <w:tabs>
          <w:tab w:val="left" w:pos="360"/>
        </w:tabs>
        <w:spacing w:after="0" w:line="240" w:lineRule="auto"/>
        <w:ind w:left="360" w:hanging="360"/>
        <w:jc w:val="both"/>
        <w:rPr>
          <w:rStyle w:val="cit-name-surname"/>
          <w:rFonts w:ascii="Times New Roman" w:hAnsi="Times New Roman" w:cs="Times New Roman"/>
          <w:iCs/>
          <w:sz w:val="24"/>
          <w:szCs w:val="24"/>
        </w:rPr>
      </w:pPr>
    </w:p>
    <w:p w:rsidR="008D4752" w:rsidRPr="009A557E" w:rsidRDefault="008D4752" w:rsidP="00FB12DA">
      <w:pPr>
        <w:tabs>
          <w:tab w:val="left" w:pos="360"/>
        </w:tabs>
        <w:spacing w:after="0" w:line="240" w:lineRule="auto"/>
        <w:ind w:left="360" w:hanging="360"/>
        <w:jc w:val="both"/>
        <w:rPr>
          <w:rFonts w:ascii="Times New Roman" w:hAnsi="Times New Roman" w:cs="Times New Roman"/>
          <w:iCs/>
          <w:sz w:val="24"/>
          <w:szCs w:val="24"/>
        </w:rPr>
      </w:pPr>
      <w:r w:rsidRPr="009A557E">
        <w:rPr>
          <w:rStyle w:val="cit-name-surname"/>
          <w:rFonts w:ascii="Times New Roman" w:hAnsi="Times New Roman" w:cs="Times New Roman"/>
          <w:iCs/>
          <w:sz w:val="24"/>
          <w:szCs w:val="24"/>
        </w:rPr>
        <w:t>Baum, C.F</w:t>
      </w:r>
      <w:r w:rsidRPr="009A557E">
        <w:rPr>
          <w:rStyle w:val="cit-name-surname"/>
          <w:rFonts w:ascii="Times New Roman" w:hAnsi="Times New Roman" w:cs="Times New Roman"/>
          <w:i/>
          <w:iCs/>
          <w:sz w:val="24"/>
          <w:szCs w:val="24"/>
        </w:rPr>
        <w:t>.</w:t>
      </w:r>
      <w:r w:rsidRPr="009A557E">
        <w:rPr>
          <w:rStyle w:val="HTMLCite"/>
          <w:rFonts w:ascii="Times New Roman" w:hAnsi="Times New Roman" w:cs="Times New Roman"/>
          <w:i w:val="0"/>
          <w:sz w:val="24"/>
          <w:szCs w:val="24"/>
        </w:rPr>
        <w:t xml:space="preserve">, </w:t>
      </w:r>
      <w:r w:rsidR="009A557E" w:rsidRPr="009A557E">
        <w:rPr>
          <w:rStyle w:val="HTMLCite"/>
          <w:rFonts w:ascii="Times New Roman" w:hAnsi="Times New Roman" w:cs="Times New Roman"/>
          <w:i w:val="0"/>
          <w:sz w:val="24"/>
          <w:szCs w:val="24"/>
        </w:rPr>
        <w:t>M.E.</w:t>
      </w:r>
      <w:r w:rsidR="009A557E" w:rsidRPr="009A557E">
        <w:rPr>
          <w:rStyle w:val="HTMLCite"/>
          <w:rFonts w:ascii="Times New Roman" w:hAnsi="Times New Roman" w:cs="Times New Roman"/>
          <w:sz w:val="24"/>
          <w:szCs w:val="24"/>
        </w:rPr>
        <w:t xml:space="preserve"> </w:t>
      </w:r>
      <w:r w:rsidRPr="009A557E">
        <w:rPr>
          <w:rStyle w:val="cit-name-surname"/>
          <w:rFonts w:ascii="Times New Roman" w:hAnsi="Times New Roman" w:cs="Times New Roman"/>
          <w:iCs/>
          <w:sz w:val="24"/>
          <w:szCs w:val="24"/>
        </w:rPr>
        <w:t xml:space="preserve">Schaffer, </w:t>
      </w:r>
      <w:r w:rsidRPr="009A557E">
        <w:rPr>
          <w:rStyle w:val="HTMLCite"/>
          <w:rFonts w:ascii="Times New Roman" w:hAnsi="Times New Roman" w:cs="Times New Roman"/>
          <w:i w:val="0"/>
          <w:sz w:val="24"/>
          <w:szCs w:val="24"/>
        </w:rPr>
        <w:t xml:space="preserve">and </w:t>
      </w:r>
      <w:r w:rsidR="009A557E" w:rsidRPr="009A557E">
        <w:rPr>
          <w:rStyle w:val="HTMLCite"/>
          <w:rFonts w:ascii="Times New Roman" w:hAnsi="Times New Roman" w:cs="Times New Roman"/>
          <w:i w:val="0"/>
          <w:sz w:val="24"/>
          <w:szCs w:val="24"/>
        </w:rPr>
        <w:t>S.</w:t>
      </w:r>
      <w:r w:rsidR="009A557E" w:rsidRPr="009A557E">
        <w:rPr>
          <w:rStyle w:val="HTMLCite"/>
          <w:rFonts w:ascii="Times New Roman" w:hAnsi="Times New Roman" w:cs="Times New Roman"/>
          <w:sz w:val="24"/>
          <w:szCs w:val="24"/>
        </w:rPr>
        <w:t xml:space="preserve"> </w:t>
      </w:r>
      <w:proofErr w:type="spellStart"/>
      <w:r w:rsidR="009A557E" w:rsidRPr="009A557E">
        <w:rPr>
          <w:rStyle w:val="cit-name-surname"/>
          <w:rFonts w:ascii="Times New Roman" w:hAnsi="Times New Roman" w:cs="Times New Roman"/>
          <w:iCs/>
          <w:sz w:val="24"/>
          <w:szCs w:val="24"/>
        </w:rPr>
        <w:t>Stillman</w:t>
      </w:r>
      <w:proofErr w:type="spellEnd"/>
      <w:r w:rsidRPr="009A557E">
        <w:rPr>
          <w:rStyle w:val="cit-name-surname"/>
          <w:rFonts w:ascii="Times New Roman" w:hAnsi="Times New Roman" w:cs="Times New Roman"/>
          <w:iCs/>
          <w:sz w:val="24"/>
          <w:szCs w:val="24"/>
        </w:rPr>
        <w:t>,</w:t>
      </w:r>
      <w:r w:rsidRPr="009A557E">
        <w:rPr>
          <w:rStyle w:val="HTMLCite"/>
          <w:rFonts w:ascii="Times New Roman" w:hAnsi="Times New Roman" w:cs="Times New Roman"/>
          <w:sz w:val="24"/>
          <w:szCs w:val="24"/>
        </w:rPr>
        <w:t xml:space="preserve"> </w:t>
      </w:r>
      <w:r w:rsidRPr="009A557E">
        <w:rPr>
          <w:rStyle w:val="cit-pub-date"/>
          <w:rFonts w:ascii="Times New Roman" w:hAnsi="Times New Roman" w:cs="Times New Roman"/>
          <w:iCs/>
          <w:sz w:val="24"/>
          <w:szCs w:val="24"/>
        </w:rPr>
        <w:t>200</w:t>
      </w:r>
      <w:r w:rsidRPr="009A557E">
        <w:rPr>
          <w:rStyle w:val="HTMLCite"/>
          <w:rFonts w:ascii="Times New Roman" w:hAnsi="Times New Roman" w:cs="Times New Roman"/>
          <w:i w:val="0"/>
          <w:sz w:val="24"/>
          <w:szCs w:val="24"/>
        </w:rPr>
        <w:t>3</w:t>
      </w:r>
      <w:r w:rsidRPr="009A557E">
        <w:rPr>
          <w:rStyle w:val="HTMLCite"/>
          <w:rFonts w:ascii="Times New Roman" w:hAnsi="Times New Roman" w:cs="Times New Roman"/>
          <w:sz w:val="24"/>
          <w:szCs w:val="24"/>
        </w:rPr>
        <w:t xml:space="preserve">, </w:t>
      </w:r>
      <w:r w:rsidRPr="009A557E">
        <w:rPr>
          <w:rStyle w:val="cit-article-title"/>
          <w:rFonts w:ascii="Times New Roman" w:hAnsi="Times New Roman" w:cs="Times New Roman"/>
          <w:iCs/>
          <w:sz w:val="24"/>
          <w:szCs w:val="24"/>
        </w:rPr>
        <w:t xml:space="preserve">Instrumental </w:t>
      </w:r>
      <w:r w:rsidR="009A557E" w:rsidRPr="009A557E">
        <w:rPr>
          <w:rStyle w:val="cit-article-title"/>
          <w:rFonts w:ascii="Times New Roman" w:hAnsi="Times New Roman" w:cs="Times New Roman"/>
          <w:iCs/>
          <w:sz w:val="24"/>
          <w:szCs w:val="24"/>
        </w:rPr>
        <w:t>v</w:t>
      </w:r>
      <w:r w:rsidRPr="009A557E">
        <w:rPr>
          <w:rStyle w:val="cit-article-title"/>
          <w:rFonts w:ascii="Times New Roman" w:hAnsi="Times New Roman" w:cs="Times New Roman"/>
          <w:iCs/>
          <w:sz w:val="24"/>
          <w:szCs w:val="24"/>
        </w:rPr>
        <w:t xml:space="preserve">ariables and GMM: Estimation and </w:t>
      </w:r>
      <w:r w:rsidR="009A557E" w:rsidRPr="009A557E">
        <w:rPr>
          <w:rStyle w:val="cit-article-title"/>
          <w:rFonts w:ascii="Times New Roman" w:hAnsi="Times New Roman" w:cs="Times New Roman"/>
          <w:iCs/>
          <w:sz w:val="24"/>
          <w:szCs w:val="24"/>
        </w:rPr>
        <w:t>t</w:t>
      </w:r>
      <w:r w:rsidRPr="009A557E">
        <w:rPr>
          <w:rStyle w:val="cit-article-title"/>
          <w:rFonts w:ascii="Times New Roman" w:hAnsi="Times New Roman" w:cs="Times New Roman"/>
          <w:iCs/>
          <w:sz w:val="24"/>
          <w:szCs w:val="24"/>
        </w:rPr>
        <w:t>esting</w:t>
      </w:r>
      <w:r w:rsidRPr="009A557E">
        <w:rPr>
          <w:rStyle w:val="HTMLCite"/>
          <w:rFonts w:ascii="Times New Roman" w:hAnsi="Times New Roman" w:cs="Times New Roman"/>
          <w:sz w:val="24"/>
          <w:szCs w:val="24"/>
        </w:rPr>
        <w:t xml:space="preserve">, </w:t>
      </w:r>
      <w:proofErr w:type="spellStart"/>
      <w:r w:rsidRPr="009A557E">
        <w:rPr>
          <w:rStyle w:val="HTMLCite"/>
          <w:rFonts w:ascii="Times New Roman" w:hAnsi="Times New Roman" w:cs="Times New Roman"/>
          <w:sz w:val="24"/>
          <w:szCs w:val="24"/>
        </w:rPr>
        <w:t>Stata</w:t>
      </w:r>
      <w:proofErr w:type="spellEnd"/>
      <w:r w:rsidRPr="009A557E">
        <w:rPr>
          <w:rStyle w:val="HTMLCite"/>
          <w:rFonts w:ascii="Times New Roman" w:hAnsi="Times New Roman" w:cs="Times New Roman"/>
          <w:sz w:val="24"/>
          <w:szCs w:val="24"/>
        </w:rPr>
        <w:t xml:space="preserve"> Journal </w:t>
      </w:r>
      <w:r w:rsidRPr="009A557E">
        <w:rPr>
          <w:rStyle w:val="cit-vol"/>
          <w:rFonts w:ascii="Times New Roman" w:hAnsi="Times New Roman" w:cs="Times New Roman"/>
          <w:iCs/>
          <w:sz w:val="24"/>
          <w:szCs w:val="24"/>
        </w:rPr>
        <w:t>3</w:t>
      </w:r>
      <w:r w:rsidRPr="009A557E">
        <w:rPr>
          <w:rStyle w:val="HTMLCite"/>
          <w:rFonts w:ascii="Times New Roman" w:hAnsi="Times New Roman" w:cs="Times New Roman"/>
          <w:sz w:val="24"/>
          <w:szCs w:val="24"/>
        </w:rPr>
        <w:t xml:space="preserve">, </w:t>
      </w:r>
      <w:r w:rsidRPr="009A557E">
        <w:rPr>
          <w:rStyle w:val="cit-fpage"/>
          <w:rFonts w:ascii="Times New Roman" w:hAnsi="Times New Roman" w:cs="Times New Roman"/>
          <w:iCs/>
          <w:sz w:val="24"/>
          <w:szCs w:val="24"/>
        </w:rPr>
        <w:t>1</w:t>
      </w:r>
      <w:r w:rsidRPr="009A557E">
        <w:rPr>
          <w:rStyle w:val="HTMLCite"/>
          <w:rFonts w:ascii="Times New Roman" w:hAnsi="Times New Roman" w:cs="Times New Roman"/>
          <w:sz w:val="24"/>
          <w:szCs w:val="24"/>
        </w:rPr>
        <w:t>-</w:t>
      </w:r>
      <w:r w:rsidRPr="009A557E">
        <w:rPr>
          <w:rStyle w:val="cit-lpage"/>
          <w:rFonts w:ascii="Times New Roman" w:hAnsi="Times New Roman" w:cs="Times New Roman"/>
          <w:iCs/>
          <w:sz w:val="24"/>
          <w:szCs w:val="24"/>
        </w:rPr>
        <w:t>31</w:t>
      </w:r>
      <w:r w:rsidRPr="009A557E">
        <w:rPr>
          <w:rFonts w:ascii="Times New Roman" w:hAnsi="Times New Roman" w:cs="Times New Roman"/>
          <w:iCs/>
          <w:sz w:val="24"/>
          <w:szCs w:val="24"/>
        </w:rPr>
        <w:t xml:space="preserve"> </w:t>
      </w:r>
    </w:p>
    <w:p w:rsidR="00FB12DA" w:rsidRDefault="00FB12DA" w:rsidP="00FB12DA">
      <w:pPr>
        <w:tabs>
          <w:tab w:val="left" w:pos="360"/>
        </w:tabs>
        <w:spacing w:after="0" w:line="240" w:lineRule="auto"/>
        <w:ind w:left="360" w:hanging="360"/>
        <w:jc w:val="both"/>
        <w:rPr>
          <w:rFonts w:ascii="Times New Roman" w:hAnsi="Times New Roman" w:cs="Times New Roman"/>
          <w:iCs/>
          <w:sz w:val="24"/>
          <w:szCs w:val="24"/>
        </w:rPr>
      </w:pPr>
    </w:p>
    <w:p w:rsidR="008D4752" w:rsidRDefault="008D4752" w:rsidP="00FB12DA">
      <w:pPr>
        <w:tabs>
          <w:tab w:val="left" w:pos="360"/>
        </w:tabs>
        <w:spacing w:after="0" w:line="240" w:lineRule="auto"/>
        <w:ind w:left="360" w:hanging="360"/>
        <w:jc w:val="both"/>
        <w:rPr>
          <w:rFonts w:ascii="Times New Roman" w:hAnsi="Times New Roman" w:cs="Times New Roman"/>
          <w:iCs/>
          <w:sz w:val="24"/>
          <w:szCs w:val="24"/>
        </w:rPr>
      </w:pPr>
      <w:proofErr w:type="spellStart"/>
      <w:r w:rsidRPr="001D1663">
        <w:rPr>
          <w:rFonts w:ascii="Times New Roman" w:hAnsi="Times New Roman" w:cs="Times New Roman"/>
          <w:iCs/>
          <w:sz w:val="24"/>
          <w:szCs w:val="24"/>
        </w:rPr>
        <w:t>Berle</w:t>
      </w:r>
      <w:proofErr w:type="spellEnd"/>
      <w:r w:rsidR="009A557E">
        <w:rPr>
          <w:rFonts w:ascii="Times New Roman" w:hAnsi="Times New Roman" w:cs="Times New Roman"/>
          <w:iCs/>
          <w:sz w:val="24"/>
          <w:szCs w:val="24"/>
        </w:rPr>
        <w:t>,</w:t>
      </w:r>
      <w:r w:rsidRPr="001D1663">
        <w:rPr>
          <w:rFonts w:ascii="Times New Roman" w:hAnsi="Times New Roman" w:cs="Times New Roman"/>
          <w:iCs/>
          <w:sz w:val="24"/>
          <w:szCs w:val="24"/>
        </w:rPr>
        <w:t xml:space="preserve"> A., </w:t>
      </w:r>
      <w:r w:rsidR="009A557E">
        <w:rPr>
          <w:rFonts w:ascii="Times New Roman" w:hAnsi="Times New Roman" w:cs="Times New Roman"/>
          <w:iCs/>
          <w:sz w:val="24"/>
          <w:szCs w:val="24"/>
        </w:rPr>
        <w:t xml:space="preserve">and G. </w:t>
      </w:r>
      <w:r w:rsidRPr="001D1663">
        <w:rPr>
          <w:rFonts w:ascii="Times New Roman" w:hAnsi="Times New Roman" w:cs="Times New Roman"/>
          <w:iCs/>
          <w:sz w:val="24"/>
          <w:szCs w:val="24"/>
        </w:rPr>
        <w:t>Means</w:t>
      </w:r>
      <w:r w:rsidR="009A557E">
        <w:rPr>
          <w:rFonts w:ascii="Times New Roman" w:hAnsi="Times New Roman" w:cs="Times New Roman"/>
          <w:iCs/>
          <w:sz w:val="24"/>
          <w:szCs w:val="24"/>
        </w:rPr>
        <w:t>,</w:t>
      </w:r>
      <w:r w:rsidRPr="001D1663">
        <w:rPr>
          <w:rFonts w:ascii="Times New Roman" w:hAnsi="Times New Roman" w:cs="Times New Roman"/>
          <w:iCs/>
          <w:sz w:val="24"/>
          <w:szCs w:val="24"/>
        </w:rPr>
        <w:t xml:space="preserve"> 1932</w:t>
      </w:r>
      <w:r w:rsidR="009A557E">
        <w:rPr>
          <w:rFonts w:ascii="Times New Roman" w:hAnsi="Times New Roman" w:cs="Times New Roman"/>
          <w:iCs/>
          <w:sz w:val="24"/>
          <w:szCs w:val="24"/>
        </w:rPr>
        <w:t>,</w:t>
      </w:r>
      <w:r w:rsidRPr="001D1663">
        <w:rPr>
          <w:rFonts w:ascii="Times New Roman" w:hAnsi="Times New Roman" w:cs="Times New Roman"/>
          <w:i/>
          <w:iCs/>
          <w:sz w:val="24"/>
          <w:szCs w:val="24"/>
        </w:rPr>
        <w:t xml:space="preserve"> </w:t>
      </w:r>
      <w:proofErr w:type="gramStart"/>
      <w:r w:rsidRPr="001D1663">
        <w:rPr>
          <w:rFonts w:ascii="Times New Roman" w:hAnsi="Times New Roman" w:cs="Times New Roman"/>
          <w:i/>
          <w:iCs/>
          <w:sz w:val="24"/>
          <w:szCs w:val="24"/>
        </w:rPr>
        <w:t>The</w:t>
      </w:r>
      <w:proofErr w:type="gramEnd"/>
      <w:r w:rsidRPr="001D1663">
        <w:rPr>
          <w:rFonts w:ascii="Times New Roman" w:hAnsi="Times New Roman" w:cs="Times New Roman"/>
          <w:i/>
          <w:iCs/>
          <w:sz w:val="24"/>
          <w:szCs w:val="24"/>
        </w:rPr>
        <w:t xml:space="preserve"> Modern Corporation and Private Property. </w:t>
      </w:r>
      <w:r>
        <w:rPr>
          <w:rFonts w:ascii="Times New Roman" w:hAnsi="Times New Roman" w:cs="Times New Roman"/>
          <w:iCs/>
          <w:sz w:val="24"/>
          <w:szCs w:val="24"/>
        </w:rPr>
        <w:t>Mac</w:t>
      </w:r>
      <w:r w:rsidRPr="001D1663">
        <w:rPr>
          <w:rFonts w:ascii="Times New Roman" w:hAnsi="Times New Roman" w:cs="Times New Roman"/>
          <w:iCs/>
          <w:sz w:val="24"/>
          <w:szCs w:val="24"/>
        </w:rPr>
        <w:t xml:space="preserve">Millan, </w:t>
      </w:r>
      <w:r>
        <w:rPr>
          <w:rFonts w:ascii="Times New Roman" w:hAnsi="Times New Roman" w:cs="Times New Roman"/>
          <w:iCs/>
          <w:sz w:val="24"/>
          <w:szCs w:val="24"/>
        </w:rPr>
        <w:t>New York.</w:t>
      </w:r>
    </w:p>
    <w:p w:rsidR="00FB12DA" w:rsidRDefault="00FB12DA" w:rsidP="00FB12DA">
      <w:pPr>
        <w:tabs>
          <w:tab w:val="left" w:pos="360"/>
        </w:tabs>
        <w:spacing w:after="0" w:line="240" w:lineRule="auto"/>
        <w:ind w:left="360" w:hanging="360"/>
        <w:jc w:val="both"/>
        <w:rPr>
          <w:rFonts w:ascii="Times New Roman" w:hAnsi="Times New Roman" w:cs="Times New Roman"/>
          <w:iCs/>
          <w:sz w:val="24"/>
          <w:szCs w:val="24"/>
        </w:rPr>
      </w:pPr>
    </w:p>
    <w:p w:rsidR="00BA1AAD" w:rsidRPr="001D1663" w:rsidRDefault="00BA1AAD" w:rsidP="00FB12DA">
      <w:pPr>
        <w:tabs>
          <w:tab w:val="left" w:pos="360"/>
        </w:tabs>
        <w:spacing w:after="0" w:line="240" w:lineRule="auto"/>
        <w:ind w:left="360" w:hanging="360"/>
        <w:jc w:val="both"/>
        <w:rPr>
          <w:rFonts w:ascii="Times New Roman" w:hAnsi="Times New Roman" w:cs="Times New Roman"/>
          <w:iCs/>
          <w:sz w:val="24"/>
          <w:szCs w:val="24"/>
        </w:rPr>
      </w:pPr>
      <w:r w:rsidRPr="00EE6E16">
        <w:rPr>
          <w:rFonts w:ascii="Times New Roman" w:hAnsi="Times New Roman" w:cs="Times New Roman"/>
          <w:iCs/>
          <w:sz w:val="24"/>
          <w:szCs w:val="24"/>
        </w:rPr>
        <w:t xml:space="preserve">Bhattacharyya, N., </w:t>
      </w:r>
      <w:r w:rsidR="005E2FEA" w:rsidRPr="00EE6E16">
        <w:rPr>
          <w:rFonts w:ascii="Times New Roman" w:hAnsi="Times New Roman" w:cs="Times New Roman"/>
          <w:iCs/>
          <w:sz w:val="24"/>
          <w:szCs w:val="24"/>
        </w:rPr>
        <w:t xml:space="preserve">A. </w:t>
      </w:r>
      <w:proofErr w:type="spellStart"/>
      <w:r w:rsidRPr="00EE6E16">
        <w:rPr>
          <w:rFonts w:ascii="Times New Roman" w:hAnsi="Times New Roman" w:cs="Times New Roman"/>
          <w:iCs/>
          <w:sz w:val="24"/>
          <w:szCs w:val="24"/>
        </w:rPr>
        <w:t>Mawani</w:t>
      </w:r>
      <w:proofErr w:type="spellEnd"/>
      <w:r w:rsidRPr="00EE6E16">
        <w:rPr>
          <w:rFonts w:ascii="Times New Roman" w:hAnsi="Times New Roman" w:cs="Times New Roman"/>
          <w:iCs/>
          <w:sz w:val="24"/>
          <w:szCs w:val="24"/>
        </w:rPr>
        <w:t xml:space="preserve">, and </w:t>
      </w:r>
      <w:r w:rsidR="005E2FEA" w:rsidRPr="00EE6E16">
        <w:rPr>
          <w:rFonts w:ascii="Times New Roman" w:hAnsi="Times New Roman" w:cs="Times New Roman"/>
          <w:iCs/>
          <w:sz w:val="24"/>
          <w:szCs w:val="24"/>
        </w:rPr>
        <w:t xml:space="preserve">C. </w:t>
      </w:r>
      <w:r w:rsidRPr="00EE6E16">
        <w:rPr>
          <w:rFonts w:ascii="Times New Roman" w:hAnsi="Times New Roman" w:cs="Times New Roman"/>
          <w:iCs/>
          <w:sz w:val="24"/>
          <w:szCs w:val="24"/>
        </w:rPr>
        <w:t xml:space="preserve">Morrill, 2008, Dividend </w:t>
      </w:r>
      <w:r w:rsidR="005E2FEA" w:rsidRPr="00EE6E16">
        <w:rPr>
          <w:rFonts w:ascii="Times New Roman" w:hAnsi="Times New Roman" w:cs="Times New Roman"/>
          <w:iCs/>
          <w:sz w:val="24"/>
          <w:szCs w:val="24"/>
        </w:rPr>
        <w:t>p</w:t>
      </w:r>
      <w:r w:rsidRPr="00EE6E16">
        <w:rPr>
          <w:rFonts w:ascii="Times New Roman" w:hAnsi="Times New Roman" w:cs="Times New Roman"/>
          <w:iCs/>
          <w:sz w:val="24"/>
          <w:szCs w:val="24"/>
        </w:rPr>
        <w:t xml:space="preserve">ayout and </w:t>
      </w:r>
      <w:r w:rsidR="005E2FEA" w:rsidRPr="00EE6E16">
        <w:rPr>
          <w:rFonts w:ascii="Times New Roman" w:hAnsi="Times New Roman" w:cs="Times New Roman"/>
          <w:iCs/>
          <w:sz w:val="24"/>
          <w:szCs w:val="24"/>
        </w:rPr>
        <w:t>e</w:t>
      </w:r>
      <w:r w:rsidRPr="00EE6E16">
        <w:rPr>
          <w:rFonts w:ascii="Times New Roman" w:hAnsi="Times New Roman" w:cs="Times New Roman"/>
          <w:iCs/>
          <w:sz w:val="24"/>
          <w:szCs w:val="24"/>
        </w:rPr>
        <w:t xml:space="preserve">xecutive </w:t>
      </w:r>
      <w:r w:rsidR="005E2FEA" w:rsidRPr="00EE6E16">
        <w:rPr>
          <w:rFonts w:ascii="Times New Roman" w:hAnsi="Times New Roman" w:cs="Times New Roman"/>
          <w:iCs/>
          <w:sz w:val="24"/>
          <w:szCs w:val="24"/>
        </w:rPr>
        <w:t>c</w:t>
      </w:r>
      <w:r w:rsidRPr="00EE6E16">
        <w:rPr>
          <w:rFonts w:ascii="Times New Roman" w:hAnsi="Times New Roman" w:cs="Times New Roman"/>
          <w:iCs/>
          <w:sz w:val="24"/>
          <w:szCs w:val="24"/>
        </w:rPr>
        <w:t xml:space="preserve">ompensation: Theory and </w:t>
      </w:r>
      <w:r w:rsidR="005E2FEA" w:rsidRPr="00EE6E16">
        <w:rPr>
          <w:rFonts w:ascii="Times New Roman" w:hAnsi="Times New Roman" w:cs="Times New Roman"/>
          <w:iCs/>
          <w:sz w:val="24"/>
          <w:szCs w:val="24"/>
        </w:rPr>
        <w:t>e</w:t>
      </w:r>
      <w:r w:rsidRPr="00EE6E16">
        <w:rPr>
          <w:rFonts w:ascii="Times New Roman" w:hAnsi="Times New Roman" w:cs="Times New Roman"/>
          <w:iCs/>
          <w:sz w:val="24"/>
          <w:szCs w:val="24"/>
        </w:rPr>
        <w:t xml:space="preserve">vidence, </w:t>
      </w:r>
      <w:r w:rsidRPr="00EE6E16">
        <w:rPr>
          <w:rFonts w:ascii="Times New Roman" w:hAnsi="Times New Roman" w:cs="Times New Roman"/>
          <w:i/>
          <w:iCs/>
          <w:sz w:val="24"/>
          <w:szCs w:val="24"/>
        </w:rPr>
        <w:t>Accounting and Finance</w:t>
      </w:r>
      <w:r w:rsidRPr="00EE6E16">
        <w:rPr>
          <w:rFonts w:ascii="Times New Roman" w:hAnsi="Times New Roman" w:cs="Times New Roman"/>
          <w:iCs/>
          <w:sz w:val="24"/>
          <w:szCs w:val="24"/>
        </w:rPr>
        <w:t xml:space="preserve"> 9, 47-62.</w:t>
      </w:r>
    </w:p>
    <w:p w:rsidR="00FB12DA" w:rsidRDefault="00FB12DA"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r w:rsidRPr="00E07771">
        <w:rPr>
          <w:rFonts w:ascii="Times New Roman" w:hAnsi="Times New Roman" w:cs="Times New Roman"/>
          <w:sz w:val="24"/>
          <w:szCs w:val="24"/>
        </w:rPr>
        <w:t xml:space="preserve">Black, F., </w:t>
      </w:r>
      <w:r w:rsidR="005E2FEA">
        <w:rPr>
          <w:rFonts w:ascii="Times New Roman" w:hAnsi="Times New Roman" w:cs="Times New Roman"/>
          <w:sz w:val="24"/>
          <w:szCs w:val="24"/>
        </w:rPr>
        <w:t xml:space="preserve">and M. </w:t>
      </w:r>
      <w:r w:rsidRPr="00E07771">
        <w:rPr>
          <w:rFonts w:ascii="Times New Roman" w:hAnsi="Times New Roman" w:cs="Times New Roman"/>
          <w:sz w:val="24"/>
          <w:szCs w:val="24"/>
        </w:rPr>
        <w:t>Scholes, 1973. The pricing of options and corporate liabilities</w:t>
      </w:r>
      <w:r w:rsidR="005E2FEA">
        <w:rPr>
          <w:rFonts w:ascii="Times New Roman" w:hAnsi="Times New Roman" w:cs="Times New Roman"/>
          <w:sz w:val="24"/>
          <w:szCs w:val="24"/>
        </w:rPr>
        <w:t>,</w:t>
      </w:r>
      <w:r w:rsidRPr="00E07771">
        <w:rPr>
          <w:rFonts w:ascii="Times New Roman" w:hAnsi="Times New Roman" w:cs="Times New Roman"/>
          <w:sz w:val="24"/>
          <w:szCs w:val="24"/>
        </w:rPr>
        <w:t xml:space="preserve"> </w:t>
      </w:r>
      <w:r w:rsidRPr="005E2FEA">
        <w:rPr>
          <w:rFonts w:ascii="Times New Roman" w:hAnsi="Times New Roman" w:cs="Times New Roman"/>
          <w:i/>
          <w:sz w:val="24"/>
          <w:szCs w:val="24"/>
        </w:rPr>
        <w:t>Journal of Political Economy</w:t>
      </w:r>
      <w:r w:rsidRPr="00E07771">
        <w:rPr>
          <w:rFonts w:ascii="Times New Roman" w:hAnsi="Times New Roman" w:cs="Times New Roman"/>
          <w:sz w:val="24"/>
          <w:szCs w:val="24"/>
        </w:rPr>
        <w:t xml:space="preserve"> 81, 637-654.</w:t>
      </w:r>
    </w:p>
    <w:p w:rsidR="00FB12DA" w:rsidRDefault="00FB12DA" w:rsidP="00FB12DA">
      <w:pPr>
        <w:spacing w:after="0" w:line="240" w:lineRule="auto"/>
        <w:jc w:val="both"/>
        <w:rPr>
          <w:rFonts w:ascii="Times New Roman" w:hAnsi="Times New Roman" w:cs="Times New Roman"/>
          <w:sz w:val="24"/>
          <w:szCs w:val="24"/>
        </w:rPr>
      </w:pPr>
    </w:p>
    <w:p w:rsidR="008D4752" w:rsidRPr="004860F4" w:rsidRDefault="005E2FEA" w:rsidP="00FB12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Black, F.</w:t>
      </w:r>
      <w:proofErr w:type="gramStart"/>
      <w:r>
        <w:rPr>
          <w:rFonts w:ascii="Times New Roman" w:hAnsi="Times New Roman" w:cs="Times New Roman"/>
          <w:sz w:val="24"/>
          <w:szCs w:val="24"/>
        </w:rPr>
        <w:t>,1976</w:t>
      </w:r>
      <w:proofErr w:type="gramEnd"/>
      <w:r>
        <w:rPr>
          <w:rFonts w:ascii="Times New Roman" w:hAnsi="Times New Roman" w:cs="Times New Roman"/>
          <w:sz w:val="24"/>
          <w:szCs w:val="24"/>
        </w:rPr>
        <w:t xml:space="preserve">, </w:t>
      </w:r>
      <w:r w:rsidR="008D4752" w:rsidRPr="004860F4">
        <w:rPr>
          <w:rFonts w:ascii="Times New Roman" w:hAnsi="Times New Roman" w:cs="Times New Roman"/>
          <w:sz w:val="24"/>
          <w:szCs w:val="24"/>
        </w:rPr>
        <w:t xml:space="preserve">The </w:t>
      </w:r>
      <w:r>
        <w:rPr>
          <w:rFonts w:ascii="Times New Roman" w:hAnsi="Times New Roman" w:cs="Times New Roman"/>
          <w:sz w:val="24"/>
          <w:szCs w:val="24"/>
        </w:rPr>
        <w:t>d</w:t>
      </w:r>
      <w:r w:rsidR="008D4752" w:rsidRPr="004860F4">
        <w:rPr>
          <w:rFonts w:ascii="Times New Roman" w:hAnsi="Times New Roman" w:cs="Times New Roman"/>
          <w:sz w:val="24"/>
          <w:szCs w:val="24"/>
        </w:rPr>
        <w:t xml:space="preserve">ividend </w:t>
      </w:r>
      <w:r>
        <w:rPr>
          <w:rFonts w:ascii="Times New Roman" w:hAnsi="Times New Roman" w:cs="Times New Roman"/>
          <w:sz w:val="24"/>
          <w:szCs w:val="24"/>
        </w:rPr>
        <w:t>puzzle</w:t>
      </w:r>
      <w:r w:rsidR="008D4752" w:rsidRPr="004860F4">
        <w:rPr>
          <w:rFonts w:ascii="Times New Roman" w:hAnsi="Times New Roman" w:cs="Times New Roman"/>
          <w:sz w:val="24"/>
          <w:szCs w:val="24"/>
        </w:rPr>
        <w:t xml:space="preserve">, </w:t>
      </w:r>
      <w:r w:rsidR="008D4752">
        <w:rPr>
          <w:rFonts w:ascii="Times New Roman" w:hAnsi="Times New Roman" w:cs="Times New Roman"/>
          <w:i/>
          <w:sz w:val="24"/>
          <w:szCs w:val="24"/>
        </w:rPr>
        <w:t xml:space="preserve">Journal of Portfolio Management </w:t>
      </w:r>
      <w:r w:rsidR="008D4752">
        <w:rPr>
          <w:rFonts w:ascii="Times New Roman" w:hAnsi="Times New Roman" w:cs="Times New Roman"/>
          <w:sz w:val="24"/>
          <w:szCs w:val="24"/>
        </w:rPr>
        <w:t xml:space="preserve">2, </w:t>
      </w:r>
      <w:r w:rsidR="008D4752" w:rsidRPr="004860F4">
        <w:rPr>
          <w:rFonts w:ascii="Times New Roman" w:hAnsi="Times New Roman" w:cs="Times New Roman"/>
          <w:sz w:val="24"/>
          <w:szCs w:val="24"/>
        </w:rPr>
        <w:t>5-8.</w:t>
      </w:r>
    </w:p>
    <w:p w:rsidR="00FB12DA" w:rsidRDefault="00FB12DA"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r w:rsidRPr="004860F4">
        <w:rPr>
          <w:rFonts w:ascii="Times New Roman" w:hAnsi="Times New Roman" w:cs="Times New Roman"/>
          <w:sz w:val="24"/>
          <w:szCs w:val="24"/>
        </w:rPr>
        <w:t xml:space="preserve">Brown, J.R., </w:t>
      </w:r>
      <w:r w:rsidR="005E2FEA">
        <w:rPr>
          <w:rFonts w:ascii="Times New Roman" w:hAnsi="Times New Roman" w:cs="Times New Roman"/>
          <w:sz w:val="24"/>
          <w:szCs w:val="24"/>
        </w:rPr>
        <w:t xml:space="preserve">N. </w:t>
      </w:r>
      <w:r w:rsidRPr="004860F4">
        <w:rPr>
          <w:rFonts w:ascii="Times New Roman" w:hAnsi="Times New Roman" w:cs="Times New Roman"/>
          <w:sz w:val="24"/>
          <w:szCs w:val="24"/>
        </w:rPr>
        <w:t xml:space="preserve">Liang, and </w:t>
      </w:r>
      <w:r w:rsidR="005E2FEA">
        <w:rPr>
          <w:rFonts w:ascii="Times New Roman" w:hAnsi="Times New Roman" w:cs="Times New Roman"/>
          <w:sz w:val="24"/>
          <w:szCs w:val="24"/>
        </w:rPr>
        <w:t xml:space="preserve">S. </w:t>
      </w:r>
      <w:proofErr w:type="spellStart"/>
      <w:r w:rsidR="005E2FEA">
        <w:rPr>
          <w:rFonts w:ascii="Times New Roman" w:hAnsi="Times New Roman" w:cs="Times New Roman"/>
          <w:sz w:val="24"/>
          <w:szCs w:val="24"/>
        </w:rPr>
        <w:t>Weisbrenner</w:t>
      </w:r>
      <w:proofErr w:type="spellEnd"/>
      <w:r w:rsidR="005E2FEA">
        <w:rPr>
          <w:rFonts w:ascii="Times New Roman" w:hAnsi="Times New Roman" w:cs="Times New Roman"/>
          <w:sz w:val="24"/>
          <w:szCs w:val="24"/>
        </w:rPr>
        <w:t>,</w:t>
      </w:r>
      <w:r w:rsidRPr="004860F4">
        <w:rPr>
          <w:rFonts w:ascii="Times New Roman" w:hAnsi="Times New Roman" w:cs="Times New Roman"/>
          <w:sz w:val="24"/>
          <w:szCs w:val="24"/>
        </w:rPr>
        <w:t xml:space="preserve"> 2007, Executive </w:t>
      </w:r>
      <w:r w:rsidR="005E2FEA">
        <w:rPr>
          <w:rFonts w:ascii="Times New Roman" w:hAnsi="Times New Roman" w:cs="Times New Roman"/>
          <w:sz w:val="24"/>
          <w:szCs w:val="24"/>
        </w:rPr>
        <w:t>f</w:t>
      </w:r>
      <w:r w:rsidRPr="004860F4">
        <w:rPr>
          <w:rFonts w:ascii="Times New Roman" w:hAnsi="Times New Roman" w:cs="Times New Roman"/>
          <w:sz w:val="24"/>
          <w:szCs w:val="24"/>
        </w:rPr>
        <w:t xml:space="preserve">inancial </w:t>
      </w:r>
      <w:r w:rsidR="005E2FEA">
        <w:rPr>
          <w:rFonts w:ascii="Times New Roman" w:hAnsi="Times New Roman" w:cs="Times New Roman"/>
          <w:sz w:val="24"/>
          <w:szCs w:val="24"/>
        </w:rPr>
        <w:t>i</w:t>
      </w:r>
      <w:r w:rsidRPr="004860F4">
        <w:rPr>
          <w:rFonts w:ascii="Times New Roman" w:hAnsi="Times New Roman" w:cs="Times New Roman"/>
          <w:sz w:val="24"/>
          <w:szCs w:val="24"/>
        </w:rPr>
        <w:t xml:space="preserve">ncentives and </w:t>
      </w:r>
      <w:r w:rsidR="005E2FEA">
        <w:rPr>
          <w:rFonts w:ascii="Times New Roman" w:hAnsi="Times New Roman" w:cs="Times New Roman"/>
          <w:sz w:val="24"/>
          <w:szCs w:val="24"/>
        </w:rPr>
        <w:t>p</w:t>
      </w:r>
      <w:r w:rsidRPr="004860F4">
        <w:rPr>
          <w:rFonts w:ascii="Times New Roman" w:hAnsi="Times New Roman" w:cs="Times New Roman"/>
          <w:sz w:val="24"/>
          <w:szCs w:val="24"/>
        </w:rPr>
        <w:t xml:space="preserve">ayout </w:t>
      </w:r>
      <w:r w:rsidR="005E2FEA">
        <w:rPr>
          <w:rFonts w:ascii="Times New Roman" w:hAnsi="Times New Roman" w:cs="Times New Roman"/>
          <w:sz w:val="24"/>
          <w:szCs w:val="24"/>
        </w:rPr>
        <w:t>p</w:t>
      </w:r>
      <w:r w:rsidRPr="004860F4">
        <w:rPr>
          <w:rFonts w:ascii="Times New Roman" w:hAnsi="Times New Roman" w:cs="Times New Roman"/>
          <w:sz w:val="24"/>
          <w:szCs w:val="24"/>
        </w:rPr>
        <w:t xml:space="preserve">olicy: Firm </w:t>
      </w:r>
      <w:r w:rsidR="005E2FEA">
        <w:rPr>
          <w:rFonts w:ascii="Times New Roman" w:hAnsi="Times New Roman" w:cs="Times New Roman"/>
          <w:sz w:val="24"/>
          <w:szCs w:val="24"/>
        </w:rPr>
        <w:t>r</w:t>
      </w:r>
      <w:r w:rsidRPr="004860F4">
        <w:rPr>
          <w:rFonts w:ascii="Times New Roman" w:hAnsi="Times New Roman" w:cs="Times New Roman"/>
          <w:sz w:val="24"/>
          <w:szCs w:val="24"/>
        </w:rPr>
        <w:t xml:space="preserve">esponses to the 2003 </w:t>
      </w:r>
      <w:r w:rsidR="005E2FEA">
        <w:rPr>
          <w:rFonts w:ascii="Times New Roman" w:hAnsi="Times New Roman" w:cs="Times New Roman"/>
          <w:sz w:val="24"/>
          <w:szCs w:val="24"/>
        </w:rPr>
        <w:t>d</w:t>
      </w:r>
      <w:r w:rsidRPr="004860F4">
        <w:rPr>
          <w:rFonts w:ascii="Times New Roman" w:hAnsi="Times New Roman" w:cs="Times New Roman"/>
          <w:sz w:val="24"/>
          <w:szCs w:val="24"/>
        </w:rPr>
        <w:t xml:space="preserve">ividend </w:t>
      </w:r>
      <w:r w:rsidR="005E2FEA">
        <w:rPr>
          <w:rFonts w:ascii="Times New Roman" w:hAnsi="Times New Roman" w:cs="Times New Roman"/>
          <w:sz w:val="24"/>
          <w:szCs w:val="24"/>
        </w:rPr>
        <w:t>tax Cut,</w:t>
      </w:r>
      <w:r w:rsidRPr="004860F4">
        <w:rPr>
          <w:rFonts w:ascii="Times New Roman" w:hAnsi="Times New Roman" w:cs="Times New Roman"/>
          <w:sz w:val="24"/>
          <w:szCs w:val="24"/>
        </w:rPr>
        <w:t xml:space="preserve"> </w:t>
      </w:r>
      <w:r w:rsidRPr="004860F4">
        <w:rPr>
          <w:rFonts w:ascii="Times New Roman" w:hAnsi="Times New Roman" w:cs="Times New Roman"/>
          <w:i/>
          <w:sz w:val="24"/>
          <w:szCs w:val="24"/>
        </w:rPr>
        <w:t>J</w:t>
      </w:r>
      <w:r>
        <w:rPr>
          <w:rFonts w:ascii="Times New Roman" w:hAnsi="Times New Roman" w:cs="Times New Roman"/>
          <w:i/>
          <w:sz w:val="24"/>
          <w:szCs w:val="24"/>
        </w:rPr>
        <w:t xml:space="preserve">ournal of Finance </w:t>
      </w:r>
      <w:r>
        <w:rPr>
          <w:rFonts w:ascii="Times New Roman" w:hAnsi="Times New Roman" w:cs="Times New Roman"/>
          <w:sz w:val="24"/>
          <w:szCs w:val="24"/>
        </w:rPr>
        <w:t xml:space="preserve">62, </w:t>
      </w:r>
      <w:r w:rsidRPr="004860F4">
        <w:rPr>
          <w:rFonts w:ascii="Times New Roman" w:hAnsi="Times New Roman" w:cs="Times New Roman"/>
          <w:sz w:val="24"/>
          <w:szCs w:val="24"/>
        </w:rPr>
        <w:t>1935–1965.</w:t>
      </w:r>
    </w:p>
    <w:p w:rsidR="00FB12DA" w:rsidRDefault="00FB12DA" w:rsidP="00FB12DA">
      <w:pPr>
        <w:spacing w:after="0" w:line="240" w:lineRule="auto"/>
        <w:ind w:left="360" w:hanging="360"/>
        <w:jc w:val="both"/>
        <w:rPr>
          <w:rFonts w:ascii="Times New Roman" w:hAnsi="Times New Roman" w:cs="Times New Roman"/>
          <w:sz w:val="24"/>
          <w:szCs w:val="24"/>
        </w:rPr>
      </w:pPr>
    </w:p>
    <w:p w:rsidR="009B25E8" w:rsidRPr="004860F4" w:rsidRDefault="009B25E8" w:rsidP="00FB12DA">
      <w:pPr>
        <w:spacing w:after="0" w:line="240" w:lineRule="auto"/>
        <w:ind w:left="360" w:hanging="360"/>
        <w:jc w:val="both"/>
        <w:rPr>
          <w:rFonts w:ascii="Times New Roman" w:hAnsi="Times New Roman" w:cs="Times New Roman"/>
          <w:sz w:val="24"/>
          <w:szCs w:val="24"/>
        </w:rPr>
      </w:pPr>
      <w:proofErr w:type="spellStart"/>
      <w:r w:rsidRPr="009B25E8">
        <w:rPr>
          <w:rFonts w:ascii="Times New Roman" w:hAnsi="Times New Roman" w:cs="Times New Roman"/>
          <w:sz w:val="24"/>
          <w:szCs w:val="24"/>
        </w:rPr>
        <w:t>Cassell</w:t>
      </w:r>
      <w:proofErr w:type="spellEnd"/>
      <w:r w:rsidRPr="009B25E8">
        <w:rPr>
          <w:rFonts w:ascii="Times New Roman" w:hAnsi="Times New Roman" w:cs="Times New Roman"/>
          <w:sz w:val="24"/>
          <w:szCs w:val="24"/>
        </w:rPr>
        <w:t xml:space="preserve">, C., </w:t>
      </w:r>
      <w:r>
        <w:rPr>
          <w:rFonts w:ascii="Times New Roman" w:hAnsi="Times New Roman" w:cs="Times New Roman"/>
          <w:sz w:val="24"/>
          <w:szCs w:val="24"/>
        </w:rPr>
        <w:t xml:space="preserve">S. </w:t>
      </w:r>
      <w:r w:rsidRPr="009B25E8">
        <w:rPr>
          <w:rFonts w:ascii="Times New Roman" w:hAnsi="Times New Roman" w:cs="Times New Roman"/>
          <w:sz w:val="24"/>
          <w:szCs w:val="24"/>
        </w:rPr>
        <w:t xml:space="preserve">Huang, </w:t>
      </w:r>
      <w:r>
        <w:rPr>
          <w:rFonts w:ascii="Times New Roman" w:hAnsi="Times New Roman" w:cs="Times New Roman"/>
          <w:sz w:val="24"/>
          <w:szCs w:val="24"/>
        </w:rPr>
        <w:t xml:space="preserve">J.M. </w:t>
      </w:r>
      <w:r w:rsidRPr="009B25E8">
        <w:rPr>
          <w:rFonts w:ascii="Times New Roman" w:hAnsi="Times New Roman" w:cs="Times New Roman"/>
          <w:sz w:val="24"/>
          <w:szCs w:val="24"/>
        </w:rPr>
        <w:t xml:space="preserve">Sanchez, </w:t>
      </w:r>
      <w:r>
        <w:rPr>
          <w:rFonts w:ascii="Times New Roman" w:hAnsi="Times New Roman" w:cs="Times New Roman"/>
          <w:sz w:val="24"/>
          <w:szCs w:val="24"/>
        </w:rPr>
        <w:t>and M.D.</w:t>
      </w:r>
      <w:r w:rsidRPr="009B25E8">
        <w:rPr>
          <w:rFonts w:ascii="Times New Roman" w:hAnsi="Times New Roman" w:cs="Times New Roman"/>
          <w:sz w:val="24"/>
          <w:szCs w:val="24"/>
        </w:rPr>
        <w:t xml:space="preserve"> Stuart, </w:t>
      </w:r>
      <w:r>
        <w:rPr>
          <w:rFonts w:ascii="Times New Roman" w:hAnsi="Times New Roman" w:cs="Times New Roman"/>
          <w:sz w:val="24"/>
          <w:szCs w:val="24"/>
        </w:rPr>
        <w:t>2012,</w:t>
      </w:r>
      <w:r w:rsidRPr="009B25E8">
        <w:rPr>
          <w:rFonts w:ascii="Times New Roman" w:hAnsi="Times New Roman" w:cs="Times New Roman"/>
          <w:sz w:val="24"/>
          <w:szCs w:val="24"/>
        </w:rPr>
        <w:t xml:space="preserve"> </w:t>
      </w:r>
      <w:proofErr w:type="gramStart"/>
      <w:r w:rsidRPr="009B25E8">
        <w:rPr>
          <w:rFonts w:ascii="Times New Roman" w:hAnsi="Times New Roman" w:cs="Times New Roman"/>
          <w:sz w:val="24"/>
          <w:szCs w:val="24"/>
        </w:rPr>
        <w:t>Seeking</w:t>
      </w:r>
      <w:proofErr w:type="gramEnd"/>
      <w:r w:rsidRPr="009B25E8">
        <w:rPr>
          <w:rFonts w:ascii="Times New Roman" w:hAnsi="Times New Roman" w:cs="Times New Roman"/>
          <w:sz w:val="24"/>
          <w:szCs w:val="24"/>
        </w:rPr>
        <w:t xml:space="preserve"> safety: </w:t>
      </w:r>
      <w:r>
        <w:rPr>
          <w:rFonts w:ascii="Times New Roman" w:hAnsi="Times New Roman" w:cs="Times New Roman"/>
          <w:sz w:val="24"/>
          <w:szCs w:val="24"/>
        </w:rPr>
        <w:t>T</w:t>
      </w:r>
      <w:r w:rsidRPr="009B25E8">
        <w:rPr>
          <w:rFonts w:ascii="Times New Roman" w:hAnsi="Times New Roman" w:cs="Times New Roman"/>
          <w:sz w:val="24"/>
          <w:szCs w:val="24"/>
        </w:rPr>
        <w:t>he relation</w:t>
      </w:r>
      <w:r>
        <w:rPr>
          <w:rFonts w:ascii="Times New Roman" w:hAnsi="Times New Roman" w:cs="Times New Roman"/>
          <w:sz w:val="24"/>
          <w:szCs w:val="24"/>
        </w:rPr>
        <w:t xml:space="preserve"> </w:t>
      </w:r>
      <w:r w:rsidRPr="009B25E8">
        <w:rPr>
          <w:rFonts w:ascii="Times New Roman" w:hAnsi="Times New Roman" w:cs="Times New Roman"/>
          <w:sz w:val="24"/>
          <w:szCs w:val="24"/>
        </w:rPr>
        <w:t>between CEO inside debt holdings and the riskiness of firm investment and</w:t>
      </w:r>
      <w:r>
        <w:rPr>
          <w:rFonts w:ascii="Times New Roman" w:hAnsi="Times New Roman" w:cs="Times New Roman"/>
          <w:sz w:val="24"/>
          <w:szCs w:val="24"/>
        </w:rPr>
        <w:t xml:space="preserve"> financial policies,</w:t>
      </w:r>
      <w:r w:rsidRPr="009B25E8">
        <w:rPr>
          <w:rFonts w:ascii="Times New Roman" w:hAnsi="Times New Roman" w:cs="Times New Roman"/>
          <w:sz w:val="24"/>
          <w:szCs w:val="24"/>
        </w:rPr>
        <w:t xml:space="preserve"> </w:t>
      </w:r>
      <w:r w:rsidRPr="009B25E8">
        <w:rPr>
          <w:rFonts w:ascii="Times New Roman" w:hAnsi="Times New Roman" w:cs="Times New Roman"/>
          <w:i/>
          <w:sz w:val="24"/>
          <w:szCs w:val="24"/>
        </w:rPr>
        <w:t>Journal of Financial Economics</w:t>
      </w:r>
      <w:r w:rsidRPr="009B25E8">
        <w:rPr>
          <w:rFonts w:ascii="Times New Roman" w:hAnsi="Times New Roman" w:cs="Times New Roman"/>
          <w:sz w:val="24"/>
          <w:szCs w:val="24"/>
        </w:rPr>
        <w:t xml:space="preserve"> 103, 588–610.</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Pr="00A771CC"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r w:rsidRPr="00A771CC">
        <w:rPr>
          <w:rFonts w:ascii="Times New Roman" w:hAnsi="Times New Roman" w:cs="Times New Roman"/>
          <w:sz w:val="24"/>
          <w:szCs w:val="24"/>
        </w:rPr>
        <w:t>Coles, J</w:t>
      </w:r>
      <w:r w:rsidR="005E2FEA">
        <w:rPr>
          <w:rFonts w:ascii="Times New Roman" w:hAnsi="Times New Roman" w:cs="Times New Roman"/>
          <w:sz w:val="24"/>
          <w:szCs w:val="24"/>
        </w:rPr>
        <w:t>.</w:t>
      </w:r>
      <w:r w:rsidRPr="00A771CC">
        <w:rPr>
          <w:rFonts w:ascii="Times New Roman" w:hAnsi="Times New Roman" w:cs="Times New Roman"/>
          <w:sz w:val="24"/>
          <w:szCs w:val="24"/>
        </w:rPr>
        <w:t xml:space="preserve">L., </w:t>
      </w:r>
      <w:r w:rsidR="00CE6B33">
        <w:rPr>
          <w:rFonts w:ascii="Times New Roman" w:hAnsi="Times New Roman" w:cs="Times New Roman"/>
          <w:sz w:val="24"/>
          <w:szCs w:val="24"/>
        </w:rPr>
        <w:t>N</w:t>
      </w:r>
      <w:r w:rsidR="005E2FEA">
        <w:rPr>
          <w:rFonts w:ascii="Times New Roman" w:hAnsi="Times New Roman" w:cs="Times New Roman"/>
          <w:sz w:val="24"/>
          <w:szCs w:val="24"/>
        </w:rPr>
        <w:t xml:space="preserve">.D. </w:t>
      </w:r>
      <w:r w:rsidR="00CE6B33">
        <w:rPr>
          <w:rFonts w:ascii="Times New Roman" w:hAnsi="Times New Roman" w:cs="Times New Roman"/>
          <w:sz w:val="24"/>
          <w:szCs w:val="24"/>
        </w:rPr>
        <w:t>Daniel</w:t>
      </w:r>
      <w:r w:rsidRPr="00A771CC">
        <w:rPr>
          <w:rFonts w:ascii="Times New Roman" w:hAnsi="Times New Roman" w:cs="Times New Roman"/>
          <w:sz w:val="24"/>
          <w:szCs w:val="24"/>
        </w:rPr>
        <w:t>, and L</w:t>
      </w:r>
      <w:r w:rsidR="005E2FEA">
        <w:rPr>
          <w:rFonts w:ascii="Times New Roman" w:hAnsi="Times New Roman" w:cs="Times New Roman"/>
          <w:sz w:val="24"/>
          <w:szCs w:val="24"/>
        </w:rPr>
        <w:t>.</w:t>
      </w:r>
      <w:r w:rsidRPr="00A771CC">
        <w:rPr>
          <w:rFonts w:ascii="Times New Roman" w:hAnsi="Times New Roman" w:cs="Times New Roman"/>
          <w:sz w:val="24"/>
          <w:szCs w:val="24"/>
        </w:rPr>
        <w:t xml:space="preserve"> Naveen, 2006, Managerial incentives and risk-taking, </w:t>
      </w:r>
      <w:r w:rsidRPr="00A771CC">
        <w:rPr>
          <w:rFonts w:ascii="Times New Roman" w:hAnsi="Times New Roman" w:cs="Times New Roman"/>
          <w:i/>
          <w:sz w:val="24"/>
          <w:szCs w:val="24"/>
        </w:rPr>
        <w:t>Journal of Financial Economics</w:t>
      </w:r>
      <w:r w:rsidRPr="00A771CC">
        <w:rPr>
          <w:rFonts w:ascii="Times New Roman" w:hAnsi="Times New Roman" w:cs="Times New Roman"/>
          <w:sz w:val="24"/>
          <w:szCs w:val="24"/>
        </w:rPr>
        <w:t xml:space="preserve"> </w:t>
      </w:r>
      <w:r>
        <w:rPr>
          <w:rFonts w:ascii="Times New Roman" w:hAnsi="Times New Roman" w:cs="Times New Roman"/>
          <w:sz w:val="24"/>
          <w:szCs w:val="24"/>
        </w:rPr>
        <w:t>79</w:t>
      </w:r>
      <w:r w:rsidRPr="00A771CC">
        <w:rPr>
          <w:rFonts w:ascii="Times New Roman" w:hAnsi="Times New Roman" w:cs="Times New Roman"/>
          <w:sz w:val="24"/>
          <w:szCs w:val="24"/>
        </w:rPr>
        <w:t>, 431-468</w:t>
      </w:r>
    </w:p>
    <w:p w:rsidR="00FB12DA" w:rsidRDefault="00FB12DA"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r w:rsidRPr="00A771CC">
        <w:rPr>
          <w:rFonts w:ascii="Times New Roman" w:hAnsi="Times New Roman" w:cs="Times New Roman"/>
          <w:sz w:val="24"/>
          <w:szCs w:val="24"/>
        </w:rPr>
        <w:t xml:space="preserve">Core, J., and W. </w:t>
      </w:r>
      <w:proofErr w:type="spellStart"/>
      <w:r w:rsidRPr="00A771CC">
        <w:rPr>
          <w:rFonts w:ascii="Times New Roman" w:hAnsi="Times New Roman" w:cs="Times New Roman"/>
          <w:sz w:val="24"/>
          <w:szCs w:val="24"/>
        </w:rPr>
        <w:t>Guay</w:t>
      </w:r>
      <w:proofErr w:type="spellEnd"/>
      <w:r w:rsidRPr="00A771CC">
        <w:rPr>
          <w:rFonts w:ascii="Times New Roman" w:hAnsi="Times New Roman" w:cs="Times New Roman"/>
          <w:sz w:val="24"/>
          <w:szCs w:val="24"/>
        </w:rPr>
        <w:t xml:space="preserve">, 2002, </w:t>
      </w:r>
      <w:proofErr w:type="gramStart"/>
      <w:r w:rsidRPr="00A771CC">
        <w:rPr>
          <w:rFonts w:ascii="Times New Roman" w:hAnsi="Times New Roman" w:cs="Times New Roman"/>
          <w:sz w:val="24"/>
          <w:szCs w:val="24"/>
        </w:rPr>
        <w:t>Estimating</w:t>
      </w:r>
      <w:proofErr w:type="gramEnd"/>
      <w:r w:rsidRPr="00A771CC">
        <w:rPr>
          <w:rFonts w:ascii="Times New Roman" w:hAnsi="Times New Roman" w:cs="Times New Roman"/>
          <w:sz w:val="24"/>
          <w:szCs w:val="24"/>
        </w:rPr>
        <w:t xml:space="preserve"> the value of employee stock option portfolios and their sensitivities to price and volatility, </w:t>
      </w:r>
      <w:r w:rsidRPr="00A771CC">
        <w:rPr>
          <w:rFonts w:ascii="Times New Roman" w:hAnsi="Times New Roman" w:cs="Times New Roman"/>
          <w:i/>
          <w:sz w:val="24"/>
          <w:szCs w:val="24"/>
        </w:rPr>
        <w:t>Journal of Accounting Research</w:t>
      </w:r>
      <w:r w:rsidRPr="00A771CC">
        <w:rPr>
          <w:rFonts w:ascii="Times New Roman" w:hAnsi="Times New Roman" w:cs="Times New Roman"/>
          <w:sz w:val="24"/>
          <w:szCs w:val="24"/>
        </w:rPr>
        <w:t xml:space="preserve"> 40, 613-630.</w:t>
      </w:r>
    </w:p>
    <w:p w:rsidR="00FB12DA" w:rsidRDefault="00FB12DA" w:rsidP="00FB12DA">
      <w:pPr>
        <w:spacing w:after="0" w:line="240" w:lineRule="auto"/>
        <w:ind w:left="360" w:hanging="360"/>
        <w:jc w:val="both"/>
        <w:rPr>
          <w:rFonts w:ascii="Times New Roman" w:hAnsi="Times New Roman" w:cs="Times New Roman"/>
          <w:sz w:val="24"/>
          <w:szCs w:val="24"/>
        </w:rPr>
      </w:pPr>
    </w:p>
    <w:p w:rsidR="0052521A" w:rsidRDefault="0052521A" w:rsidP="00FB12DA">
      <w:p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Cragg</w:t>
      </w:r>
      <w:proofErr w:type="spellEnd"/>
      <w:r>
        <w:rPr>
          <w:rFonts w:ascii="Times New Roman" w:hAnsi="Times New Roman" w:cs="Times New Roman"/>
          <w:sz w:val="24"/>
          <w:szCs w:val="24"/>
        </w:rPr>
        <w:t>, J.G., and S.G. Donald, 1993,</w:t>
      </w:r>
      <w:r w:rsidRPr="00C16288">
        <w:rPr>
          <w:rFonts w:ascii="Times New Roman" w:hAnsi="Times New Roman" w:cs="Times New Roman"/>
          <w:sz w:val="24"/>
          <w:szCs w:val="24"/>
        </w:rPr>
        <w:t xml:space="preserve"> Testing </w:t>
      </w:r>
      <w:proofErr w:type="spellStart"/>
      <w:r w:rsidRPr="00C16288">
        <w:rPr>
          <w:rFonts w:ascii="Times New Roman" w:hAnsi="Times New Roman" w:cs="Times New Roman"/>
          <w:sz w:val="24"/>
          <w:szCs w:val="24"/>
        </w:rPr>
        <w:t>identiﬁability</w:t>
      </w:r>
      <w:proofErr w:type="spellEnd"/>
      <w:r w:rsidRPr="00C16288">
        <w:rPr>
          <w:rFonts w:ascii="Times New Roman" w:hAnsi="Times New Roman" w:cs="Times New Roman"/>
          <w:sz w:val="24"/>
          <w:szCs w:val="24"/>
        </w:rPr>
        <w:t xml:space="preserve"> and speciﬁcation i</w:t>
      </w:r>
      <w:r>
        <w:rPr>
          <w:rFonts w:ascii="Times New Roman" w:hAnsi="Times New Roman" w:cs="Times New Roman"/>
          <w:sz w:val="24"/>
          <w:szCs w:val="24"/>
        </w:rPr>
        <w:t xml:space="preserve">n instrumental variables models, </w:t>
      </w:r>
      <w:r w:rsidRPr="00BA2AFC">
        <w:rPr>
          <w:rFonts w:ascii="Times New Roman" w:hAnsi="Times New Roman" w:cs="Times New Roman"/>
          <w:i/>
          <w:sz w:val="24"/>
          <w:szCs w:val="24"/>
        </w:rPr>
        <w:t>Econometric Theory</w:t>
      </w:r>
      <w:r>
        <w:rPr>
          <w:rFonts w:ascii="Times New Roman" w:hAnsi="Times New Roman" w:cs="Times New Roman"/>
          <w:sz w:val="24"/>
          <w:szCs w:val="24"/>
        </w:rPr>
        <w:t xml:space="preserve"> 9,</w:t>
      </w:r>
      <w:r w:rsidRPr="00C16288">
        <w:rPr>
          <w:rFonts w:ascii="Times New Roman" w:hAnsi="Times New Roman" w:cs="Times New Roman"/>
          <w:sz w:val="24"/>
          <w:szCs w:val="24"/>
        </w:rPr>
        <w:t xml:space="preserve"> 222–240.</w:t>
      </w:r>
    </w:p>
    <w:p w:rsidR="001A7C27" w:rsidRDefault="001A7C27"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proofErr w:type="spellStart"/>
      <w:r w:rsidRPr="00C870C1">
        <w:rPr>
          <w:rFonts w:ascii="Times New Roman" w:hAnsi="Times New Roman" w:cs="Times New Roman"/>
          <w:sz w:val="24"/>
          <w:szCs w:val="24"/>
        </w:rPr>
        <w:t>Crosbie</w:t>
      </w:r>
      <w:proofErr w:type="spellEnd"/>
      <w:r w:rsidRPr="00C870C1">
        <w:rPr>
          <w:rFonts w:ascii="Times New Roman" w:hAnsi="Times New Roman" w:cs="Times New Roman"/>
          <w:sz w:val="24"/>
          <w:szCs w:val="24"/>
        </w:rPr>
        <w:t>, P</w:t>
      </w:r>
      <w:r w:rsidR="005E2FEA">
        <w:rPr>
          <w:rFonts w:ascii="Times New Roman" w:hAnsi="Times New Roman" w:cs="Times New Roman"/>
          <w:sz w:val="24"/>
          <w:szCs w:val="24"/>
        </w:rPr>
        <w:t>.</w:t>
      </w:r>
      <w:r w:rsidRPr="00C870C1">
        <w:rPr>
          <w:rFonts w:ascii="Times New Roman" w:hAnsi="Times New Roman" w:cs="Times New Roman"/>
          <w:sz w:val="24"/>
          <w:szCs w:val="24"/>
        </w:rPr>
        <w:t>J., and J</w:t>
      </w:r>
      <w:r w:rsidR="005E2FEA">
        <w:rPr>
          <w:rFonts w:ascii="Times New Roman" w:hAnsi="Times New Roman" w:cs="Times New Roman"/>
          <w:sz w:val="24"/>
          <w:szCs w:val="24"/>
        </w:rPr>
        <w:t>.</w:t>
      </w:r>
      <w:r w:rsidRPr="00C870C1">
        <w:rPr>
          <w:rFonts w:ascii="Times New Roman" w:hAnsi="Times New Roman" w:cs="Times New Roman"/>
          <w:sz w:val="24"/>
          <w:szCs w:val="24"/>
        </w:rPr>
        <w:t xml:space="preserve">R. Bohn, 2002, </w:t>
      </w:r>
      <w:proofErr w:type="gramStart"/>
      <w:r w:rsidRPr="00C870C1">
        <w:rPr>
          <w:rFonts w:ascii="Times New Roman" w:hAnsi="Times New Roman" w:cs="Times New Roman"/>
          <w:sz w:val="24"/>
          <w:szCs w:val="24"/>
        </w:rPr>
        <w:t>Modeling</w:t>
      </w:r>
      <w:proofErr w:type="gramEnd"/>
      <w:r w:rsidRPr="00C870C1">
        <w:rPr>
          <w:rFonts w:ascii="Times New Roman" w:hAnsi="Times New Roman" w:cs="Times New Roman"/>
          <w:sz w:val="24"/>
          <w:szCs w:val="24"/>
        </w:rPr>
        <w:t xml:space="preserve"> default risk, KMV LLC.</w:t>
      </w:r>
    </w:p>
    <w:p w:rsidR="00FB12DA" w:rsidRDefault="00FB12DA" w:rsidP="00FB12DA">
      <w:pPr>
        <w:autoSpaceDE w:val="0"/>
        <w:autoSpaceDN w:val="0"/>
        <w:adjustRightInd w:val="0"/>
        <w:spacing w:after="0" w:line="240" w:lineRule="auto"/>
        <w:ind w:left="360" w:hanging="360"/>
        <w:jc w:val="both"/>
        <w:rPr>
          <w:rFonts w:ascii="Times New Roman" w:eastAsiaTheme="minorHAnsi" w:hAnsi="Times New Roman" w:cs="Times New Roman"/>
          <w:sz w:val="24"/>
          <w:szCs w:val="24"/>
        </w:rPr>
      </w:pPr>
    </w:p>
    <w:p w:rsidR="008D4752" w:rsidRPr="00A8227E" w:rsidRDefault="008D4752" w:rsidP="00FB12DA">
      <w:pPr>
        <w:autoSpaceDE w:val="0"/>
        <w:autoSpaceDN w:val="0"/>
        <w:adjustRightInd w:val="0"/>
        <w:spacing w:after="0" w:line="240" w:lineRule="auto"/>
        <w:ind w:left="360" w:hanging="360"/>
        <w:jc w:val="both"/>
        <w:rPr>
          <w:rFonts w:ascii="Times New Roman" w:eastAsiaTheme="minorHAnsi" w:hAnsi="Times New Roman" w:cs="Times New Roman"/>
          <w:i/>
          <w:iCs/>
          <w:sz w:val="24"/>
          <w:szCs w:val="24"/>
        </w:rPr>
      </w:pPr>
      <w:proofErr w:type="spellStart"/>
      <w:r>
        <w:rPr>
          <w:rFonts w:ascii="Times New Roman" w:eastAsiaTheme="minorHAnsi" w:hAnsi="Times New Roman" w:cs="Times New Roman"/>
          <w:sz w:val="24"/>
          <w:szCs w:val="24"/>
        </w:rPr>
        <w:t>Easterh</w:t>
      </w:r>
      <w:r w:rsidRPr="001D00C9">
        <w:rPr>
          <w:rFonts w:ascii="Times New Roman" w:eastAsiaTheme="minorHAnsi" w:hAnsi="Times New Roman" w:cs="Times New Roman"/>
          <w:sz w:val="24"/>
          <w:szCs w:val="24"/>
        </w:rPr>
        <w:t>ook</w:t>
      </w:r>
      <w:proofErr w:type="spellEnd"/>
      <w:r w:rsidRPr="001D00C9">
        <w:rPr>
          <w:rFonts w:ascii="Times New Roman" w:eastAsiaTheme="minorHAnsi" w:hAnsi="Times New Roman" w:cs="Times New Roman"/>
          <w:sz w:val="24"/>
          <w:szCs w:val="24"/>
        </w:rPr>
        <w:t>, F</w:t>
      </w:r>
      <w:r w:rsidR="005E2FEA">
        <w:rPr>
          <w:rFonts w:ascii="Times New Roman" w:eastAsiaTheme="minorHAnsi" w:hAnsi="Times New Roman" w:cs="Times New Roman"/>
          <w:sz w:val="24"/>
          <w:szCs w:val="24"/>
        </w:rPr>
        <w:t>.</w:t>
      </w:r>
      <w:r w:rsidRPr="001D00C9">
        <w:rPr>
          <w:rFonts w:ascii="Times New Roman" w:eastAsiaTheme="minorHAnsi" w:hAnsi="Times New Roman" w:cs="Times New Roman"/>
          <w:sz w:val="24"/>
          <w:szCs w:val="24"/>
        </w:rPr>
        <w:t xml:space="preserve">, 1984, Two agency-cost explanations of dividends, </w:t>
      </w:r>
      <w:r>
        <w:rPr>
          <w:rFonts w:ascii="Times New Roman" w:eastAsiaTheme="minorHAnsi" w:hAnsi="Times New Roman" w:cs="Times New Roman"/>
          <w:i/>
          <w:iCs/>
          <w:sz w:val="24"/>
          <w:szCs w:val="24"/>
        </w:rPr>
        <w:t xml:space="preserve">American Economic Review </w:t>
      </w:r>
      <w:r>
        <w:rPr>
          <w:rFonts w:ascii="Times New Roman" w:eastAsiaTheme="minorHAnsi" w:hAnsi="Times New Roman" w:cs="Times New Roman"/>
          <w:sz w:val="24"/>
          <w:szCs w:val="24"/>
        </w:rPr>
        <w:t>74, 650-659.</w:t>
      </w:r>
    </w:p>
    <w:p w:rsidR="00FB12DA" w:rsidRDefault="00FB12DA" w:rsidP="00FB12DA">
      <w:pPr>
        <w:spacing w:after="0" w:line="240" w:lineRule="auto"/>
        <w:ind w:left="360" w:hanging="360"/>
        <w:jc w:val="both"/>
        <w:rPr>
          <w:rFonts w:ascii="Times New Roman" w:hAnsi="Times New Roman" w:cs="Times New Roman"/>
          <w:sz w:val="24"/>
          <w:szCs w:val="24"/>
        </w:rPr>
      </w:pPr>
    </w:p>
    <w:p w:rsidR="003742ED" w:rsidRDefault="003742ED" w:rsidP="00FB12DA">
      <w:p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Edmans</w:t>
      </w:r>
      <w:proofErr w:type="spellEnd"/>
      <w:r>
        <w:rPr>
          <w:rFonts w:ascii="Times New Roman" w:hAnsi="Times New Roman" w:cs="Times New Roman"/>
          <w:sz w:val="24"/>
          <w:szCs w:val="24"/>
        </w:rPr>
        <w:t xml:space="preserve">, A., and Q. Liu, 2011, </w:t>
      </w:r>
      <w:proofErr w:type="gramStart"/>
      <w:r>
        <w:rPr>
          <w:rFonts w:ascii="Times New Roman" w:hAnsi="Times New Roman" w:cs="Times New Roman"/>
          <w:sz w:val="24"/>
          <w:szCs w:val="24"/>
        </w:rPr>
        <w:t>Inside</w:t>
      </w:r>
      <w:proofErr w:type="gramEnd"/>
      <w:r>
        <w:rPr>
          <w:rFonts w:ascii="Times New Roman" w:hAnsi="Times New Roman" w:cs="Times New Roman"/>
          <w:sz w:val="24"/>
          <w:szCs w:val="24"/>
        </w:rPr>
        <w:t xml:space="preserve"> debt</w:t>
      </w:r>
      <w:r>
        <w:rPr>
          <w:rFonts w:ascii="Times New Roman" w:hAnsi="Times New Roman" w:cs="Times New Roman"/>
          <w:i/>
          <w:sz w:val="24"/>
          <w:szCs w:val="24"/>
        </w:rPr>
        <w:t>, Review of Finance</w:t>
      </w:r>
      <w:r>
        <w:rPr>
          <w:rFonts w:ascii="Times New Roman" w:hAnsi="Times New Roman" w:cs="Times New Roman"/>
          <w:sz w:val="24"/>
          <w:szCs w:val="24"/>
        </w:rPr>
        <w:t xml:space="preserve"> 15, 75-102.</w:t>
      </w:r>
    </w:p>
    <w:p w:rsidR="003742ED" w:rsidRDefault="003742ED"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proofErr w:type="spellStart"/>
      <w:r w:rsidRPr="001D1663">
        <w:rPr>
          <w:rFonts w:ascii="Times New Roman" w:hAnsi="Times New Roman" w:cs="Times New Roman"/>
          <w:sz w:val="24"/>
          <w:szCs w:val="24"/>
        </w:rPr>
        <w:lastRenderedPageBreak/>
        <w:t>Eisenhardt</w:t>
      </w:r>
      <w:proofErr w:type="spellEnd"/>
      <w:r w:rsidRPr="001D1663">
        <w:rPr>
          <w:rFonts w:ascii="Times New Roman" w:hAnsi="Times New Roman" w:cs="Times New Roman"/>
          <w:sz w:val="24"/>
          <w:szCs w:val="24"/>
        </w:rPr>
        <w:t xml:space="preserve"> K</w:t>
      </w:r>
      <w:r w:rsidR="005E2FEA">
        <w:rPr>
          <w:rFonts w:ascii="Times New Roman" w:hAnsi="Times New Roman" w:cs="Times New Roman"/>
          <w:sz w:val="24"/>
          <w:szCs w:val="24"/>
        </w:rPr>
        <w:t>.</w:t>
      </w:r>
      <w:r w:rsidRPr="001D1663">
        <w:rPr>
          <w:rFonts w:ascii="Times New Roman" w:hAnsi="Times New Roman" w:cs="Times New Roman"/>
          <w:sz w:val="24"/>
          <w:szCs w:val="24"/>
        </w:rPr>
        <w:t>M.</w:t>
      </w:r>
      <w:r w:rsidR="005E2FEA">
        <w:rPr>
          <w:rFonts w:ascii="Times New Roman" w:hAnsi="Times New Roman" w:cs="Times New Roman"/>
          <w:sz w:val="24"/>
          <w:szCs w:val="24"/>
        </w:rPr>
        <w:t>, 1989,</w:t>
      </w:r>
      <w:r w:rsidRPr="001D1663">
        <w:rPr>
          <w:rFonts w:ascii="Times New Roman" w:hAnsi="Times New Roman" w:cs="Times New Roman"/>
          <w:sz w:val="24"/>
          <w:szCs w:val="24"/>
        </w:rPr>
        <w:t xml:space="preserve"> Agency theory: An assessment and review. </w:t>
      </w:r>
      <w:r w:rsidRPr="005E2FEA">
        <w:rPr>
          <w:rFonts w:ascii="Times New Roman" w:hAnsi="Times New Roman" w:cs="Times New Roman"/>
          <w:i/>
          <w:sz w:val="24"/>
          <w:szCs w:val="24"/>
        </w:rPr>
        <w:t>Academy of Management Review</w:t>
      </w:r>
      <w:r w:rsidRPr="001D1663">
        <w:rPr>
          <w:rFonts w:ascii="Times New Roman" w:hAnsi="Times New Roman" w:cs="Times New Roman"/>
          <w:sz w:val="24"/>
          <w:szCs w:val="24"/>
        </w:rPr>
        <w:t xml:space="preserve"> 14</w:t>
      </w:r>
      <w:r w:rsidR="005E2FEA">
        <w:rPr>
          <w:rFonts w:ascii="Times New Roman" w:hAnsi="Times New Roman" w:cs="Times New Roman"/>
          <w:sz w:val="24"/>
          <w:szCs w:val="24"/>
        </w:rPr>
        <w:t>,</w:t>
      </w:r>
      <w:r w:rsidRPr="001D1663">
        <w:rPr>
          <w:rFonts w:ascii="Times New Roman" w:hAnsi="Times New Roman" w:cs="Times New Roman"/>
          <w:sz w:val="24"/>
          <w:szCs w:val="24"/>
        </w:rPr>
        <w:t xml:space="preserve"> 57-74</w:t>
      </w:r>
      <w:r>
        <w:rPr>
          <w:rFonts w:ascii="Times New Roman" w:hAnsi="Times New Roman" w:cs="Times New Roman"/>
          <w:sz w:val="24"/>
          <w:szCs w:val="24"/>
        </w:rPr>
        <w:t>.</w:t>
      </w:r>
    </w:p>
    <w:p w:rsidR="00FB12DA" w:rsidRDefault="00FB12DA" w:rsidP="00FB12DA">
      <w:pPr>
        <w:spacing w:after="0" w:line="240" w:lineRule="auto"/>
        <w:ind w:left="360" w:hanging="360"/>
        <w:jc w:val="both"/>
        <w:rPr>
          <w:rFonts w:ascii="Times New Roman" w:hAnsi="Times New Roman" w:cs="Times New Roman"/>
          <w:sz w:val="24"/>
          <w:szCs w:val="24"/>
        </w:rPr>
      </w:pPr>
    </w:p>
    <w:p w:rsidR="008D4752" w:rsidRDefault="005E2FEA"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Fama</w:t>
      </w:r>
      <w:proofErr w:type="spellEnd"/>
      <w:r>
        <w:rPr>
          <w:rFonts w:ascii="Times New Roman" w:hAnsi="Times New Roman" w:cs="Times New Roman"/>
          <w:sz w:val="24"/>
          <w:szCs w:val="24"/>
        </w:rPr>
        <w:t xml:space="preserve">, E.F., and J. D. </w:t>
      </w:r>
      <w:proofErr w:type="spellStart"/>
      <w:r>
        <w:rPr>
          <w:rFonts w:ascii="Times New Roman" w:hAnsi="Times New Roman" w:cs="Times New Roman"/>
          <w:sz w:val="24"/>
          <w:szCs w:val="24"/>
        </w:rPr>
        <w:t>MacBeth</w:t>
      </w:r>
      <w:proofErr w:type="spellEnd"/>
      <w:r>
        <w:rPr>
          <w:rFonts w:ascii="Times New Roman" w:hAnsi="Times New Roman" w:cs="Times New Roman"/>
          <w:sz w:val="24"/>
          <w:szCs w:val="24"/>
        </w:rPr>
        <w:t>, 1973,</w:t>
      </w:r>
      <w:r w:rsidR="008D4752" w:rsidRPr="00A771CC">
        <w:rPr>
          <w:rFonts w:ascii="Times New Roman" w:hAnsi="Times New Roman" w:cs="Times New Roman"/>
          <w:sz w:val="24"/>
          <w:szCs w:val="24"/>
        </w:rPr>
        <w:t xml:space="preserve"> Risk, return and equilibrium: Empirical tests, </w:t>
      </w:r>
      <w:r w:rsidR="008D4752" w:rsidRPr="00A771CC">
        <w:rPr>
          <w:rFonts w:ascii="Times New Roman" w:hAnsi="Times New Roman" w:cs="Times New Roman"/>
          <w:i/>
          <w:sz w:val="24"/>
          <w:szCs w:val="24"/>
        </w:rPr>
        <w:t>Journal of Political Economy</w:t>
      </w:r>
      <w:r w:rsidR="008D4752" w:rsidRPr="00A771CC">
        <w:rPr>
          <w:rFonts w:ascii="Times New Roman" w:hAnsi="Times New Roman" w:cs="Times New Roman"/>
          <w:sz w:val="24"/>
          <w:szCs w:val="24"/>
        </w:rPr>
        <w:t xml:space="preserve"> 81, 607</w:t>
      </w:r>
      <w:r w:rsidR="008D4752" w:rsidRPr="00590F69">
        <w:rPr>
          <w:rFonts w:ascii="Times New Roman" w:hAnsi="Times New Roman" w:cs="Times New Roman"/>
          <w:sz w:val="24"/>
          <w:szCs w:val="24"/>
        </w:rPr>
        <w:t>–636.</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1D1663">
        <w:rPr>
          <w:rFonts w:ascii="Times New Roman" w:hAnsi="Times New Roman" w:cs="Times New Roman"/>
          <w:sz w:val="24"/>
          <w:szCs w:val="24"/>
        </w:rPr>
        <w:t>Fama</w:t>
      </w:r>
      <w:proofErr w:type="spellEnd"/>
      <w:r w:rsidRPr="001D1663">
        <w:rPr>
          <w:rFonts w:ascii="Times New Roman" w:hAnsi="Times New Roman" w:cs="Times New Roman"/>
          <w:sz w:val="24"/>
          <w:szCs w:val="24"/>
        </w:rPr>
        <w:t xml:space="preserve"> E</w:t>
      </w:r>
      <w:r w:rsidR="005E2FEA">
        <w:rPr>
          <w:rFonts w:ascii="Times New Roman" w:hAnsi="Times New Roman" w:cs="Times New Roman"/>
          <w:sz w:val="24"/>
          <w:szCs w:val="24"/>
        </w:rPr>
        <w:t>.F, 1980,</w:t>
      </w:r>
      <w:r w:rsidRPr="001D1663">
        <w:rPr>
          <w:rFonts w:ascii="Times New Roman" w:hAnsi="Times New Roman" w:cs="Times New Roman"/>
          <w:sz w:val="24"/>
          <w:szCs w:val="24"/>
        </w:rPr>
        <w:t xml:space="preserve"> Agency prob</w:t>
      </w:r>
      <w:r w:rsidR="005E2FEA">
        <w:rPr>
          <w:rFonts w:ascii="Times New Roman" w:hAnsi="Times New Roman" w:cs="Times New Roman"/>
          <w:sz w:val="24"/>
          <w:szCs w:val="24"/>
        </w:rPr>
        <w:t>lems and the theory of the firm,</w:t>
      </w:r>
      <w:r w:rsidRPr="001D1663">
        <w:rPr>
          <w:rFonts w:ascii="Times New Roman" w:hAnsi="Times New Roman" w:cs="Times New Roman"/>
          <w:sz w:val="24"/>
          <w:szCs w:val="24"/>
        </w:rPr>
        <w:t xml:space="preserve"> </w:t>
      </w:r>
      <w:r w:rsidRPr="005E2FEA">
        <w:rPr>
          <w:rFonts w:ascii="Times New Roman" w:hAnsi="Times New Roman" w:cs="Times New Roman"/>
          <w:i/>
          <w:sz w:val="24"/>
          <w:szCs w:val="24"/>
        </w:rPr>
        <w:t>Journal of Political Economy</w:t>
      </w:r>
      <w:r w:rsidRPr="001D1663">
        <w:rPr>
          <w:rFonts w:ascii="Times New Roman" w:hAnsi="Times New Roman" w:cs="Times New Roman"/>
          <w:sz w:val="24"/>
          <w:szCs w:val="24"/>
        </w:rPr>
        <w:t xml:space="preserve"> 88</w:t>
      </w:r>
      <w:r w:rsidR="005E2FEA">
        <w:rPr>
          <w:rFonts w:ascii="Times New Roman" w:hAnsi="Times New Roman" w:cs="Times New Roman"/>
          <w:sz w:val="24"/>
          <w:szCs w:val="24"/>
        </w:rPr>
        <w:t xml:space="preserve">, </w:t>
      </w:r>
      <w:r w:rsidRPr="001D1663">
        <w:rPr>
          <w:rFonts w:ascii="Times New Roman" w:hAnsi="Times New Roman" w:cs="Times New Roman"/>
          <w:sz w:val="24"/>
          <w:szCs w:val="24"/>
        </w:rPr>
        <w:t>288-307</w:t>
      </w:r>
      <w:r>
        <w:rPr>
          <w:rFonts w:ascii="Times New Roman" w:hAnsi="Times New Roman" w:cs="Times New Roman"/>
          <w:sz w:val="24"/>
          <w:szCs w:val="24"/>
        </w:rPr>
        <w:t>.</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8E67FF">
        <w:rPr>
          <w:rFonts w:ascii="Times New Roman" w:hAnsi="Times New Roman" w:cs="Times New Roman"/>
          <w:sz w:val="24"/>
          <w:szCs w:val="24"/>
        </w:rPr>
        <w:t>Fama</w:t>
      </w:r>
      <w:proofErr w:type="spellEnd"/>
      <w:r w:rsidRPr="008E67FF">
        <w:rPr>
          <w:rFonts w:ascii="Times New Roman" w:hAnsi="Times New Roman" w:cs="Times New Roman"/>
          <w:sz w:val="24"/>
          <w:szCs w:val="24"/>
        </w:rPr>
        <w:t>, E.F.</w:t>
      </w:r>
      <w:r w:rsidR="005E2FEA">
        <w:rPr>
          <w:rFonts w:ascii="Times New Roman" w:hAnsi="Times New Roman" w:cs="Times New Roman"/>
          <w:sz w:val="24"/>
          <w:szCs w:val="24"/>
        </w:rPr>
        <w:t xml:space="preserve">, and K.R. French, 1988, </w:t>
      </w:r>
      <w:r w:rsidRPr="008E67FF">
        <w:rPr>
          <w:rFonts w:ascii="Times New Roman" w:hAnsi="Times New Roman" w:cs="Times New Roman"/>
          <w:sz w:val="24"/>
          <w:szCs w:val="24"/>
        </w:rPr>
        <w:t xml:space="preserve">Dividend </w:t>
      </w:r>
      <w:r w:rsidR="005E2FEA">
        <w:rPr>
          <w:rFonts w:ascii="Times New Roman" w:hAnsi="Times New Roman" w:cs="Times New Roman"/>
          <w:sz w:val="24"/>
          <w:szCs w:val="24"/>
        </w:rPr>
        <w:t>y</w:t>
      </w:r>
      <w:r w:rsidRPr="008E67FF">
        <w:rPr>
          <w:rFonts w:ascii="Times New Roman" w:hAnsi="Times New Roman" w:cs="Times New Roman"/>
          <w:sz w:val="24"/>
          <w:szCs w:val="24"/>
        </w:rPr>
        <w:t xml:space="preserve">ields and </w:t>
      </w:r>
      <w:r w:rsidR="005E2FEA">
        <w:rPr>
          <w:rFonts w:ascii="Times New Roman" w:hAnsi="Times New Roman" w:cs="Times New Roman"/>
          <w:sz w:val="24"/>
          <w:szCs w:val="24"/>
        </w:rPr>
        <w:t>e</w:t>
      </w:r>
      <w:r w:rsidRPr="008E67FF">
        <w:rPr>
          <w:rFonts w:ascii="Times New Roman" w:hAnsi="Times New Roman" w:cs="Times New Roman"/>
          <w:sz w:val="24"/>
          <w:szCs w:val="24"/>
        </w:rPr>
        <w:t xml:space="preserve">xpected </w:t>
      </w:r>
      <w:r w:rsidR="005E2FEA">
        <w:rPr>
          <w:rFonts w:ascii="Times New Roman" w:hAnsi="Times New Roman" w:cs="Times New Roman"/>
          <w:sz w:val="24"/>
          <w:szCs w:val="24"/>
        </w:rPr>
        <w:t>s</w:t>
      </w:r>
      <w:r w:rsidRPr="008E67FF">
        <w:rPr>
          <w:rFonts w:ascii="Times New Roman" w:hAnsi="Times New Roman" w:cs="Times New Roman"/>
          <w:sz w:val="24"/>
          <w:szCs w:val="24"/>
        </w:rPr>
        <w:t xml:space="preserve">tock </w:t>
      </w:r>
      <w:r w:rsidR="005E2FEA">
        <w:rPr>
          <w:rFonts w:ascii="Times New Roman" w:hAnsi="Times New Roman" w:cs="Times New Roman"/>
          <w:sz w:val="24"/>
          <w:szCs w:val="24"/>
        </w:rPr>
        <w:t>returns,</w:t>
      </w:r>
      <w:r w:rsidRPr="008E67FF">
        <w:rPr>
          <w:rFonts w:ascii="Times New Roman" w:hAnsi="Times New Roman" w:cs="Times New Roman"/>
          <w:sz w:val="24"/>
          <w:szCs w:val="24"/>
        </w:rPr>
        <w:t xml:space="preserve"> </w:t>
      </w:r>
      <w:r w:rsidRPr="005E2FEA">
        <w:rPr>
          <w:rFonts w:ascii="Times New Roman" w:hAnsi="Times New Roman" w:cs="Times New Roman"/>
          <w:i/>
          <w:sz w:val="24"/>
          <w:szCs w:val="24"/>
        </w:rPr>
        <w:t>Journal of Financial Economics</w:t>
      </w:r>
      <w:r w:rsidRPr="008E67FF">
        <w:rPr>
          <w:rFonts w:ascii="Times New Roman" w:hAnsi="Times New Roman" w:cs="Times New Roman"/>
          <w:sz w:val="24"/>
          <w:szCs w:val="24"/>
        </w:rPr>
        <w:t xml:space="preserve"> 22, 3-26.</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5E2FEA"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Fenn</w:t>
      </w:r>
      <w:proofErr w:type="spellEnd"/>
      <w:r>
        <w:rPr>
          <w:rFonts w:ascii="Times New Roman" w:hAnsi="Times New Roman" w:cs="Times New Roman"/>
          <w:sz w:val="24"/>
          <w:szCs w:val="24"/>
        </w:rPr>
        <w:t xml:space="preserve">, G.W., and N. Liang, 2001, </w:t>
      </w:r>
      <w:proofErr w:type="gramStart"/>
      <w:r w:rsidR="008D4752" w:rsidRPr="00961AC7">
        <w:rPr>
          <w:rFonts w:ascii="Times New Roman" w:hAnsi="Times New Roman" w:cs="Times New Roman"/>
          <w:sz w:val="24"/>
          <w:szCs w:val="24"/>
        </w:rPr>
        <w:t>Corporate</w:t>
      </w:r>
      <w:proofErr w:type="gramEnd"/>
      <w:r w:rsidR="008D4752" w:rsidRPr="00961AC7">
        <w:rPr>
          <w:rFonts w:ascii="Times New Roman" w:hAnsi="Times New Roman" w:cs="Times New Roman"/>
          <w:sz w:val="24"/>
          <w:szCs w:val="24"/>
        </w:rPr>
        <w:t xml:space="preserve"> payout policy a</w:t>
      </w:r>
      <w:r>
        <w:rPr>
          <w:rFonts w:ascii="Times New Roman" w:hAnsi="Times New Roman" w:cs="Times New Roman"/>
          <w:sz w:val="24"/>
          <w:szCs w:val="24"/>
        </w:rPr>
        <w:t xml:space="preserve">nd managerial stock incentives, </w:t>
      </w:r>
      <w:r w:rsidR="008D4752" w:rsidRPr="005E2FEA">
        <w:rPr>
          <w:rFonts w:ascii="Times New Roman" w:hAnsi="Times New Roman" w:cs="Times New Roman"/>
          <w:i/>
          <w:sz w:val="24"/>
          <w:szCs w:val="24"/>
        </w:rPr>
        <w:t>Journal of Financial Economics</w:t>
      </w:r>
      <w:r w:rsidR="008D4752" w:rsidRPr="00961AC7">
        <w:rPr>
          <w:rFonts w:ascii="Times New Roman" w:hAnsi="Times New Roman" w:cs="Times New Roman"/>
          <w:sz w:val="24"/>
          <w:szCs w:val="24"/>
        </w:rPr>
        <w:t xml:space="preserve"> 60</w:t>
      </w:r>
      <w:r>
        <w:rPr>
          <w:rFonts w:ascii="Times New Roman" w:hAnsi="Times New Roman" w:cs="Times New Roman"/>
          <w:sz w:val="24"/>
          <w:szCs w:val="24"/>
        </w:rPr>
        <w:t xml:space="preserve">, </w:t>
      </w:r>
      <w:r w:rsidR="008D4752" w:rsidRPr="00961AC7">
        <w:rPr>
          <w:rFonts w:ascii="Times New Roman" w:hAnsi="Times New Roman" w:cs="Times New Roman"/>
          <w:sz w:val="24"/>
          <w:szCs w:val="24"/>
        </w:rPr>
        <w:t>45–72.</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B801B3">
        <w:rPr>
          <w:rFonts w:ascii="Times New Roman" w:hAnsi="Times New Roman" w:cs="Times New Roman"/>
          <w:sz w:val="24"/>
          <w:szCs w:val="24"/>
        </w:rPr>
        <w:t>Fluck</w:t>
      </w:r>
      <w:proofErr w:type="spellEnd"/>
      <w:r w:rsidRPr="00B801B3">
        <w:rPr>
          <w:rFonts w:ascii="Times New Roman" w:hAnsi="Times New Roman" w:cs="Times New Roman"/>
          <w:sz w:val="24"/>
          <w:szCs w:val="24"/>
        </w:rPr>
        <w:t>, S</w:t>
      </w:r>
      <w:r w:rsidR="005E2FEA">
        <w:rPr>
          <w:rFonts w:ascii="Times New Roman" w:hAnsi="Times New Roman" w:cs="Times New Roman"/>
          <w:sz w:val="24"/>
          <w:szCs w:val="24"/>
        </w:rPr>
        <w:t>.</w:t>
      </w:r>
      <w:r w:rsidRPr="00B801B3">
        <w:rPr>
          <w:rFonts w:ascii="Times New Roman" w:hAnsi="Times New Roman" w:cs="Times New Roman"/>
          <w:sz w:val="24"/>
          <w:szCs w:val="24"/>
        </w:rPr>
        <w:t xml:space="preserve">, </w:t>
      </w:r>
      <w:r w:rsidR="005E2FEA">
        <w:rPr>
          <w:rFonts w:ascii="Times New Roman" w:hAnsi="Times New Roman" w:cs="Times New Roman"/>
          <w:sz w:val="24"/>
          <w:szCs w:val="24"/>
        </w:rPr>
        <w:t xml:space="preserve">1998, </w:t>
      </w:r>
      <w:proofErr w:type="gramStart"/>
      <w:r w:rsidRPr="00B801B3">
        <w:rPr>
          <w:rFonts w:ascii="Times New Roman" w:hAnsi="Times New Roman" w:cs="Times New Roman"/>
          <w:sz w:val="24"/>
          <w:szCs w:val="24"/>
        </w:rPr>
        <w:t>Optimal</w:t>
      </w:r>
      <w:proofErr w:type="gramEnd"/>
      <w:r w:rsidRPr="00B801B3">
        <w:rPr>
          <w:rFonts w:ascii="Times New Roman" w:hAnsi="Times New Roman" w:cs="Times New Roman"/>
          <w:sz w:val="24"/>
          <w:szCs w:val="24"/>
        </w:rPr>
        <w:t xml:space="preserve"> </w:t>
      </w:r>
      <w:r w:rsidR="005E2FEA">
        <w:rPr>
          <w:rFonts w:ascii="Times New Roman" w:hAnsi="Times New Roman" w:cs="Times New Roman"/>
          <w:sz w:val="24"/>
          <w:szCs w:val="24"/>
        </w:rPr>
        <w:t>f</w:t>
      </w:r>
      <w:r w:rsidRPr="00B801B3">
        <w:rPr>
          <w:rFonts w:ascii="Times New Roman" w:hAnsi="Times New Roman" w:cs="Times New Roman"/>
          <w:sz w:val="24"/>
          <w:szCs w:val="24"/>
        </w:rPr>
        <w:t xml:space="preserve">inancial </w:t>
      </w:r>
      <w:r w:rsidR="005E2FEA">
        <w:rPr>
          <w:rFonts w:ascii="Times New Roman" w:hAnsi="Times New Roman" w:cs="Times New Roman"/>
          <w:sz w:val="24"/>
          <w:szCs w:val="24"/>
        </w:rPr>
        <w:t>c</w:t>
      </w:r>
      <w:r w:rsidRPr="00B801B3">
        <w:rPr>
          <w:rFonts w:ascii="Times New Roman" w:hAnsi="Times New Roman" w:cs="Times New Roman"/>
          <w:sz w:val="24"/>
          <w:szCs w:val="24"/>
        </w:rPr>
        <w:t xml:space="preserve">ontracting: Debt versus </w:t>
      </w:r>
      <w:r w:rsidR="005E2FEA">
        <w:rPr>
          <w:rFonts w:ascii="Times New Roman" w:hAnsi="Times New Roman" w:cs="Times New Roman"/>
          <w:sz w:val="24"/>
          <w:szCs w:val="24"/>
        </w:rPr>
        <w:t>o</w:t>
      </w:r>
      <w:r w:rsidRPr="00B801B3">
        <w:rPr>
          <w:rFonts w:ascii="Times New Roman" w:hAnsi="Times New Roman" w:cs="Times New Roman"/>
          <w:sz w:val="24"/>
          <w:szCs w:val="24"/>
        </w:rPr>
        <w:t xml:space="preserve">utside </w:t>
      </w:r>
      <w:r w:rsidR="005E2FEA">
        <w:rPr>
          <w:rFonts w:ascii="Times New Roman" w:hAnsi="Times New Roman" w:cs="Times New Roman"/>
          <w:sz w:val="24"/>
          <w:szCs w:val="24"/>
        </w:rPr>
        <w:t>equity</w:t>
      </w:r>
      <w:r w:rsidRPr="00B801B3">
        <w:rPr>
          <w:rFonts w:ascii="Times New Roman" w:hAnsi="Times New Roman" w:cs="Times New Roman"/>
          <w:sz w:val="24"/>
          <w:szCs w:val="24"/>
        </w:rPr>
        <w:t xml:space="preserve">, </w:t>
      </w:r>
      <w:r w:rsidRPr="005E2FEA">
        <w:rPr>
          <w:rFonts w:ascii="Times New Roman" w:hAnsi="Times New Roman" w:cs="Times New Roman"/>
          <w:i/>
          <w:sz w:val="24"/>
          <w:szCs w:val="24"/>
        </w:rPr>
        <w:t>Review of Financial Studies</w:t>
      </w:r>
      <w:r w:rsidRPr="00B801B3">
        <w:rPr>
          <w:rFonts w:ascii="Times New Roman" w:hAnsi="Times New Roman" w:cs="Times New Roman"/>
          <w:sz w:val="24"/>
          <w:szCs w:val="24"/>
        </w:rPr>
        <w:t xml:space="preserve"> 11, 383-418.</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Fonts w:ascii="Times New Roman" w:eastAsiaTheme="minorHAnsi" w:hAnsi="Times New Roman" w:cs="Times New Roman"/>
          <w:sz w:val="24"/>
          <w:szCs w:val="24"/>
        </w:rPr>
      </w:pPr>
      <w:proofErr w:type="spellStart"/>
      <w:r w:rsidRPr="00C23941">
        <w:rPr>
          <w:rFonts w:ascii="Times New Roman" w:eastAsiaTheme="minorHAnsi" w:hAnsi="Times New Roman" w:cs="Times New Roman"/>
          <w:iCs/>
          <w:sz w:val="24"/>
          <w:szCs w:val="24"/>
        </w:rPr>
        <w:t>Guay</w:t>
      </w:r>
      <w:proofErr w:type="spellEnd"/>
      <w:r w:rsidRPr="00C23941">
        <w:rPr>
          <w:rFonts w:ascii="Times New Roman" w:eastAsiaTheme="minorHAnsi" w:hAnsi="Times New Roman" w:cs="Times New Roman"/>
          <w:iCs/>
          <w:sz w:val="24"/>
          <w:szCs w:val="24"/>
        </w:rPr>
        <w:t>, W</w:t>
      </w:r>
      <w:r w:rsidRPr="00C23941">
        <w:rPr>
          <w:rFonts w:ascii="Times New Roman" w:eastAsiaTheme="minorHAnsi" w:hAnsi="Times New Roman" w:cs="Times New Roman"/>
          <w:sz w:val="24"/>
          <w:szCs w:val="24"/>
        </w:rPr>
        <w:t>., 1</w:t>
      </w:r>
      <w:r>
        <w:rPr>
          <w:rFonts w:ascii="Times New Roman" w:eastAsiaTheme="minorHAnsi" w:hAnsi="Times New Roman" w:cs="Times New Roman"/>
          <w:sz w:val="24"/>
          <w:szCs w:val="24"/>
        </w:rPr>
        <w:t xml:space="preserve">999, </w:t>
      </w:r>
      <w:proofErr w:type="gramStart"/>
      <w:r w:rsidRPr="001D00C9">
        <w:rPr>
          <w:rFonts w:ascii="Times New Roman" w:eastAsiaTheme="minorHAnsi" w:hAnsi="Times New Roman" w:cs="Times New Roman"/>
          <w:sz w:val="24"/>
          <w:szCs w:val="24"/>
        </w:rPr>
        <w:t>The</w:t>
      </w:r>
      <w:proofErr w:type="gramEnd"/>
      <w:r w:rsidRPr="001D00C9">
        <w:rPr>
          <w:rFonts w:ascii="Times New Roman" w:eastAsiaTheme="minorHAnsi" w:hAnsi="Times New Roman" w:cs="Times New Roman"/>
          <w:sz w:val="24"/>
          <w:szCs w:val="24"/>
        </w:rPr>
        <w:t xml:space="preserve"> </w:t>
      </w:r>
      <w:r w:rsidR="00BA2AFC">
        <w:rPr>
          <w:rFonts w:ascii="Times New Roman" w:eastAsiaTheme="minorHAnsi" w:hAnsi="Times New Roman" w:cs="Times New Roman"/>
          <w:sz w:val="24"/>
          <w:szCs w:val="24"/>
        </w:rPr>
        <w:t>s</w:t>
      </w:r>
      <w:r w:rsidRPr="001D00C9">
        <w:rPr>
          <w:rFonts w:ascii="Times New Roman" w:eastAsiaTheme="minorHAnsi" w:hAnsi="Times New Roman" w:cs="Times New Roman"/>
          <w:sz w:val="24"/>
          <w:szCs w:val="24"/>
        </w:rPr>
        <w:t xml:space="preserve">ensitivity of CEO </w:t>
      </w:r>
      <w:r w:rsidR="00BA2AFC">
        <w:rPr>
          <w:rFonts w:ascii="Times New Roman" w:eastAsiaTheme="minorHAnsi" w:hAnsi="Times New Roman" w:cs="Times New Roman"/>
          <w:sz w:val="24"/>
          <w:szCs w:val="24"/>
        </w:rPr>
        <w:t>w</w:t>
      </w:r>
      <w:r w:rsidRPr="001D00C9">
        <w:rPr>
          <w:rFonts w:ascii="Times New Roman" w:eastAsiaTheme="minorHAnsi" w:hAnsi="Times New Roman" w:cs="Times New Roman"/>
          <w:sz w:val="24"/>
          <w:szCs w:val="24"/>
        </w:rPr>
        <w:t xml:space="preserve">ealth to </w:t>
      </w:r>
      <w:r w:rsidR="00BA2AFC">
        <w:rPr>
          <w:rFonts w:ascii="Times New Roman" w:eastAsiaTheme="minorHAnsi" w:hAnsi="Times New Roman" w:cs="Times New Roman"/>
          <w:sz w:val="24"/>
          <w:szCs w:val="24"/>
        </w:rPr>
        <w:t>e</w:t>
      </w:r>
      <w:r w:rsidRPr="001D00C9">
        <w:rPr>
          <w:rFonts w:ascii="Times New Roman" w:eastAsiaTheme="minorHAnsi" w:hAnsi="Times New Roman" w:cs="Times New Roman"/>
          <w:sz w:val="24"/>
          <w:szCs w:val="24"/>
        </w:rPr>
        <w:t xml:space="preserve">quity </w:t>
      </w:r>
      <w:r w:rsidR="00BA2AFC">
        <w:rPr>
          <w:rFonts w:ascii="Times New Roman" w:eastAsiaTheme="minorHAnsi" w:hAnsi="Times New Roman" w:cs="Times New Roman"/>
          <w:sz w:val="24"/>
          <w:szCs w:val="24"/>
        </w:rPr>
        <w:t>r</w:t>
      </w:r>
      <w:r w:rsidRPr="001D00C9">
        <w:rPr>
          <w:rFonts w:ascii="Times New Roman" w:eastAsiaTheme="minorHAnsi" w:hAnsi="Times New Roman" w:cs="Times New Roman"/>
          <w:sz w:val="24"/>
          <w:szCs w:val="24"/>
        </w:rPr>
        <w:t>isk:</w:t>
      </w:r>
      <w:r w:rsidR="00BA2AFC">
        <w:rPr>
          <w:rFonts w:ascii="Times New Roman" w:eastAsiaTheme="minorHAnsi" w:hAnsi="Times New Roman" w:cs="Times New Roman"/>
          <w:sz w:val="24"/>
          <w:szCs w:val="24"/>
        </w:rPr>
        <w:t xml:space="preserve"> </w:t>
      </w:r>
      <w:r w:rsidRPr="001D00C9">
        <w:rPr>
          <w:rFonts w:ascii="Times New Roman" w:eastAsiaTheme="minorHAnsi" w:hAnsi="Times New Roman" w:cs="Times New Roman"/>
          <w:sz w:val="24"/>
          <w:szCs w:val="24"/>
        </w:rPr>
        <w:t xml:space="preserve">An </w:t>
      </w:r>
      <w:r w:rsidR="00BA2AFC">
        <w:rPr>
          <w:rFonts w:ascii="Times New Roman" w:eastAsiaTheme="minorHAnsi" w:hAnsi="Times New Roman" w:cs="Times New Roman"/>
          <w:sz w:val="24"/>
          <w:szCs w:val="24"/>
        </w:rPr>
        <w:t>a</w:t>
      </w:r>
      <w:r w:rsidRPr="001D00C9">
        <w:rPr>
          <w:rFonts w:ascii="Times New Roman" w:eastAsiaTheme="minorHAnsi" w:hAnsi="Times New Roman" w:cs="Times New Roman"/>
          <w:sz w:val="24"/>
          <w:szCs w:val="24"/>
        </w:rPr>
        <w:t xml:space="preserve">nalysis of </w:t>
      </w:r>
      <w:r>
        <w:rPr>
          <w:rFonts w:ascii="Times New Roman" w:eastAsiaTheme="minorHAnsi" w:hAnsi="Times New Roman" w:cs="Times New Roman"/>
          <w:sz w:val="24"/>
          <w:szCs w:val="24"/>
        </w:rPr>
        <w:t xml:space="preserve">the </w:t>
      </w:r>
      <w:r w:rsidR="00BA2AFC">
        <w:rPr>
          <w:rFonts w:ascii="Times New Roman" w:eastAsiaTheme="minorHAnsi" w:hAnsi="Times New Roman" w:cs="Times New Roman"/>
          <w:sz w:val="24"/>
          <w:szCs w:val="24"/>
        </w:rPr>
        <w:t>m</w:t>
      </w:r>
      <w:r>
        <w:rPr>
          <w:rFonts w:ascii="Times New Roman" w:eastAsiaTheme="minorHAnsi" w:hAnsi="Times New Roman" w:cs="Times New Roman"/>
          <w:sz w:val="24"/>
          <w:szCs w:val="24"/>
        </w:rPr>
        <w:t xml:space="preserve">agnitude and </w:t>
      </w:r>
      <w:r w:rsidR="00BA2AFC">
        <w:rPr>
          <w:rFonts w:ascii="Times New Roman" w:eastAsiaTheme="minorHAnsi" w:hAnsi="Times New Roman" w:cs="Times New Roman"/>
          <w:sz w:val="24"/>
          <w:szCs w:val="24"/>
        </w:rPr>
        <w:t>d</w:t>
      </w:r>
      <w:r>
        <w:rPr>
          <w:rFonts w:ascii="Times New Roman" w:eastAsiaTheme="minorHAnsi" w:hAnsi="Times New Roman" w:cs="Times New Roman"/>
          <w:sz w:val="24"/>
          <w:szCs w:val="24"/>
        </w:rPr>
        <w:t>eterminants,</w:t>
      </w:r>
      <w:r w:rsidRPr="001D00C9">
        <w:rPr>
          <w:rFonts w:ascii="Times New Roman" w:eastAsiaTheme="minorHAnsi" w:hAnsi="Times New Roman" w:cs="Times New Roman"/>
          <w:sz w:val="24"/>
          <w:szCs w:val="24"/>
        </w:rPr>
        <w:t xml:space="preserve"> </w:t>
      </w:r>
      <w:r w:rsidRPr="00DF3242">
        <w:rPr>
          <w:rFonts w:ascii="Times New Roman" w:eastAsiaTheme="minorHAnsi" w:hAnsi="Times New Roman" w:cs="Times New Roman"/>
          <w:i/>
          <w:sz w:val="24"/>
          <w:szCs w:val="24"/>
        </w:rPr>
        <w:t xml:space="preserve">Journal of Financial Economics </w:t>
      </w:r>
      <w:r>
        <w:rPr>
          <w:rFonts w:ascii="Times New Roman" w:eastAsiaTheme="minorHAnsi" w:hAnsi="Times New Roman" w:cs="Times New Roman"/>
          <w:sz w:val="24"/>
          <w:szCs w:val="24"/>
        </w:rPr>
        <w:t xml:space="preserve">53, </w:t>
      </w:r>
      <w:r w:rsidRPr="001D00C9">
        <w:rPr>
          <w:rFonts w:ascii="Times New Roman" w:eastAsiaTheme="minorHAnsi" w:hAnsi="Times New Roman" w:cs="Times New Roman"/>
          <w:sz w:val="24"/>
          <w:szCs w:val="24"/>
        </w:rPr>
        <w:t>43-71.</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C16288" w:rsidRDefault="00C16288" w:rsidP="00FB12DA">
      <w:pPr>
        <w:autoSpaceDE w:val="0"/>
        <w:autoSpaceDN w:val="0"/>
        <w:adjustRightInd w:val="0"/>
        <w:spacing w:after="0" w:line="240" w:lineRule="auto"/>
        <w:ind w:left="360" w:hanging="360"/>
        <w:jc w:val="both"/>
        <w:rPr>
          <w:rFonts w:ascii="Times New Roman" w:eastAsiaTheme="minorHAnsi" w:hAnsi="Times New Roman" w:cs="Times New Roman"/>
          <w:sz w:val="24"/>
          <w:szCs w:val="24"/>
        </w:rPr>
      </w:pPr>
      <w:r w:rsidRPr="00C16288">
        <w:rPr>
          <w:rFonts w:ascii="Times New Roman" w:hAnsi="Times New Roman" w:cs="Times New Roman"/>
          <w:sz w:val="24"/>
          <w:szCs w:val="24"/>
        </w:rPr>
        <w:t>Hans</w:t>
      </w:r>
      <w:r w:rsidR="00BA2AFC">
        <w:rPr>
          <w:rFonts w:ascii="Times New Roman" w:hAnsi="Times New Roman" w:cs="Times New Roman"/>
          <w:sz w:val="24"/>
          <w:szCs w:val="24"/>
        </w:rPr>
        <w:t xml:space="preserve">en, L., J. Heaton, and A. </w:t>
      </w:r>
      <w:proofErr w:type="spellStart"/>
      <w:r w:rsidR="00BA2AFC">
        <w:rPr>
          <w:rFonts w:ascii="Times New Roman" w:hAnsi="Times New Roman" w:cs="Times New Roman"/>
          <w:sz w:val="24"/>
          <w:szCs w:val="24"/>
        </w:rPr>
        <w:t>Yaron</w:t>
      </w:r>
      <w:proofErr w:type="spellEnd"/>
      <w:r w:rsidR="00BA2AFC">
        <w:rPr>
          <w:rFonts w:ascii="Times New Roman" w:hAnsi="Times New Roman" w:cs="Times New Roman"/>
          <w:sz w:val="24"/>
          <w:szCs w:val="24"/>
        </w:rPr>
        <w:t>, 1996,</w:t>
      </w:r>
      <w:r w:rsidRPr="00C16288">
        <w:rPr>
          <w:rFonts w:ascii="Times New Roman" w:hAnsi="Times New Roman" w:cs="Times New Roman"/>
          <w:sz w:val="24"/>
          <w:szCs w:val="24"/>
        </w:rPr>
        <w:t xml:space="preserve"> Finite sample properties of </w:t>
      </w:r>
      <w:r w:rsidR="00BA2AFC">
        <w:rPr>
          <w:rFonts w:ascii="Times New Roman" w:hAnsi="Times New Roman" w:cs="Times New Roman"/>
          <w:sz w:val="24"/>
          <w:szCs w:val="24"/>
        </w:rPr>
        <w:t>some alternative GMM estimators,</w:t>
      </w:r>
      <w:r w:rsidRPr="00C16288">
        <w:rPr>
          <w:rFonts w:ascii="Times New Roman" w:hAnsi="Times New Roman" w:cs="Times New Roman"/>
          <w:sz w:val="24"/>
          <w:szCs w:val="24"/>
        </w:rPr>
        <w:t xml:space="preserve"> </w:t>
      </w:r>
      <w:r w:rsidRPr="00BA2AFC">
        <w:rPr>
          <w:rFonts w:ascii="Times New Roman" w:hAnsi="Times New Roman" w:cs="Times New Roman"/>
          <w:i/>
          <w:sz w:val="24"/>
          <w:szCs w:val="24"/>
        </w:rPr>
        <w:t>Journal of Business and Economic Statistics</w:t>
      </w:r>
      <w:r w:rsidRPr="00C16288">
        <w:rPr>
          <w:rFonts w:ascii="Times New Roman" w:hAnsi="Times New Roman" w:cs="Times New Roman"/>
          <w:sz w:val="24"/>
          <w:szCs w:val="24"/>
        </w:rPr>
        <w:t xml:space="preserve"> 14</w:t>
      </w:r>
      <w:r w:rsidR="00BA2AFC">
        <w:rPr>
          <w:rFonts w:ascii="Times New Roman" w:hAnsi="Times New Roman" w:cs="Times New Roman"/>
          <w:sz w:val="24"/>
          <w:szCs w:val="24"/>
        </w:rPr>
        <w:t>,</w:t>
      </w:r>
      <w:r w:rsidRPr="00C16288">
        <w:rPr>
          <w:rFonts w:ascii="Times New Roman" w:hAnsi="Times New Roman" w:cs="Times New Roman"/>
          <w:sz w:val="24"/>
          <w:szCs w:val="24"/>
        </w:rPr>
        <w:t xml:space="preserve"> 262–280.</w:t>
      </w:r>
    </w:p>
    <w:p w:rsidR="00FB12DA" w:rsidRDefault="00FB12DA"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r w:rsidRPr="00590F69">
        <w:rPr>
          <w:rFonts w:ascii="Times New Roman" w:hAnsi="Times New Roman" w:cs="Times New Roman"/>
          <w:sz w:val="24"/>
          <w:szCs w:val="24"/>
        </w:rPr>
        <w:t xml:space="preserve">Jensen, </w:t>
      </w:r>
      <w:r w:rsidRPr="00590F69">
        <w:rPr>
          <w:rFonts w:ascii="Times New Roman" w:hAnsi="Times New Roman" w:cs="Times New Roman"/>
          <w:color w:val="000000"/>
          <w:sz w:val="24"/>
          <w:szCs w:val="24"/>
        </w:rPr>
        <w:t>M.</w:t>
      </w:r>
      <w:r w:rsidRPr="00590F69">
        <w:rPr>
          <w:rFonts w:ascii="Times New Roman" w:hAnsi="Times New Roman" w:cs="Times New Roman"/>
          <w:sz w:val="24"/>
          <w:szCs w:val="24"/>
        </w:rPr>
        <w:t xml:space="preserve">C., and </w:t>
      </w:r>
      <w:r w:rsidRPr="00590F69">
        <w:rPr>
          <w:rFonts w:ascii="Times New Roman" w:hAnsi="Times New Roman" w:cs="Times New Roman"/>
          <w:color w:val="000000"/>
          <w:sz w:val="24"/>
          <w:szCs w:val="24"/>
        </w:rPr>
        <w:t>W.</w:t>
      </w:r>
      <w:r w:rsidRPr="00590F69">
        <w:rPr>
          <w:rFonts w:ascii="Times New Roman" w:hAnsi="Times New Roman" w:cs="Times New Roman"/>
          <w:sz w:val="24"/>
          <w:szCs w:val="24"/>
        </w:rPr>
        <w:t xml:space="preserve">H. </w:t>
      </w:r>
      <w:proofErr w:type="spellStart"/>
      <w:r w:rsidRPr="00590F69">
        <w:rPr>
          <w:rFonts w:ascii="Times New Roman" w:hAnsi="Times New Roman" w:cs="Times New Roman"/>
          <w:sz w:val="24"/>
          <w:szCs w:val="24"/>
        </w:rPr>
        <w:t>Meckling</w:t>
      </w:r>
      <w:proofErr w:type="spellEnd"/>
      <w:r w:rsidRPr="00590F69">
        <w:rPr>
          <w:rFonts w:ascii="Times New Roman" w:hAnsi="Times New Roman" w:cs="Times New Roman"/>
          <w:sz w:val="24"/>
          <w:szCs w:val="24"/>
        </w:rPr>
        <w:t xml:space="preserve">, 1976, Theory of the firm: Managerial behavior, agency costs and ownership structure, </w:t>
      </w:r>
      <w:r w:rsidRPr="00590F69">
        <w:rPr>
          <w:rFonts w:ascii="Times New Roman" w:hAnsi="Times New Roman" w:cs="Times New Roman"/>
          <w:i/>
          <w:sz w:val="24"/>
          <w:szCs w:val="24"/>
        </w:rPr>
        <w:t>Journal of Financ</w:t>
      </w:r>
      <w:r w:rsidRPr="004860F4">
        <w:rPr>
          <w:rFonts w:ascii="Times New Roman" w:hAnsi="Times New Roman" w:cs="Times New Roman"/>
          <w:i/>
          <w:sz w:val="24"/>
          <w:szCs w:val="24"/>
        </w:rPr>
        <w:t>ial Economics</w:t>
      </w:r>
      <w:r w:rsidRPr="004860F4">
        <w:rPr>
          <w:rFonts w:ascii="Times New Roman" w:hAnsi="Times New Roman" w:cs="Times New Roman"/>
          <w:sz w:val="24"/>
          <w:szCs w:val="24"/>
        </w:rPr>
        <w:t xml:space="preserve"> 3, 305-360.</w:t>
      </w:r>
    </w:p>
    <w:p w:rsidR="00FB12DA" w:rsidRDefault="00FB12DA" w:rsidP="00FB12DA">
      <w:pPr>
        <w:tabs>
          <w:tab w:val="left" w:pos="360"/>
        </w:tabs>
        <w:spacing w:after="0" w:line="240" w:lineRule="auto"/>
        <w:ind w:left="360" w:hanging="360"/>
        <w:jc w:val="both"/>
        <w:rPr>
          <w:rFonts w:ascii="Times New Roman" w:hAnsi="Times New Roman" w:cs="Times New Roman"/>
          <w:sz w:val="24"/>
          <w:szCs w:val="24"/>
        </w:rPr>
      </w:pPr>
    </w:p>
    <w:p w:rsidR="008D4752" w:rsidRDefault="008D4752" w:rsidP="00FB12DA">
      <w:pPr>
        <w:tabs>
          <w:tab w:val="left" w:pos="360"/>
        </w:tabs>
        <w:spacing w:after="0" w:line="240" w:lineRule="auto"/>
        <w:ind w:left="360" w:hanging="360"/>
        <w:jc w:val="both"/>
        <w:rPr>
          <w:rFonts w:ascii="Times New Roman" w:hAnsi="Times New Roman" w:cs="Times New Roman"/>
          <w:sz w:val="24"/>
          <w:szCs w:val="24"/>
        </w:rPr>
      </w:pPr>
      <w:r w:rsidRPr="00590F69">
        <w:rPr>
          <w:rFonts w:ascii="Times New Roman" w:hAnsi="Times New Roman" w:cs="Times New Roman"/>
          <w:sz w:val="24"/>
          <w:szCs w:val="24"/>
        </w:rPr>
        <w:t xml:space="preserve">Jensen, </w:t>
      </w:r>
      <w:r w:rsidRPr="00590F69">
        <w:rPr>
          <w:rFonts w:ascii="Times New Roman" w:hAnsi="Times New Roman" w:cs="Times New Roman"/>
          <w:color w:val="000000"/>
          <w:sz w:val="24"/>
          <w:szCs w:val="24"/>
        </w:rPr>
        <w:t>M.</w:t>
      </w:r>
      <w:r w:rsidRPr="00590F69">
        <w:rPr>
          <w:rFonts w:ascii="Times New Roman" w:hAnsi="Times New Roman" w:cs="Times New Roman"/>
          <w:sz w:val="24"/>
          <w:szCs w:val="24"/>
        </w:rPr>
        <w:t xml:space="preserve">C., </w:t>
      </w:r>
      <w:r w:rsidRPr="003324CD">
        <w:rPr>
          <w:rFonts w:ascii="Times New Roman" w:hAnsi="Times New Roman" w:cs="Times New Roman"/>
          <w:sz w:val="24"/>
          <w:szCs w:val="24"/>
        </w:rPr>
        <w:t>1986</w:t>
      </w:r>
      <w:r>
        <w:rPr>
          <w:rFonts w:ascii="Times New Roman" w:hAnsi="Times New Roman" w:cs="Times New Roman"/>
          <w:sz w:val="24"/>
          <w:szCs w:val="24"/>
        </w:rPr>
        <w:t>,</w:t>
      </w:r>
      <w:r w:rsidRPr="003324CD">
        <w:rPr>
          <w:rFonts w:ascii="Times New Roman" w:hAnsi="Times New Roman" w:cs="Times New Roman"/>
          <w:sz w:val="24"/>
          <w:szCs w:val="24"/>
        </w:rPr>
        <w:t xml:space="preserve"> Agency costs of free cash flow, corporate finance, and takeovers</w:t>
      </w:r>
      <w:r>
        <w:rPr>
          <w:rFonts w:ascii="Times New Roman" w:hAnsi="Times New Roman" w:cs="Times New Roman"/>
          <w:sz w:val="24"/>
          <w:szCs w:val="24"/>
        </w:rPr>
        <w:t>,</w:t>
      </w:r>
      <w:r w:rsidRPr="003324CD">
        <w:rPr>
          <w:rFonts w:ascii="Times New Roman" w:hAnsi="Times New Roman" w:cs="Times New Roman"/>
          <w:sz w:val="24"/>
          <w:szCs w:val="24"/>
        </w:rPr>
        <w:t xml:space="preserve"> </w:t>
      </w:r>
      <w:r w:rsidRPr="003324CD">
        <w:rPr>
          <w:rFonts w:ascii="Times New Roman" w:hAnsi="Times New Roman" w:cs="Times New Roman"/>
          <w:i/>
          <w:sz w:val="24"/>
          <w:szCs w:val="24"/>
        </w:rPr>
        <w:t>American Economic Review</w:t>
      </w:r>
      <w:r>
        <w:rPr>
          <w:rFonts w:ascii="Times New Roman" w:hAnsi="Times New Roman" w:cs="Times New Roman"/>
          <w:sz w:val="24"/>
          <w:szCs w:val="24"/>
        </w:rPr>
        <w:t xml:space="preserve"> 76, 323-329.</w:t>
      </w:r>
    </w:p>
    <w:p w:rsidR="001A7C27" w:rsidRDefault="001A7C27" w:rsidP="00FB12DA">
      <w:pPr>
        <w:tabs>
          <w:tab w:val="left" w:pos="360"/>
        </w:tabs>
        <w:spacing w:after="0" w:line="240" w:lineRule="auto"/>
        <w:ind w:left="360" w:hanging="360"/>
        <w:jc w:val="both"/>
        <w:rPr>
          <w:rFonts w:ascii="Times New Roman" w:hAnsi="Times New Roman" w:cs="Times New Roman"/>
          <w:sz w:val="24"/>
          <w:szCs w:val="24"/>
        </w:rPr>
      </w:pPr>
    </w:p>
    <w:p w:rsidR="00C16288" w:rsidRPr="00C16288" w:rsidRDefault="00BA2AFC" w:rsidP="00FB12DA">
      <w:pPr>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Kleibergen</w:t>
      </w:r>
      <w:proofErr w:type="spellEnd"/>
      <w:r>
        <w:rPr>
          <w:rFonts w:ascii="Times New Roman" w:hAnsi="Times New Roman" w:cs="Times New Roman"/>
          <w:sz w:val="24"/>
          <w:szCs w:val="24"/>
        </w:rPr>
        <w:t xml:space="preserve">, F., and R. </w:t>
      </w:r>
      <w:proofErr w:type="spellStart"/>
      <w:r>
        <w:rPr>
          <w:rFonts w:ascii="Times New Roman" w:hAnsi="Times New Roman" w:cs="Times New Roman"/>
          <w:sz w:val="24"/>
          <w:szCs w:val="24"/>
        </w:rPr>
        <w:t>Paap</w:t>
      </w:r>
      <w:proofErr w:type="spellEnd"/>
      <w:r>
        <w:rPr>
          <w:rFonts w:ascii="Times New Roman" w:hAnsi="Times New Roman" w:cs="Times New Roman"/>
          <w:sz w:val="24"/>
          <w:szCs w:val="24"/>
        </w:rPr>
        <w:t>, 2006,</w:t>
      </w:r>
      <w:r w:rsidR="00C16288" w:rsidRPr="00C16288">
        <w:rPr>
          <w:rFonts w:ascii="Times New Roman" w:hAnsi="Times New Roman" w:cs="Times New Roman"/>
          <w:sz w:val="24"/>
          <w:szCs w:val="24"/>
        </w:rPr>
        <w:t xml:space="preserve"> Generalized reduced rank tests using t</w:t>
      </w:r>
      <w:r>
        <w:rPr>
          <w:rFonts w:ascii="Times New Roman" w:hAnsi="Times New Roman" w:cs="Times New Roman"/>
          <w:sz w:val="24"/>
          <w:szCs w:val="24"/>
        </w:rPr>
        <w:t>he singular value decomposition,</w:t>
      </w:r>
      <w:r w:rsidR="00C16288" w:rsidRPr="00C16288">
        <w:rPr>
          <w:rFonts w:ascii="Times New Roman" w:hAnsi="Times New Roman" w:cs="Times New Roman"/>
          <w:sz w:val="24"/>
          <w:szCs w:val="24"/>
        </w:rPr>
        <w:t xml:space="preserve"> </w:t>
      </w:r>
      <w:r w:rsidR="00C16288" w:rsidRPr="00BA2AFC">
        <w:rPr>
          <w:rFonts w:ascii="Times New Roman" w:hAnsi="Times New Roman" w:cs="Times New Roman"/>
          <w:i/>
          <w:sz w:val="24"/>
          <w:szCs w:val="24"/>
        </w:rPr>
        <w:t>Journal of Econometrics</w:t>
      </w:r>
      <w:r w:rsidR="00C16288" w:rsidRPr="00C16288">
        <w:rPr>
          <w:rFonts w:ascii="Times New Roman" w:hAnsi="Times New Roman" w:cs="Times New Roman"/>
          <w:sz w:val="24"/>
          <w:szCs w:val="24"/>
        </w:rPr>
        <w:t xml:space="preserve"> 127</w:t>
      </w:r>
      <w:r>
        <w:rPr>
          <w:rFonts w:ascii="Times New Roman" w:hAnsi="Times New Roman" w:cs="Times New Roman"/>
          <w:sz w:val="24"/>
          <w:szCs w:val="24"/>
        </w:rPr>
        <w:t>,</w:t>
      </w:r>
      <w:r w:rsidR="00C16288" w:rsidRPr="00C16288">
        <w:rPr>
          <w:rFonts w:ascii="Times New Roman" w:hAnsi="Times New Roman" w:cs="Times New Roman"/>
          <w:sz w:val="24"/>
          <w:szCs w:val="24"/>
        </w:rPr>
        <w:t xml:space="preserve"> 97–126.</w:t>
      </w:r>
    </w:p>
    <w:p w:rsidR="00FB12DA" w:rsidRDefault="00FB12DA" w:rsidP="00FB12DA">
      <w:pPr>
        <w:tabs>
          <w:tab w:val="left" w:pos="360"/>
        </w:tabs>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Style w:val="st"/>
          <w:rFonts w:ascii="Times New Roman" w:hAnsi="Times New Roman" w:cs="Times New Roman"/>
          <w:sz w:val="24"/>
          <w:szCs w:val="24"/>
        </w:rPr>
      </w:pPr>
      <w:r w:rsidRPr="00383CAD">
        <w:rPr>
          <w:rStyle w:val="st"/>
          <w:rFonts w:ascii="Times New Roman" w:hAnsi="Times New Roman" w:cs="Times New Roman"/>
          <w:sz w:val="24"/>
          <w:szCs w:val="24"/>
        </w:rPr>
        <w:t xml:space="preserve">Lambert, R.A., W.N. </w:t>
      </w:r>
      <w:proofErr w:type="spellStart"/>
      <w:r w:rsidRPr="00383CAD">
        <w:rPr>
          <w:rStyle w:val="st"/>
          <w:rFonts w:ascii="Times New Roman" w:hAnsi="Times New Roman" w:cs="Times New Roman"/>
          <w:sz w:val="24"/>
          <w:szCs w:val="24"/>
        </w:rPr>
        <w:t>Lanen</w:t>
      </w:r>
      <w:proofErr w:type="spellEnd"/>
      <w:r w:rsidRPr="00383CAD">
        <w:rPr>
          <w:rStyle w:val="st"/>
          <w:rFonts w:ascii="Times New Roman" w:hAnsi="Times New Roman" w:cs="Times New Roman"/>
          <w:sz w:val="24"/>
          <w:szCs w:val="24"/>
        </w:rPr>
        <w:t>, and D.</w:t>
      </w:r>
      <w:r w:rsidR="00FE41E5">
        <w:rPr>
          <w:rStyle w:val="st"/>
          <w:rFonts w:ascii="Times New Roman" w:hAnsi="Times New Roman" w:cs="Times New Roman"/>
          <w:sz w:val="24"/>
          <w:szCs w:val="24"/>
        </w:rPr>
        <w:t xml:space="preserve">F. </w:t>
      </w:r>
      <w:proofErr w:type="spellStart"/>
      <w:r w:rsidR="00FE41E5">
        <w:rPr>
          <w:rStyle w:val="st"/>
          <w:rFonts w:ascii="Times New Roman" w:hAnsi="Times New Roman" w:cs="Times New Roman"/>
          <w:sz w:val="24"/>
          <w:szCs w:val="24"/>
        </w:rPr>
        <w:t>Larcker</w:t>
      </w:r>
      <w:proofErr w:type="spellEnd"/>
      <w:r w:rsidRPr="00383CAD">
        <w:rPr>
          <w:rStyle w:val="st"/>
          <w:rFonts w:ascii="Times New Roman" w:hAnsi="Times New Roman" w:cs="Times New Roman"/>
          <w:sz w:val="24"/>
          <w:szCs w:val="24"/>
        </w:rPr>
        <w:t xml:space="preserve">, </w:t>
      </w:r>
      <w:r w:rsidRPr="00383CAD">
        <w:rPr>
          <w:rStyle w:val="Emphasis"/>
          <w:rFonts w:ascii="Times New Roman" w:hAnsi="Times New Roman" w:cs="Times New Roman"/>
          <w:i w:val="0"/>
          <w:sz w:val="24"/>
          <w:szCs w:val="24"/>
        </w:rPr>
        <w:t>1989</w:t>
      </w:r>
      <w:r w:rsidRPr="00383CAD">
        <w:rPr>
          <w:rStyle w:val="st"/>
          <w:rFonts w:ascii="Times New Roman" w:hAnsi="Times New Roman" w:cs="Times New Roman"/>
          <w:i/>
          <w:sz w:val="24"/>
          <w:szCs w:val="24"/>
        </w:rPr>
        <w:t xml:space="preserve">, </w:t>
      </w:r>
      <w:r w:rsidRPr="00383CAD">
        <w:rPr>
          <w:rStyle w:val="Emphasis"/>
          <w:rFonts w:ascii="Times New Roman" w:hAnsi="Times New Roman" w:cs="Times New Roman"/>
          <w:i w:val="0"/>
          <w:sz w:val="24"/>
          <w:szCs w:val="24"/>
        </w:rPr>
        <w:t>Executive stock option plans and corporate dividend policy</w:t>
      </w:r>
      <w:r w:rsidRPr="00383CAD">
        <w:rPr>
          <w:rStyle w:val="st"/>
          <w:rFonts w:ascii="Times New Roman" w:hAnsi="Times New Roman" w:cs="Times New Roman"/>
          <w:i/>
          <w:sz w:val="24"/>
          <w:szCs w:val="24"/>
        </w:rPr>
        <w:t xml:space="preserve">, </w:t>
      </w:r>
      <w:r w:rsidRPr="00383CAD">
        <w:rPr>
          <w:rStyle w:val="st"/>
          <w:rFonts w:ascii="Times New Roman" w:hAnsi="Times New Roman" w:cs="Times New Roman"/>
          <w:sz w:val="24"/>
          <w:szCs w:val="24"/>
        </w:rPr>
        <w:t xml:space="preserve"> </w:t>
      </w:r>
      <w:r w:rsidRPr="00383CAD">
        <w:rPr>
          <w:rStyle w:val="st"/>
          <w:rFonts w:ascii="Times New Roman" w:hAnsi="Times New Roman" w:cs="Times New Roman"/>
          <w:i/>
          <w:sz w:val="24"/>
          <w:szCs w:val="24"/>
        </w:rPr>
        <w:t>Journal of Financial and Quantitative Analysis</w:t>
      </w:r>
      <w:r>
        <w:rPr>
          <w:rStyle w:val="st"/>
          <w:rFonts w:ascii="Times New Roman" w:hAnsi="Times New Roman" w:cs="Times New Roman"/>
          <w:sz w:val="24"/>
          <w:szCs w:val="24"/>
        </w:rPr>
        <w:t xml:space="preserve"> </w:t>
      </w:r>
      <w:r w:rsidRPr="00383CAD">
        <w:rPr>
          <w:rStyle w:val="st"/>
          <w:rFonts w:ascii="Times New Roman" w:hAnsi="Times New Roman" w:cs="Times New Roman"/>
          <w:sz w:val="24"/>
          <w:szCs w:val="24"/>
        </w:rPr>
        <w:t>24, 409–425.</w:t>
      </w:r>
    </w:p>
    <w:p w:rsidR="00FB12DA" w:rsidRDefault="00FB12DA" w:rsidP="00FB12DA">
      <w:pPr>
        <w:autoSpaceDE w:val="0"/>
        <w:autoSpaceDN w:val="0"/>
        <w:adjustRightInd w:val="0"/>
        <w:spacing w:after="0" w:line="240" w:lineRule="auto"/>
        <w:ind w:left="360" w:hanging="360"/>
        <w:jc w:val="both"/>
        <w:rPr>
          <w:rStyle w:val="st"/>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Style w:val="st"/>
          <w:rFonts w:ascii="Times New Roman" w:hAnsi="Times New Roman" w:cs="Times New Roman"/>
          <w:sz w:val="24"/>
          <w:szCs w:val="24"/>
        </w:rPr>
      </w:pPr>
      <w:r w:rsidRPr="00CC143E">
        <w:rPr>
          <w:rStyle w:val="st"/>
          <w:rFonts w:ascii="Times New Roman" w:hAnsi="Times New Roman" w:cs="Times New Roman"/>
          <w:sz w:val="24"/>
          <w:szCs w:val="24"/>
        </w:rPr>
        <w:t>Lane P</w:t>
      </w:r>
      <w:r w:rsidR="00FE41E5">
        <w:rPr>
          <w:rStyle w:val="st"/>
          <w:rFonts w:ascii="Times New Roman" w:hAnsi="Times New Roman" w:cs="Times New Roman"/>
          <w:sz w:val="24"/>
          <w:szCs w:val="24"/>
        </w:rPr>
        <w:t>.</w:t>
      </w:r>
      <w:r w:rsidRPr="00CC143E">
        <w:rPr>
          <w:rStyle w:val="st"/>
          <w:rFonts w:ascii="Times New Roman" w:hAnsi="Times New Roman" w:cs="Times New Roman"/>
          <w:sz w:val="24"/>
          <w:szCs w:val="24"/>
        </w:rPr>
        <w:t>J</w:t>
      </w:r>
      <w:r w:rsidR="00FE41E5">
        <w:rPr>
          <w:rStyle w:val="st"/>
          <w:rFonts w:ascii="Times New Roman" w:hAnsi="Times New Roman" w:cs="Times New Roman"/>
          <w:sz w:val="24"/>
          <w:szCs w:val="24"/>
        </w:rPr>
        <w:t>.</w:t>
      </w:r>
      <w:r w:rsidRPr="00CC143E">
        <w:rPr>
          <w:rStyle w:val="st"/>
          <w:rFonts w:ascii="Times New Roman" w:hAnsi="Times New Roman" w:cs="Times New Roman"/>
          <w:sz w:val="24"/>
          <w:szCs w:val="24"/>
        </w:rPr>
        <w:t xml:space="preserve">, </w:t>
      </w:r>
      <w:r w:rsidR="00FE41E5">
        <w:rPr>
          <w:rStyle w:val="st"/>
          <w:rFonts w:ascii="Times New Roman" w:hAnsi="Times New Roman" w:cs="Times New Roman"/>
          <w:sz w:val="24"/>
          <w:szCs w:val="24"/>
        </w:rPr>
        <w:t xml:space="preserve">A.A. </w:t>
      </w:r>
      <w:proofErr w:type="spellStart"/>
      <w:r w:rsidRPr="00CC143E">
        <w:rPr>
          <w:rStyle w:val="st"/>
          <w:rFonts w:ascii="Times New Roman" w:hAnsi="Times New Roman" w:cs="Times New Roman"/>
          <w:sz w:val="24"/>
          <w:szCs w:val="24"/>
        </w:rPr>
        <w:t>Cannella</w:t>
      </w:r>
      <w:proofErr w:type="spellEnd"/>
      <w:r w:rsidR="00FE41E5">
        <w:rPr>
          <w:rStyle w:val="st"/>
          <w:rFonts w:ascii="Times New Roman" w:hAnsi="Times New Roman" w:cs="Times New Roman"/>
          <w:sz w:val="24"/>
          <w:szCs w:val="24"/>
        </w:rPr>
        <w:t xml:space="preserve"> J.</w:t>
      </w:r>
      <w:r w:rsidRPr="00CC143E">
        <w:rPr>
          <w:rStyle w:val="st"/>
          <w:rFonts w:ascii="Times New Roman" w:hAnsi="Times New Roman" w:cs="Times New Roman"/>
          <w:sz w:val="24"/>
          <w:szCs w:val="24"/>
        </w:rPr>
        <w:t xml:space="preserve">, </w:t>
      </w:r>
      <w:r w:rsidR="00FE41E5">
        <w:rPr>
          <w:rStyle w:val="st"/>
          <w:rFonts w:ascii="Times New Roman" w:hAnsi="Times New Roman" w:cs="Times New Roman"/>
          <w:sz w:val="24"/>
          <w:szCs w:val="24"/>
        </w:rPr>
        <w:t xml:space="preserve">and M.H. </w:t>
      </w:r>
      <w:proofErr w:type="spellStart"/>
      <w:r w:rsidRPr="00CC143E">
        <w:rPr>
          <w:rStyle w:val="st"/>
          <w:rFonts w:ascii="Times New Roman" w:hAnsi="Times New Roman" w:cs="Times New Roman"/>
          <w:sz w:val="24"/>
          <w:szCs w:val="24"/>
        </w:rPr>
        <w:t>Lubatkin</w:t>
      </w:r>
      <w:proofErr w:type="spellEnd"/>
      <w:r w:rsidR="00FE41E5">
        <w:rPr>
          <w:rStyle w:val="st"/>
          <w:rFonts w:ascii="Times New Roman" w:hAnsi="Times New Roman" w:cs="Times New Roman"/>
          <w:sz w:val="24"/>
          <w:szCs w:val="24"/>
        </w:rPr>
        <w:t>,</w:t>
      </w:r>
      <w:r w:rsidRPr="00CC143E">
        <w:rPr>
          <w:rStyle w:val="st"/>
          <w:rFonts w:ascii="Times New Roman" w:hAnsi="Times New Roman" w:cs="Times New Roman"/>
          <w:sz w:val="24"/>
          <w:szCs w:val="24"/>
        </w:rPr>
        <w:t xml:space="preserve"> 1998</w:t>
      </w:r>
      <w:r w:rsidR="00FE41E5">
        <w:rPr>
          <w:rStyle w:val="st"/>
          <w:rFonts w:ascii="Times New Roman" w:hAnsi="Times New Roman" w:cs="Times New Roman"/>
          <w:sz w:val="24"/>
          <w:szCs w:val="24"/>
        </w:rPr>
        <w:t>,</w:t>
      </w:r>
      <w:r w:rsidRPr="00CC143E">
        <w:rPr>
          <w:rStyle w:val="st"/>
          <w:rFonts w:ascii="Times New Roman" w:hAnsi="Times New Roman" w:cs="Times New Roman"/>
          <w:sz w:val="24"/>
          <w:szCs w:val="24"/>
        </w:rPr>
        <w:t xml:space="preserve"> Agency problems as antecedents to unrelated mergers and diversificati</w:t>
      </w:r>
      <w:r w:rsidR="00FE41E5">
        <w:rPr>
          <w:rStyle w:val="st"/>
          <w:rFonts w:ascii="Times New Roman" w:hAnsi="Times New Roman" w:cs="Times New Roman"/>
          <w:sz w:val="24"/>
          <w:szCs w:val="24"/>
        </w:rPr>
        <w:t xml:space="preserve">on: </w:t>
      </w:r>
      <w:proofErr w:type="spellStart"/>
      <w:r w:rsidR="00FE41E5">
        <w:rPr>
          <w:rStyle w:val="st"/>
          <w:rFonts w:ascii="Times New Roman" w:hAnsi="Times New Roman" w:cs="Times New Roman"/>
          <w:sz w:val="24"/>
          <w:szCs w:val="24"/>
        </w:rPr>
        <w:t>Amihud</w:t>
      </w:r>
      <w:proofErr w:type="spellEnd"/>
      <w:r w:rsidR="00FE41E5">
        <w:rPr>
          <w:rStyle w:val="st"/>
          <w:rFonts w:ascii="Times New Roman" w:hAnsi="Times New Roman" w:cs="Times New Roman"/>
          <w:sz w:val="24"/>
          <w:szCs w:val="24"/>
        </w:rPr>
        <w:t xml:space="preserve"> and Lev reconsidered,</w:t>
      </w:r>
      <w:r w:rsidRPr="00CC143E">
        <w:rPr>
          <w:rStyle w:val="st"/>
          <w:rFonts w:ascii="Times New Roman" w:hAnsi="Times New Roman" w:cs="Times New Roman"/>
          <w:sz w:val="24"/>
          <w:szCs w:val="24"/>
        </w:rPr>
        <w:t xml:space="preserve"> </w:t>
      </w:r>
      <w:r w:rsidRPr="00FE41E5">
        <w:rPr>
          <w:rStyle w:val="st"/>
          <w:rFonts w:ascii="Times New Roman" w:hAnsi="Times New Roman" w:cs="Times New Roman"/>
          <w:i/>
          <w:sz w:val="24"/>
          <w:szCs w:val="24"/>
        </w:rPr>
        <w:t>Strategic Management Journal</w:t>
      </w:r>
      <w:r w:rsidRPr="00CC143E">
        <w:rPr>
          <w:rStyle w:val="st"/>
          <w:rFonts w:ascii="Times New Roman" w:hAnsi="Times New Roman" w:cs="Times New Roman"/>
          <w:sz w:val="24"/>
          <w:szCs w:val="24"/>
        </w:rPr>
        <w:t xml:space="preserve"> 19</w:t>
      </w:r>
      <w:r w:rsidR="00FE41E5">
        <w:rPr>
          <w:rStyle w:val="st"/>
          <w:rFonts w:ascii="Times New Roman" w:hAnsi="Times New Roman" w:cs="Times New Roman"/>
          <w:sz w:val="24"/>
          <w:szCs w:val="24"/>
        </w:rPr>
        <w:t>,</w:t>
      </w:r>
      <w:r w:rsidRPr="00CC143E">
        <w:rPr>
          <w:rStyle w:val="st"/>
          <w:rFonts w:ascii="Times New Roman" w:hAnsi="Times New Roman" w:cs="Times New Roman"/>
          <w:sz w:val="24"/>
          <w:szCs w:val="24"/>
        </w:rPr>
        <w:t xml:space="preserve"> 555-578</w:t>
      </w:r>
      <w:r>
        <w:rPr>
          <w:rStyle w:val="st"/>
          <w:rFonts w:ascii="Times New Roman" w:hAnsi="Times New Roman" w:cs="Times New Roman"/>
          <w:sz w:val="24"/>
          <w:szCs w:val="24"/>
        </w:rPr>
        <w:t>.</w:t>
      </w:r>
    </w:p>
    <w:p w:rsidR="00FB12DA" w:rsidRDefault="00FB12DA" w:rsidP="00FB12DA">
      <w:pPr>
        <w:autoSpaceDE w:val="0"/>
        <w:autoSpaceDN w:val="0"/>
        <w:adjustRightInd w:val="0"/>
        <w:spacing w:after="0" w:line="240" w:lineRule="auto"/>
        <w:ind w:left="360" w:hanging="360"/>
        <w:jc w:val="both"/>
        <w:rPr>
          <w:rStyle w:val="st"/>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Style w:val="st"/>
          <w:rFonts w:ascii="Times New Roman" w:hAnsi="Times New Roman" w:cs="Times New Roman"/>
          <w:sz w:val="24"/>
          <w:szCs w:val="24"/>
        </w:rPr>
      </w:pPr>
      <w:proofErr w:type="spellStart"/>
      <w:r w:rsidRPr="00B801B3">
        <w:rPr>
          <w:rStyle w:val="st"/>
          <w:rFonts w:ascii="Times New Roman" w:hAnsi="Times New Roman" w:cs="Times New Roman"/>
          <w:sz w:val="24"/>
          <w:szCs w:val="24"/>
        </w:rPr>
        <w:t>Lewellen</w:t>
      </w:r>
      <w:proofErr w:type="spellEnd"/>
      <w:r w:rsidRPr="00B801B3">
        <w:rPr>
          <w:rStyle w:val="st"/>
          <w:rFonts w:ascii="Times New Roman" w:hAnsi="Times New Roman" w:cs="Times New Roman"/>
          <w:sz w:val="24"/>
          <w:szCs w:val="24"/>
        </w:rPr>
        <w:t xml:space="preserve">, W., C. </w:t>
      </w:r>
      <w:proofErr w:type="spellStart"/>
      <w:r w:rsidRPr="00B801B3">
        <w:rPr>
          <w:rStyle w:val="st"/>
          <w:rFonts w:ascii="Times New Roman" w:hAnsi="Times New Roman" w:cs="Times New Roman"/>
          <w:sz w:val="24"/>
          <w:szCs w:val="24"/>
        </w:rPr>
        <w:t>Loderer</w:t>
      </w:r>
      <w:proofErr w:type="spellEnd"/>
      <w:r w:rsidRPr="00B801B3">
        <w:rPr>
          <w:rStyle w:val="st"/>
          <w:rFonts w:ascii="Times New Roman" w:hAnsi="Times New Roman" w:cs="Times New Roman"/>
          <w:sz w:val="24"/>
          <w:szCs w:val="24"/>
        </w:rPr>
        <w:t xml:space="preserve">, and K. Martin, </w:t>
      </w:r>
      <w:r w:rsidR="00FE41E5">
        <w:rPr>
          <w:rStyle w:val="st"/>
          <w:rFonts w:ascii="Times New Roman" w:hAnsi="Times New Roman" w:cs="Times New Roman"/>
          <w:sz w:val="24"/>
          <w:szCs w:val="24"/>
        </w:rPr>
        <w:t xml:space="preserve">1987, </w:t>
      </w:r>
      <w:r w:rsidRPr="00B801B3">
        <w:rPr>
          <w:rStyle w:val="st"/>
          <w:rFonts w:ascii="Times New Roman" w:hAnsi="Times New Roman" w:cs="Times New Roman"/>
          <w:sz w:val="24"/>
          <w:szCs w:val="24"/>
        </w:rPr>
        <w:t xml:space="preserve">Executive </w:t>
      </w:r>
      <w:r w:rsidR="00FE41E5">
        <w:rPr>
          <w:rStyle w:val="st"/>
          <w:rFonts w:ascii="Times New Roman" w:hAnsi="Times New Roman" w:cs="Times New Roman"/>
          <w:sz w:val="24"/>
          <w:szCs w:val="24"/>
        </w:rPr>
        <w:t>c</w:t>
      </w:r>
      <w:r w:rsidRPr="00B801B3">
        <w:rPr>
          <w:rStyle w:val="st"/>
          <w:rFonts w:ascii="Times New Roman" w:hAnsi="Times New Roman" w:cs="Times New Roman"/>
          <w:sz w:val="24"/>
          <w:szCs w:val="24"/>
        </w:rPr>
        <w:t xml:space="preserve">ompensation </w:t>
      </w:r>
      <w:r w:rsidR="00FE41E5">
        <w:rPr>
          <w:rStyle w:val="st"/>
          <w:rFonts w:ascii="Times New Roman" w:hAnsi="Times New Roman" w:cs="Times New Roman"/>
          <w:sz w:val="24"/>
          <w:szCs w:val="24"/>
        </w:rPr>
        <w:t>c</w:t>
      </w:r>
      <w:r w:rsidRPr="00B801B3">
        <w:rPr>
          <w:rStyle w:val="st"/>
          <w:rFonts w:ascii="Times New Roman" w:hAnsi="Times New Roman" w:cs="Times New Roman"/>
          <w:sz w:val="24"/>
          <w:szCs w:val="24"/>
        </w:rPr>
        <w:t xml:space="preserve">ontracts </w:t>
      </w:r>
      <w:r w:rsidR="00FE41E5">
        <w:rPr>
          <w:rStyle w:val="st"/>
          <w:rFonts w:ascii="Times New Roman" w:hAnsi="Times New Roman" w:cs="Times New Roman"/>
          <w:sz w:val="24"/>
          <w:szCs w:val="24"/>
        </w:rPr>
        <w:t>a</w:t>
      </w:r>
      <w:r w:rsidRPr="00B801B3">
        <w:rPr>
          <w:rStyle w:val="st"/>
          <w:rFonts w:ascii="Times New Roman" w:hAnsi="Times New Roman" w:cs="Times New Roman"/>
          <w:sz w:val="24"/>
          <w:szCs w:val="24"/>
        </w:rPr>
        <w:t xml:space="preserve">nd Executive </w:t>
      </w:r>
      <w:r w:rsidR="00FE41E5">
        <w:rPr>
          <w:rStyle w:val="st"/>
          <w:rFonts w:ascii="Times New Roman" w:hAnsi="Times New Roman" w:cs="Times New Roman"/>
          <w:sz w:val="24"/>
          <w:szCs w:val="24"/>
        </w:rPr>
        <w:t>i</w:t>
      </w:r>
      <w:r w:rsidRPr="00B801B3">
        <w:rPr>
          <w:rStyle w:val="st"/>
          <w:rFonts w:ascii="Times New Roman" w:hAnsi="Times New Roman" w:cs="Times New Roman"/>
          <w:sz w:val="24"/>
          <w:szCs w:val="24"/>
        </w:rPr>
        <w:t>ncentive</w:t>
      </w:r>
      <w:r w:rsidR="00FE41E5">
        <w:rPr>
          <w:rStyle w:val="st"/>
          <w:rFonts w:ascii="Times New Roman" w:hAnsi="Times New Roman" w:cs="Times New Roman"/>
          <w:sz w:val="24"/>
          <w:szCs w:val="24"/>
        </w:rPr>
        <w:t xml:space="preserve"> p</w:t>
      </w:r>
      <w:r w:rsidRPr="00B801B3">
        <w:rPr>
          <w:rStyle w:val="st"/>
          <w:rFonts w:ascii="Times New Roman" w:hAnsi="Times New Roman" w:cs="Times New Roman"/>
          <w:sz w:val="24"/>
          <w:szCs w:val="24"/>
        </w:rPr>
        <w:t xml:space="preserve">roblems: An </w:t>
      </w:r>
      <w:r w:rsidR="00FE41E5">
        <w:rPr>
          <w:rStyle w:val="st"/>
          <w:rFonts w:ascii="Times New Roman" w:hAnsi="Times New Roman" w:cs="Times New Roman"/>
          <w:sz w:val="24"/>
          <w:szCs w:val="24"/>
        </w:rPr>
        <w:t>e</w:t>
      </w:r>
      <w:r w:rsidRPr="00B801B3">
        <w:rPr>
          <w:rStyle w:val="st"/>
          <w:rFonts w:ascii="Times New Roman" w:hAnsi="Times New Roman" w:cs="Times New Roman"/>
          <w:sz w:val="24"/>
          <w:szCs w:val="24"/>
        </w:rPr>
        <w:t xml:space="preserve">mpirical </w:t>
      </w:r>
      <w:r w:rsidR="00FE41E5">
        <w:rPr>
          <w:rStyle w:val="st"/>
          <w:rFonts w:ascii="Times New Roman" w:hAnsi="Times New Roman" w:cs="Times New Roman"/>
          <w:sz w:val="24"/>
          <w:szCs w:val="24"/>
        </w:rPr>
        <w:t>analysis,</w:t>
      </w:r>
      <w:r w:rsidRPr="00B801B3">
        <w:rPr>
          <w:rStyle w:val="st"/>
          <w:rFonts w:ascii="Times New Roman" w:hAnsi="Times New Roman" w:cs="Times New Roman"/>
          <w:sz w:val="24"/>
          <w:szCs w:val="24"/>
        </w:rPr>
        <w:t xml:space="preserve"> </w:t>
      </w:r>
      <w:r w:rsidRPr="00FE41E5">
        <w:rPr>
          <w:rStyle w:val="st"/>
          <w:rFonts w:ascii="Times New Roman" w:hAnsi="Times New Roman" w:cs="Times New Roman"/>
          <w:i/>
          <w:sz w:val="24"/>
          <w:szCs w:val="24"/>
        </w:rPr>
        <w:t>Journal of Accounting and Economics</w:t>
      </w:r>
      <w:r w:rsidRPr="00B801B3">
        <w:rPr>
          <w:rStyle w:val="st"/>
          <w:rFonts w:ascii="Times New Roman" w:hAnsi="Times New Roman" w:cs="Times New Roman"/>
          <w:sz w:val="24"/>
          <w:szCs w:val="24"/>
        </w:rPr>
        <w:t>, December</w:t>
      </w:r>
      <w:r w:rsidR="00FE41E5">
        <w:rPr>
          <w:rStyle w:val="st"/>
          <w:rFonts w:ascii="Times New Roman" w:hAnsi="Times New Roman" w:cs="Times New Roman"/>
          <w:sz w:val="24"/>
          <w:szCs w:val="24"/>
        </w:rPr>
        <w:t>,</w:t>
      </w:r>
      <w:r w:rsidRPr="00B801B3">
        <w:rPr>
          <w:rStyle w:val="st"/>
          <w:rFonts w:ascii="Times New Roman" w:hAnsi="Times New Roman" w:cs="Times New Roman"/>
          <w:sz w:val="24"/>
          <w:szCs w:val="24"/>
        </w:rPr>
        <w:t xml:space="preserve"> 287-310.</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Michaely</w:t>
      </w:r>
      <w:proofErr w:type="spellEnd"/>
      <w:r>
        <w:rPr>
          <w:rFonts w:ascii="Times New Roman" w:hAnsi="Times New Roman" w:cs="Times New Roman"/>
          <w:sz w:val="24"/>
          <w:szCs w:val="24"/>
        </w:rPr>
        <w:t>, R</w:t>
      </w:r>
      <w:r w:rsidR="00FE41E5">
        <w:rPr>
          <w:rFonts w:ascii="Times New Roman" w:hAnsi="Times New Roman" w:cs="Times New Roman"/>
          <w:sz w:val="24"/>
          <w:szCs w:val="24"/>
        </w:rPr>
        <w:t>.</w:t>
      </w:r>
      <w:r>
        <w:rPr>
          <w:rFonts w:ascii="Times New Roman" w:hAnsi="Times New Roman" w:cs="Times New Roman"/>
          <w:sz w:val="24"/>
          <w:szCs w:val="24"/>
        </w:rPr>
        <w:t>, R</w:t>
      </w:r>
      <w:r w:rsidR="00FE41E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Thaler</w:t>
      </w:r>
      <w:proofErr w:type="spellEnd"/>
      <w:r>
        <w:rPr>
          <w:rFonts w:ascii="Times New Roman" w:hAnsi="Times New Roman" w:cs="Times New Roman"/>
          <w:sz w:val="24"/>
          <w:szCs w:val="24"/>
        </w:rPr>
        <w:t>, and K</w:t>
      </w:r>
      <w:r w:rsidR="00FE41E5">
        <w:rPr>
          <w:rFonts w:ascii="Times New Roman" w:hAnsi="Times New Roman" w:cs="Times New Roman"/>
          <w:sz w:val="24"/>
          <w:szCs w:val="24"/>
        </w:rPr>
        <w:t>.</w:t>
      </w:r>
      <w:r>
        <w:rPr>
          <w:rFonts w:ascii="Times New Roman" w:hAnsi="Times New Roman" w:cs="Times New Roman"/>
          <w:sz w:val="24"/>
          <w:szCs w:val="24"/>
        </w:rPr>
        <w:t xml:space="preserve"> Womack, 1995, Price </w:t>
      </w:r>
      <w:r w:rsidR="00FE41E5">
        <w:rPr>
          <w:rFonts w:ascii="Times New Roman" w:hAnsi="Times New Roman" w:cs="Times New Roman"/>
          <w:sz w:val="24"/>
          <w:szCs w:val="24"/>
        </w:rPr>
        <w:t>r</w:t>
      </w:r>
      <w:r>
        <w:rPr>
          <w:rFonts w:ascii="Times New Roman" w:hAnsi="Times New Roman" w:cs="Times New Roman"/>
          <w:sz w:val="24"/>
          <w:szCs w:val="24"/>
        </w:rPr>
        <w:t xml:space="preserve">eactions to </w:t>
      </w:r>
      <w:r w:rsidR="00FE41E5">
        <w:rPr>
          <w:rFonts w:ascii="Times New Roman" w:hAnsi="Times New Roman" w:cs="Times New Roman"/>
          <w:sz w:val="24"/>
          <w:szCs w:val="24"/>
        </w:rPr>
        <w:t>d</w:t>
      </w:r>
      <w:r>
        <w:rPr>
          <w:rFonts w:ascii="Times New Roman" w:hAnsi="Times New Roman" w:cs="Times New Roman"/>
          <w:sz w:val="24"/>
          <w:szCs w:val="24"/>
        </w:rPr>
        <w:t xml:space="preserve">ividend </w:t>
      </w:r>
      <w:r w:rsidR="00FE41E5">
        <w:rPr>
          <w:rFonts w:ascii="Times New Roman" w:hAnsi="Times New Roman" w:cs="Times New Roman"/>
          <w:sz w:val="24"/>
          <w:szCs w:val="24"/>
        </w:rPr>
        <w:t>i</w:t>
      </w:r>
      <w:r>
        <w:rPr>
          <w:rFonts w:ascii="Times New Roman" w:hAnsi="Times New Roman" w:cs="Times New Roman"/>
          <w:sz w:val="24"/>
          <w:szCs w:val="24"/>
        </w:rPr>
        <w:t xml:space="preserve">nitiations and </w:t>
      </w:r>
      <w:r w:rsidR="00FE41E5">
        <w:rPr>
          <w:rFonts w:ascii="Times New Roman" w:hAnsi="Times New Roman" w:cs="Times New Roman"/>
          <w:sz w:val="24"/>
          <w:szCs w:val="24"/>
        </w:rPr>
        <w:t>o</w:t>
      </w:r>
      <w:r>
        <w:rPr>
          <w:rFonts w:ascii="Times New Roman" w:hAnsi="Times New Roman" w:cs="Times New Roman"/>
          <w:sz w:val="24"/>
          <w:szCs w:val="24"/>
        </w:rPr>
        <w:t xml:space="preserve">missions: Overreaction and </w:t>
      </w:r>
      <w:r w:rsidR="00FE41E5">
        <w:rPr>
          <w:rFonts w:ascii="Times New Roman" w:hAnsi="Times New Roman" w:cs="Times New Roman"/>
          <w:sz w:val="24"/>
          <w:szCs w:val="24"/>
        </w:rPr>
        <w:t>d</w:t>
      </w:r>
      <w:r>
        <w:rPr>
          <w:rFonts w:ascii="Times New Roman" w:hAnsi="Times New Roman" w:cs="Times New Roman"/>
          <w:sz w:val="24"/>
          <w:szCs w:val="24"/>
        </w:rPr>
        <w:t xml:space="preserve">rift? </w:t>
      </w:r>
      <w:r>
        <w:rPr>
          <w:rFonts w:ascii="Times New Roman" w:hAnsi="Times New Roman" w:cs="Times New Roman"/>
          <w:i/>
          <w:iCs/>
          <w:sz w:val="24"/>
          <w:szCs w:val="24"/>
        </w:rPr>
        <w:t xml:space="preserve">Journal of Finance, </w:t>
      </w:r>
      <w:r>
        <w:rPr>
          <w:rFonts w:ascii="Times New Roman" w:hAnsi="Times New Roman" w:cs="Times New Roman"/>
          <w:sz w:val="24"/>
          <w:szCs w:val="24"/>
        </w:rPr>
        <w:t>50, 573- 608.</w:t>
      </w:r>
    </w:p>
    <w:p w:rsidR="00FB12DA" w:rsidRDefault="00FB12DA" w:rsidP="00FB12DA">
      <w:pPr>
        <w:autoSpaceDE w:val="0"/>
        <w:autoSpaceDN w:val="0"/>
        <w:adjustRightInd w:val="0"/>
        <w:spacing w:after="0" w:line="240" w:lineRule="auto"/>
        <w:ind w:left="360" w:hanging="360"/>
        <w:jc w:val="both"/>
        <w:rPr>
          <w:rStyle w:val="st"/>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r w:rsidRPr="00383CAD">
        <w:rPr>
          <w:rFonts w:ascii="Times New Roman" w:hAnsi="Times New Roman" w:cs="Times New Roman"/>
          <w:sz w:val="24"/>
          <w:szCs w:val="24"/>
        </w:rPr>
        <w:t xml:space="preserve">Narayanan, M.P., 1985, Managerial incentives for short-term results. </w:t>
      </w:r>
      <w:r w:rsidRPr="00383CAD">
        <w:rPr>
          <w:rFonts w:ascii="Times New Roman" w:hAnsi="Times New Roman" w:cs="Times New Roman"/>
          <w:i/>
          <w:sz w:val="24"/>
          <w:szCs w:val="24"/>
        </w:rPr>
        <w:t>Journal of Finance</w:t>
      </w:r>
      <w:r>
        <w:rPr>
          <w:rFonts w:ascii="Times New Roman" w:hAnsi="Times New Roman" w:cs="Times New Roman"/>
          <w:sz w:val="24"/>
          <w:szCs w:val="24"/>
        </w:rPr>
        <w:t xml:space="preserve"> 40, 1469-1484.</w:t>
      </w:r>
    </w:p>
    <w:p w:rsidR="00FB12DA" w:rsidRDefault="00FB12DA" w:rsidP="00FB12DA">
      <w:pPr>
        <w:spacing w:after="0" w:line="240" w:lineRule="auto"/>
        <w:ind w:left="720" w:hanging="720"/>
        <w:jc w:val="both"/>
        <w:rPr>
          <w:rFonts w:ascii="Times New Roman" w:hAnsi="Times New Roman" w:cs="Times New Roman"/>
          <w:sz w:val="24"/>
          <w:szCs w:val="24"/>
        </w:rPr>
      </w:pPr>
    </w:p>
    <w:p w:rsidR="008D4752" w:rsidRDefault="00FE41E5" w:rsidP="00FB12DA">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Myers, S., 2000, Outside equity,</w:t>
      </w:r>
      <w:r w:rsidR="008D4752" w:rsidRPr="00961AC7">
        <w:rPr>
          <w:rFonts w:ascii="Times New Roman" w:hAnsi="Times New Roman" w:cs="Times New Roman"/>
          <w:sz w:val="24"/>
          <w:szCs w:val="24"/>
        </w:rPr>
        <w:t xml:space="preserve"> </w:t>
      </w:r>
      <w:r w:rsidR="008D4752" w:rsidRPr="00FE41E5">
        <w:rPr>
          <w:rFonts w:ascii="Times New Roman" w:hAnsi="Times New Roman" w:cs="Times New Roman"/>
          <w:i/>
          <w:sz w:val="24"/>
          <w:szCs w:val="24"/>
        </w:rPr>
        <w:t>Journal of Finance</w:t>
      </w:r>
      <w:r w:rsidR="008D4752" w:rsidRPr="00961AC7">
        <w:rPr>
          <w:rFonts w:ascii="Times New Roman" w:hAnsi="Times New Roman" w:cs="Times New Roman"/>
          <w:sz w:val="24"/>
          <w:szCs w:val="24"/>
        </w:rPr>
        <w:t xml:space="preserve"> 55, 1005-1037.</w:t>
      </w:r>
    </w:p>
    <w:p w:rsidR="00FB12DA" w:rsidRDefault="00FB12DA"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proofErr w:type="spellStart"/>
      <w:r w:rsidRPr="005632D9">
        <w:rPr>
          <w:rFonts w:ascii="Times New Roman" w:hAnsi="Times New Roman" w:cs="Times New Roman"/>
          <w:sz w:val="24"/>
          <w:szCs w:val="24"/>
        </w:rPr>
        <w:t>Newey</w:t>
      </w:r>
      <w:proofErr w:type="spellEnd"/>
      <w:r w:rsidRPr="005632D9">
        <w:rPr>
          <w:rFonts w:ascii="Times New Roman" w:hAnsi="Times New Roman" w:cs="Times New Roman"/>
          <w:sz w:val="24"/>
          <w:szCs w:val="24"/>
        </w:rPr>
        <w:t>, W</w:t>
      </w:r>
      <w:r w:rsidR="00FE41E5">
        <w:rPr>
          <w:rFonts w:ascii="Times New Roman" w:hAnsi="Times New Roman" w:cs="Times New Roman"/>
          <w:sz w:val="24"/>
          <w:szCs w:val="24"/>
        </w:rPr>
        <w:t>.</w:t>
      </w:r>
      <w:r w:rsidRPr="005632D9">
        <w:rPr>
          <w:rFonts w:ascii="Times New Roman" w:hAnsi="Times New Roman" w:cs="Times New Roman"/>
          <w:sz w:val="24"/>
          <w:szCs w:val="24"/>
        </w:rPr>
        <w:t>K., and K</w:t>
      </w:r>
      <w:r w:rsidR="00FE41E5">
        <w:rPr>
          <w:rFonts w:ascii="Times New Roman" w:hAnsi="Times New Roman" w:cs="Times New Roman"/>
          <w:sz w:val="24"/>
          <w:szCs w:val="24"/>
        </w:rPr>
        <w:t>.</w:t>
      </w:r>
      <w:r w:rsidRPr="005632D9">
        <w:rPr>
          <w:rFonts w:ascii="Times New Roman" w:hAnsi="Times New Roman" w:cs="Times New Roman"/>
          <w:sz w:val="24"/>
          <w:szCs w:val="24"/>
        </w:rPr>
        <w:t>D.</w:t>
      </w:r>
      <w:r w:rsidR="00FE41E5">
        <w:rPr>
          <w:rFonts w:ascii="Times New Roman" w:hAnsi="Times New Roman" w:cs="Times New Roman"/>
          <w:sz w:val="24"/>
          <w:szCs w:val="24"/>
        </w:rPr>
        <w:t xml:space="preserve"> </w:t>
      </w:r>
      <w:r w:rsidRPr="005632D9">
        <w:rPr>
          <w:rFonts w:ascii="Times New Roman" w:hAnsi="Times New Roman" w:cs="Times New Roman"/>
          <w:sz w:val="24"/>
          <w:szCs w:val="24"/>
        </w:rPr>
        <w:t xml:space="preserve">West, 1987, </w:t>
      </w:r>
      <w:proofErr w:type="gramStart"/>
      <w:r w:rsidRPr="005632D9">
        <w:rPr>
          <w:rFonts w:ascii="Times New Roman" w:hAnsi="Times New Roman" w:cs="Times New Roman"/>
          <w:sz w:val="24"/>
          <w:szCs w:val="24"/>
        </w:rPr>
        <w:t>A</w:t>
      </w:r>
      <w:proofErr w:type="gramEnd"/>
      <w:r w:rsidRPr="005632D9">
        <w:rPr>
          <w:rFonts w:ascii="Times New Roman" w:hAnsi="Times New Roman" w:cs="Times New Roman"/>
          <w:sz w:val="24"/>
          <w:szCs w:val="24"/>
        </w:rPr>
        <w:t xml:space="preserve"> simple positive </w:t>
      </w:r>
      <w:proofErr w:type="spellStart"/>
      <w:r w:rsidRPr="005632D9">
        <w:rPr>
          <w:rFonts w:ascii="Times New Roman" w:hAnsi="Times New Roman" w:cs="Times New Roman"/>
          <w:sz w:val="24"/>
          <w:szCs w:val="24"/>
        </w:rPr>
        <w:t>semidefinite</w:t>
      </w:r>
      <w:proofErr w:type="spellEnd"/>
      <w:r w:rsidRPr="005632D9">
        <w:rPr>
          <w:rFonts w:ascii="Times New Roman" w:hAnsi="Times New Roman" w:cs="Times New Roman"/>
          <w:sz w:val="24"/>
          <w:szCs w:val="24"/>
        </w:rPr>
        <w:t xml:space="preserve"> </w:t>
      </w:r>
      <w:proofErr w:type="spellStart"/>
      <w:r w:rsidRPr="005632D9">
        <w:rPr>
          <w:rFonts w:ascii="Times New Roman" w:hAnsi="Times New Roman" w:cs="Times New Roman"/>
          <w:sz w:val="24"/>
          <w:szCs w:val="24"/>
        </w:rPr>
        <w:t>heteroskedasticity</w:t>
      </w:r>
      <w:proofErr w:type="spellEnd"/>
      <w:r>
        <w:rPr>
          <w:rFonts w:ascii="Times New Roman" w:hAnsi="Times New Roman" w:cs="Times New Roman"/>
          <w:sz w:val="24"/>
          <w:szCs w:val="24"/>
        </w:rPr>
        <w:t xml:space="preserve"> </w:t>
      </w:r>
      <w:r w:rsidRPr="005632D9">
        <w:rPr>
          <w:rFonts w:ascii="Times New Roman" w:hAnsi="Times New Roman" w:cs="Times New Roman"/>
          <w:sz w:val="24"/>
          <w:szCs w:val="24"/>
        </w:rPr>
        <w:t xml:space="preserve">and autocorrelation consistent covariance matrix, </w:t>
      </w:r>
      <w:proofErr w:type="spellStart"/>
      <w:r w:rsidRPr="005632D9">
        <w:rPr>
          <w:rFonts w:ascii="Times New Roman" w:hAnsi="Times New Roman" w:cs="Times New Roman"/>
          <w:sz w:val="24"/>
          <w:szCs w:val="24"/>
        </w:rPr>
        <w:t>Econometrica</w:t>
      </w:r>
      <w:proofErr w:type="spellEnd"/>
      <w:r w:rsidRPr="005632D9">
        <w:rPr>
          <w:rFonts w:ascii="Times New Roman" w:hAnsi="Times New Roman" w:cs="Times New Roman"/>
          <w:sz w:val="24"/>
          <w:szCs w:val="24"/>
        </w:rPr>
        <w:t xml:space="preserve"> 55, 703–708.</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0A63DD">
        <w:rPr>
          <w:rFonts w:ascii="Times New Roman" w:hAnsi="Times New Roman" w:cs="Times New Roman"/>
          <w:sz w:val="24"/>
          <w:szCs w:val="24"/>
        </w:rPr>
        <w:t>Parrino</w:t>
      </w:r>
      <w:proofErr w:type="spellEnd"/>
      <w:r w:rsidRPr="000A63DD">
        <w:rPr>
          <w:rFonts w:ascii="Times New Roman" w:hAnsi="Times New Roman" w:cs="Times New Roman"/>
          <w:sz w:val="24"/>
          <w:szCs w:val="24"/>
        </w:rPr>
        <w:t xml:space="preserve">, R., A.M. </w:t>
      </w:r>
      <w:proofErr w:type="spellStart"/>
      <w:r w:rsidRPr="000A63DD">
        <w:rPr>
          <w:rFonts w:ascii="Times New Roman" w:hAnsi="Times New Roman" w:cs="Times New Roman"/>
          <w:sz w:val="24"/>
          <w:szCs w:val="24"/>
        </w:rPr>
        <w:t>Poteshman</w:t>
      </w:r>
      <w:proofErr w:type="spellEnd"/>
      <w:r w:rsidRPr="000A63DD">
        <w:rPr>
          <w:rFonts w:ascii="Times New Roman" w:hAnsi="Times New Roman" w:cs="Times New Roman"/>
          <w:sz w:val="24"/>
          <w:szCs w:val="24"/>
        </w:rPr>
        <w:t>, and M.S.</w:t>
      </w:r>
      <w:r w:rsidR="00FE41E5">
        <w:rPr>
          <w:rFonts w:ascii="Times New Roman" w:hAnsi="Times New Roman" w:cs="Times New Roman"/>
          <w:sz w:val="24"/>
          <w:szCs w:val="24"/>
        </w:rPr>
        <w:t xml:space="preserve"> </w:t>
      </w:r>
      <w:proofErr w:type="spellStart"/>
      <w:r w:rsidR="00FE41E5">
        <w:rPr>
          <w:rFonts w:ascii="Times New Roman" w:hAnsi="Times New Roman" w:cs="Times New Roman"/>
          <w:sz w:val="24"/>
          <w:szCs w:val="24"/>
        </w:rPr>
        <w:t>Weisbach</w:t>
      </w:r>
      <w:proofErr w:type="spellEnd"/>
      <w:r w:rsidR="00FE41E5">
        <w:rPr>
          <w:rFonts w:ascii="Times New Roman" w:hAnsi="Times New Roman" w:cs="Times New Roman"/>
          <w:sz w:val="24"/>
          <w:szCs w:val="24"/>
        </w:rPr>
        <w:t xml:space="preserve">, 2005, </w:t>
      </w:r>
      <w:proofErr w:type="gramStart"/>
      <w:r w:rsidRPr="000A63DD">
        <w:rPr>
          <w:rFonts w:ascii="Times New Roman" w:hAnsi="Times New Roman" w:cs="Times New Roman"/>
          <w:sz w:val="24"/>
          <w:szCs w:val="24"/>
        </w:rPr>
        <w:t>Measuring</w:t>
      </w:r>
      <w:proofErr w:type="gramEnd"/>
      <w:r w:rsidRPr="000A63DD">
        <w:rPr>
          <w:rFonts w:ascii="Times New Roman" w:hAnsi="Times New Roman" w:cs="Times New Roman"/>
          <w:sz w:val="24"/>
          <w:szCs w:val="24"/>
        </w:rPr>
        <w:t xml:space="preserve"> </w:t>
      </w:r>
      <w:r w:rsidR="00FE41E5">
        <w:rPr>
          <w:rFonts w:ascii="Times New Roman" w:hAnsi="Times New Roman" w:cs="Times New Roman"/>
          <w:sz w:val="24"/>
          <w:szCs w:val="24"/>
        </w:rPr>
        <w:t>i</w:t>
      </w:r>
      <w:r w:rsidRPr="000A63DD">
        <w:rPr>
          <w:rFonts w:ascii="Times New Roman" w:hAnsi="Times New Roman" w:cs="Times New Roman"/>
          <w:sz w:val="24"/>
          <w:szCs w:val="24"/>
        </w:rPr>
        <w:t xml:space="preserve">nvestment </w:t>
      </w:r>
      <w:r w:rsidR="00FE41E5">
        <w:rPr>
          <w:rFonts w:ascii="Times New Roman" w:hAnsi="Times New Roman" w:cs="Times New Roman"/>
          <w:sz w:val="24"/>
          <w:szCs w:val="24"/>
        </w:rPr>
        <w:t>d</w:t>
      </w:r>
      <w:r w:rsidRPr="000A63DD">
        <w:rPr>
          <w:rFonts w:ascii="Times New Roman" w:hAnsi="Times New Roman" w:cs="Times New Roman"/>
          <w:sz w:val="24"/>
          <w:szCs w:val="24"/>
        </w:rPr>
        <w:t xml:space="preserve">istortions </w:t>
      </w:r>
      <w:r w:rsidR="00FE41E5">
        <w:rPr>
          <w:rFonts w:ascii="Times New Roman" w:hAnsi="Times New Roman" w:cs="Times New Roman"/>
          <w:sz w:val="24"/>
          <w:szCs w:val="24"/>
        </w:rPr>
        <w:t>w</w:t>
      </w:r>
      <w:r w:rsidRPr="000A63DD">
        <w:rPr>
          <w:rFonts w:ascii="Times New Roman" w:hAnsi="Times New Roman" w:cs="Times New Roman"/>
          <w:sz w:val="24"/>
          <w:szCs w:val="24"/>
        </w:rPr>
        <w:t xml:space="preserve">hen </w:t>
      </w:r>
      <w:r w:rsidR="00FE41E5">
        <w:rPr>
          <w:rFonts w:ascii="Times New Roman" w:hAnsi="Times New Roman" w:cs="Times New Roman"/>
          <w:sz w:val="24"/>
          <w:szCs w:val="24"/>
        </w:rPr>
        <w:t>r</w:t>
      </w:r>
      <w:r w:rsidRPr="000A63DD">
        <w:rPr>
          <w:rFonts w:ascii="Times New Roman" w:hAnsi="Times New Roman" w:cs="Times New Roman"/>
          <w:sz w:val="24"/>
          <w:szCs w:val="24"/>
        </w:rPr>
        <w:t>isk-</w:t>
      </w:r>
      <w:r w:rsidR="00FE41E5">
        <w:rPr>
          <w:rFonts w:ascii="Times New Roman" w:hAnsi="Times New Roman" w:cs="Times New Roman"/>
          <w:sz w:val="24"/>
          <w:szCs w:val="24"/>
        </w:rPr>
        <w:t>a</w:t>
      </w:r>
      <w:r w:rsidRPr="000A63DD">
        <w:rPr>
          <w:rFonts w:ascii="Times New Roman" w:hAnsi="Times New Roman" w:cs="Times New Roman"/>
          <w:sz w:val="24"/>
          <w:szCs w:val="24"/>
        </w:rPr>
        <w:t xml:space="preserve">verse </w:t>
      </w:r>
      <w:r w:rsidR="00FE41E5">
        <w:rPr>
          <w:rFonts w:ascii="Times New Roman" w:hAnsi="Times New Roman" w:cs="Times New Roman"/>
          <w:sz w:val="24"/>
          <w:szCs w:val="24"/>
        </w:rPr>
        <w:t>m</w:t>
      </w:r>
      <w:r w:rsidRPr="000A63DD">
        <w:rPr>
          <w:rFonts w:ascii="Times New Roman" w:hAnsi="Times New Roman" w:cs="Times New Roman"/>
          <w:sz w:val="24"/>
          <w:szCs w:val="24"/>
        </w:rPr>
        <w:t xml:space="preserve">anagers </w:t>
      </w:r>
      <w:r w:rsidR="00FE41E5">
        <w:rPr>
          <w:rFonts w:ascii="Times New Roman" w:hAnsi="Times New Roman" w:cs="Times New Roman"/>
          <w:sz w:val="24"/>
          <w:szCs w:val="24"/>
        </w:rPr>
        <w:t>d</w:t>
      </w:r>
      <w:r w:rsidRPr="000A63DD">
        <w:rPr>
          <w:rFonts w:ascii="Times New Roman" w:hAnsi="Times New Roman" w:cs="Times New Roman"/>
          <w:sz w:val="24"/>
          <w:szCs w:val="24"/>
        </w:rPr>
        <w:t xml:space="preserve">ecide </w:t>
      </w:r>
      <w:r w:rsidR="00FE41E5">
        <w:rPr>
          <w:rFonts w:ascii="Times New Roman" w:hAnsi="Times New Roman" w:cs="Times New Roman"/>
          <w:sz w:val="24"/>
          <w:szCs w:val="24"/>
        </w:rPr>
        <w:t>w</w:t>
      </w:r>
      <w:r w:rsidRPr="000A63DD">
        <w:rPr>
          <w:rFonts w:ascii="Times New Roman" w:hAnsi="Times New Roman" w:cs="Times New Roman"/>
          <w:sz w:val="24"/>
          <w:szCs w:val="24"/>
        </w:rPr>
        <w:t xml:space="preserve">hether to </w:t>
      </w:r>
      <w:r w:rsidR="00FE41E5">
        <w:rPr>
          <w:rFonts w:ascii="Times New Roman" w:hAnsi="Times New Roman" w:cs="Times New Roman"/>
          <w:sz w:val="24"/>
          <w:szCs w:val="24"/>
        </w:rPr>
        <w:t>u</w:t>
      </w:r>
      <w:r w:rsidRPr="000A63DD">
        <w:rPr>
          <w:rFonts w:ascii="Times New Roman" w:hAnsi="Times New Roman" w:cs="Times New Roman"/>
          <w:sz w:val="24"/>
          <w:szCs w:val="24"/>
        </w:rPr>
        <w:t xml:space="preserve">ndertake </w:t>
      </w:r>
      <w:r w:rsidR="00FE41E5">
        <w:rPr>
          <w:rFonts w:ascii="Times New Roman" w:hAnsi="Times New Roman" w:cs="Times New Roman"/>
          <w:sz w:val="24"/>
          <w:szCs w:val="24"/>
        </w:rPr>
        <w:t>r</w:t>
      </w:r>
      <w:r w:rsidRPr="000A63DD">
        <w:rPr>
          <w:rFonts w:ascii="Times New Roman" w:hAnsi="Times New Roman" w:cs="Times New Roman"/>
          <w:sz w:val="24"/>
          <w:szCs w:val="24"/>
        </w:rPr>
        <w:t xml:space="preserve">isky </w:t>
      </w:r>
      <w:r w:rsidR="00FE41E5">
        <w:rPr>
          <w:rFonts w:ascii="Times New Roman" w:hAnsi="Times New Roman" w:cs="Times New Roman"/>
          <w:sz w:val="24"/>
          <w:szCs w:val="24"/>
        </w:rPr>
        <w:t>projects,</w:t>
      </w:r>
      <w:r w:rsidRPr="000A63DD">
        <w:rPr>
          <w:rFonts w:ascii="Times New Roman" w:hAnsi="Times New Roman" w:cs="Times New Roman"/>
          <w:sz w:val="24"/>
          <w:szCs w:val="24"/>
        </w:rPr>
        <w:t xml:space="preserve"> </w:t>
      </w:r>
      <w:r w:rsidRPr="000A63DD">
        <w:rPr>
          <w:rFonts w:ascii="Times New Roman" w:hAnsi="Times New Roman" w:cs="Times New Roman"/>
          <w:i/>
          <w:iCs/>
          <w:sz w:val="24"/>
          <w:szCs w:val="24"/>
        </w:rPr>
        <w:t>Financial Management</w:t>
      </w:r>
      <w:r w:rsidRPr="000A63DD">
        <w:rPr>
          <w:rFonts w:ascii="Times New Roman" w:hAnsi="Times New Roman" w:cs="Times New Roman"/>
          <w:sz w:val="24"/>
          <w:szCs w:val="24"/>
        </w:rPr>
        <w:t xml:space="preserve"> 34, 21-60.</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B801B3">
        <w:rPr>
          <w:rFonts w:ascii="Times New Roman" w:hAnsi="Times New Roman" w:cs="Times New Roman"/>
          <w:sz w:val="24"/>
          <w:szCs w:val="24"/>
        </w:rPr>
        <w:t>Reichelstein</w:t>
      </w:r>
      <w:proofErr w:type="spellEnd"/>
      <w:r w:rsidRPr="00B801B3">
        <w:rPr>
          <w:rFonts w:ascii="Times New Roman" w:hAnsi="Times New Roman" w:cs="Times New Roman"/>
          <w:sz w:val="24"/>
          <w:szCs w:val="24"/>
        </w:rPr>
        <w:t xml:space="preserve"> S.</w:t>
      </w:r>
      <w:r w:rsidR="003305F5">
        <w:rPr>
          <w:rFonts w:ascii="Times New Roman" w:hAnsi="Times New Roman" w:cs="Times New Roman"/>
          <w:sz w:val="24"/>
          <w:szCs w:val="24"/>
        </w:rPr>
        <w:t>, 2000,</w:t>
      </w:r>
      <w:r w:rsidRPr="00B801B3">
        <w:rPr>
          <w:rFonts w:ascii="Times New Roman" w:hAnsi="Times New Roman" w:cs="Times New Roman"/>
          <w:sz w:val="24"/>
          <w:szCs w:val="24"/>
        </w:rPr>
        <w:t xml:space="preserve"> </w:t>
      </w:r>
      <w:proofErr w:type="gramStart"/>
      <w:r w:rsidRPr="00B801B3">
        <w:rPr>
          <w:rFonts w:ascii="Times New Roman" w:hAnsi="Times New Roman" w:cs="Times New Roman"/>
          <w:sz w:val="24"/>
          <w:szCs w:val="24"/>
        </w:rPr>
        <w:t>Providing</w:t>
      </w:r>
      <w:proofErr w:type="gramEnd"/>
      <w:r w:rsidRPr="00B801B3">
        <w:rPr>
          <w:rFonts w:ascii="Times New Roman" w:hAnsi="Times New Roman" w:cs="Times New Roman"/>
          <w:sz w:val="24"/>
          <w:szCs w:val="24"/>
        </w:rPr>
        <w:t xml:space="preserve"> managerial incentives: Cash </w:t>
      </w:r>
      <w:r w:rsidR="003305F5">
        <w:rPr>
          <w:rFonts w:ascii="Times New Roman" w:hAnsi="Times New Roman" w:cs="Times New Roman"/>
          <w:sz w:val="24"/>
          <w:szCs w:val="24"/>
        </w:rPr>
        <w:t>flows versus accrual accounting,</w:t>
      </w:r>
      <w:r w:rsidRPr="00B801B3">
        <w:rPr>
          <w:rFonts w:ascii="Times New Roman" w:hAnsi="Times New Roman" w:cs="Times New Roman"/>
          <w:sz w:val="24"/>
          <w:szCs w:val="24"/>
        </w:rPr>
        <w:t xml:space="preserve"> </w:t>
      </w:r>
      <w:r w:rsidRPr="003305F5">
        <w:rPr>
          <w:rFonts w:ascii="Times New Roman" w:hAnsi="Times New Roman" w:cs="Times New Roman"/>
          <w:i/>
          <w:sz w:val="24"/>
          <w:szCs w:val="24"/>
        </w:rPr>
        <w:t>Journal of Accounting Research</w:t>
      </w:r>
      <w:r w:rsidR="003305F5">
        <w:rPr>
          <w:rFonts w:ascii="Times New Roman" w:hAnsi="Times New Roman" w:cs="Times New Roman"/>
          <w:sz w:val="24"/>
          <w:szCs w:val="24"/>
        </w:rPr>
        <w:t xml:space="preserve"> 38,</w:t>
      </w:r>
      <w:r w:rsidRPr="00B801B3">
        <w:rPr>
          <w:rFonts w:ascii="Times New Roman" w:hAnsi="Times New Roman" w:cs="Times New Roman"/>
          <w:sz w:val="24"/>
          <w:szCs w:val="24"/>
        </w:rPr>
        <w:t xml:space="preserve"> 243-269</w:t>
      </w:r>
      <w:r>
        <w:rPr>
          <w:rFonts w:ascii="Times New Roman" w:hAnsi="Times New Roman" w:cs="Times New Roman"/>
          <w:sz w:val="24"/>
          <w:szCs w:val="24"/>
        </w:rPr>
        <w:t>.</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Pr="000A63DD"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r w:rsidRPr="00BC5933">
        <w:rPr>
          <w:rFonts w:ascii="Times New Roman" w:hAnsi="Times New Roman" w:cs="Times New Roman"/>
          <w:sz w:val="24"/>
          <w:szCs w:val="24"/>
        </w:rPr>
        <w:t>Rogers, W</w:t>
      </w:r>
      <w:r w:rsidR="003305F5">
        <w:rPr>
          <w:rFonts w:ascii="Times New Roman" w:hAnsi="Times New Roman" w:cs="Times New Roman"/>
          <w:sz w:val="24"/>
          <w:szCs w:val="24"/>
        </w:rPr>
        <w:t xml:space="preserve">., 1993, </w:t>
      </w:r>
      <w:r w:rsidRPr="00BC5933">
        <w:rPr>
          <w:rFonts w:ascii="Times New Roman" w:hAnsi="Times New Roman" w:cs="Times New Roman"/>
          <w:sz w:val="24"/>
          <w:szCs w:val="24"/>
        </w:rPr>
        <w:t xml:space="preserve">Regression </w:t>
      </w:r>
      <w:r w:rsidR="003305F5">
        <w:rPr>
          <w:rFonts w:ascii="Times New Roman" w:hAnsi="Times New Roman" w:cs="Times New Roman"/>
          <w:sz w:val="24"/>
          <w:szCs w:val="24"/>
        </w:rPr>
        <w:t>s</w:t>
      </w:r>
      <w:r w:rsidRPr="00BC5933">
        <w:rPr>
          <w:rFonts w:ascii="Times New Roman" w:hAnsi="Times New Roman" w:cs="Times New Roman"/>
          <w:sz w:val="24"/>
          <w:szCs w:val="24"/>
        </w:rPr>
        <w:t xml:space="preserve">tandard </w:t>
      </w:r>
      <w:r w:rsidR="003305F5">
        <w:rPr>
          <w:rFonts w:ascii="Times New Roman" w:hAnsi="Times New Roman" w:cs="Times New Roman"/>
          <w:sz w:val="24"/>
          <w:szCs w:val="24"/>
        </w:rPr>
        <w:t>e</w:t>
      </w:r>
      <w:r w:rsidRPr="00BC5933">
        <w:rPr>
          <w:rFonts w:ascii="Times New Roman" w:hAnsi="Times New Roman" w:cs="Times New Roman"/>
          <w:sz w:val="24"/>
          <w:szCs w:val="24"/>
        </w:rPr>
        <w:t xml:space="preserve">rrors in </w:t>
      </w:r>
      <w:r w:rsidR="003305F5">
        <w:rPr>
          <w:rFonts w:ascii="Times New Roman" w:hAnsi="Times New Roman" w:cs="Times New Roman"/>
          <w:sz w:val="24"/>
          <w:szCs w:val="24"/>
        </w:rPr>
        <w:t>c</w:t>
      </w:r>
      <w:r w:rsidRPr="00BC5933">
        <w:rPr>
          <w:rFonts w:ascii="Times New Roman" w:hAnsi="Times New Roman" w:cs="Times New Roman"/>
          <w:sz w:val="24"/>
          <w:szCs w:val="24"/>
        </w:rPr>
        <w:t>lustered</w:t>
      </w:r>
      <w:r>
        <w:rPr>
          <w:rFonts w:ascii="Times New Roman" w:hAnsi="Times New Roman" w:cs="Times New Roman"/>
          <w:sz w:val="24"/>
          <w:szCs w:val="24"/>
        </w:rPr>
        <w:t xml:space="preserve"> </w:t>
      </w:r>
      <w:r w:rsidR="003305F5">
        <w:rPr>
          <w:rFonts w:ascii="Times New Roman" w:hAnsi="Times New Roman" w:cs="Times New Roman"/>
          <w:sz w:val="24"/>
          <w:szCs w:val="24"/>
        </w:rPr>
        <w:t xml:space="preserve">samples, </w:t>
      </w:r>
      <w:proofErr w:type="spellStart"/>
      <w:r w:rsidRPr="003305F5">
        <w:rPr>
          <w:rFonts w:ascii="Times New Roman" w:hAnsi="Times New Roman" w:cs="Times New Roman"/>
          <w:i/>
          <w:sz w:val="24"/>
          <w:szCs w:val="24"/>
        </w:rPr>
        <w:t>Stata</w:t>
      </w:r>
      <w:proofErr w:type="spellEnd"/>
      <w:r w:rsidRPr="003305F5">
        <w:rPr>
          <w:rFonts w:ascii="Times New Roman" w:hAnsi="Times New Roman" w:cs="Times New Roman"/>
          <w:i/>
          <w:sz w:val="24"/>
          <w:szCs w:val="24"/>
        </w:rPr>
        <w:t xml:space="preserve"> </w:t>
      </w:r>
      <w:r w:rsidR="003305F5" w:rsidRPr="003305F5">
        <w:rPr>
          <w:rFonts w:ascii="Times New Roman" w:hAnsi="Times New Roman" w:cs="Times New Roman"/>
          <w:i/>
          <w:sz w:val="24"/>
          <w:szCs w:val="24"/>
        </w:rPr>
        <w:t>t</w:t>
      </w:r>
      <w:r w:rsidRPr="003305F5">
        <w:rPr>
          <w:rFonts w:ascii="Times New Roman" w:hAnsi="Times New Roman" w:cs="Times New Roman"/>
          <w:i/>
          <w:sz w:val="24"/>
          <w:szCs w:val="24"/>
        </w:rPr>
        <w:t xml:space="preserve">echnical </w:t>
      </w:r>
      <w:r w:rsidR="003305F5" w:rsidRPr="003305F5">
        <w:rPr>
          <w:rFonts w:ascii="Times New Roman" w:hAnsi="Times New Roman" w:cs="Times New Roman"/>
          <w:i/>
          <w:sz w:val="24"/>
          <w:szCs w:val="24"/>
        </w:rPr>
        <w:t>b</w:t>
      </w:r>
      <w:r w:rsidRPr="003305F5">
        <w:rPr>
          <w:rFonts w:ascii="Times New Roman" w:hAnsi="Times New Roman" w:cs="Times New Roman"/>
          <w:i/>
          <w:sz w:val="24"/>
          <w:szCs w:val="24"/>
        </w:rPr>
        <w:t>ulletin</w:t>
      </w:r>
      <w:r w:rsidRPr="00BC5933">
        <w:rPr>
          <w:rFonts w:ascii="Times New Roman" w:hAnsi="Times New Roman" w:cs="Times New Roman"/>
          <w:sz w:val="24"/>
          <w:szCs w:val="24"/>
        </w:rPr>
        <w:t xml:space="preserve"> 13, 19–23.</w:t>
      </w:r>
    </w:p>
    <w:p w:rsidR="00FB12DA" w:rsidRDefault="00FB12DA"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proofErr w:type="spellStart"/>
      <w:r w:rsidRPr="00835A9E">
        <w:rPr>
          <w:rFonts w:ascii="Times New Roman" w:hAnsi="Times New Roman" w:cs="Times New Roman"/>
          <w:sz w:val="24"/>
          <w:szCs w:val="24"/>
        </w:rPr>
        <w:t>Rozeff</w:t>
      </w:r>
      <w:proofErr w:type="spellEnd"/>
      <w:r w:rsidRPr="00835A9E">
        <w:rPr>
          <w:rFonts w:ascii="Times New Roman" w:hAnsi="Times New Roman" w:cs="Times New Roman"/>
          <w:sz w:val="24"/>
          <w:szCs w:val="24"/>
        </w:rPr>
        <w:t>, M</w:t>
      </w:r>
      <w:r w:rsidR="003305F5">
        <w:rPr>
          <w:rFonts w:ascii="Times New Roman" w:hAnsi="Times New Roman" w:cs="Times New Roman"/>
          <w:sz w:val="24"/>
          <w:szCs w:val="24"/>
        </w:rPr>
        <w:t>.</w:t>
      </w:r>
      <w:r w:rsidRPr="00835A9E">
        <w:rPr>
          <w:rFonts w:ascii="Times New Roman" w:hAnsi="Times New Roman" w:cs="Times New Roman"/>
          <w:sz w:val="24"/>
          <w:szCs w:val="24"/>
        </w:rPr>
        <w:t xml:space="preserve">S., 1982, Growth, </w:t>
      </w:r>
      <w:r w:rsidR="003305F5">
        <w:rPr>
          <w:rFonts w:ascii="Times New Roman" w:hAnsi="Times New Roman" w:cs="Times New Roman"/>
          <w:sz w:val="24"/>
          <w:szCs w:val="24"/>
        </w:rPr>
        <w:t>b</w:t>
      </w:r>
      <w:r w:rsidRPr="00835A9E">
        <w:rPr>
          <w:rFonts w:ascii="Times New Roman" w:hAnsi="Times New Roman" w:cs="Times New Roman"/>
          <w:sz w:val="24"/>
          <w:szCs w:val="24"/>
        </w:rPr>
        <w:t xml:space="preserve">eta and </w:t>
      </w:r>
      <w:r w:rsidR="003305F5">
        <w:rPr>
          <w:rFonts w:ascii="Times New Roman" w:hAnsi="Times New Roman" w:cs="Times New Roman"/>
          <w:sz w:val="24"/>
          <w:szCs w:val="24"/>
        </w:rPr>
        <w:t>a</w:t>
      </w:r>
      <w:r w:rsidRPr="00835A9E">
        <w:rPr>
          <w:rFonts w:ascii="Times New Roman" w:hAnsi="Times New Roman" w:cs="Times New Roman"/>
          <w:sz w:val="24"/>
          <w:szCs w:val="24"/>
        </w:rPr>
        <w:t xml:space="preserve">gency </w:t>
      </w:r>
      <w:r w:rsidR="003305F5">
        <w:rPr>
          <w:rFonts w:ascii="Times New Roman" w:hAnsi="Times New Roman" w:cs="Times New Roman"/>
          <w:sz w:val="24"/>
          <w:szCs w:val="24"/>
        </w:rPr>
        <w:t>c</w:t>
      </w:r>
      <w:r w:rsidRPr="00835A9E">
        <w:rPr>
          <w:rFonts w:ascii="Times New Roman" w:hAnsi="Times New Roman" w:cs="Times New Roman"/>
          <w:sz w:val="24"/>
          <w:szCs w:val="24"/>
        </w:rPr>
        <w:t xml:space="preserve">osts as </w:t>
      </w:r>
      <w:r w:rsidR="003305F5">
        <w:rPr>
          <w:rFonts w:ascii="Times New Roman" w:hAnsi="Times New Roman" w:cs="Times New Roman"/>
          <w:sz w:val="24"/>
          <w:szCs w:val="24"/>
        </w:rPr>
        <w:t>d</w:t>
      </w:r>
      <w:r w:rsidRPr="00835A9E">
        <w:rPr>
          <w:rFonts w:ascii="Times New Roman" w:hAnsi="Times New Roman" w:cs="Times New Roman"/>
          <w:sz w:val="24"/>
          <w:szCs w:val="24"/>
        </w:rPr>
        <w:t xml:space="preserve">eterminants of </w:t>
      </w:r>
      <w:r w:rsidR="003305F5">
        <w:rPr>
          <w:rFonts w:ascii="Times New Roman" w:hAnsi="Times New Roman" w:cs="Times New Roman"/>
          <w:sz w:val="24"/>
          <w:szCs w:val="24"/>
        </w:rPr>
        <w:t>d</w:t>
      </w:r>
      <w:r w:rsidRPr="00835A9E">
        <w:rPr>
          <w:rFonts w:ascii="Times New Roman" w:hAnsi="Times New Roman" w:cs="Times New Roman"/>
          <w:sz w:val="24"/>
          <w:szCs w:val="24"/>
        </w:rPr>
        <w:t>ividend payout</w:t>
      </w:r>
      <w:r>
        <w:rPr>
          <w:rFonts w:ascii="Times New Roman" w:hAnsi="Times New Roman" w:cs="Times New Roman"/>
          <w:sz w:val="24"/>
          <w:szCs w:val="24"/>
        </w:rPr>
        <w:t xml:space="preserve"> </w:t>
      </w:r>
      <w:r w:rsidR="003305F5">
        <w:rPr>
          <w:rFonts w:ascii="Times New Roman" w:hAnsi="Times New Roman" w:cs="Times New Roman"/>
          <w:sz w:val="24"/>
          <w:szCs w:val="24"/>
        </w:rPr>
        <w:t>r</w:t>
      </w:r>
      <w:r w:rsidRPr="00835A9E">
        <w:rPr>
          <w:rFonts w:ascii="Times New Roman" w:hAnsi="Times New Roman" w:cs="Times New Roman"/>
          <w:sz w:val="24"/>
          <w:szCs w:val="24"/>
        </w:rPr>
        <w:t xml:space="preserve">atios, </w:t>
      </w:r>
      <w:r w:rsidRPr="003305F5">
        <w:rPr>
          <w:rFonts w:ascii="Times New Roman" w:hAnsi="Times New Roman" w:cs="Times New Roman"/>
          <w:i/>
          <w:sz w:val="24"/>
          <w:szCs w:val="24"/>
        </w:rPr>
        <w:t>Journal of Financial Research</w:t>
      </w:r>
      <w:r w:rsidRPr="00835A9E">
        <w:rPr>
          <w:rFonts w:ascii="Times New Roman" w:hAnsi="Times New Roman" w:cs="Times New Roman"/>
          <w:sz w:val="24"/>
          <w:szCs w:val="24"/>
        </w:rPr>
        <w:t xml:space="preserve"> 5, 249-259.</w:t>
      </w:r>
    </w:p>
    <w:p w:rsidR="000E67C5" w:rsidRDefault="000E67C5" w:rsidP="00FB12DA">
      <w:pPr>
        <w:spacing w:after="0" w:line="240" w:lineRule="auto"/>
        <w:ind w:left="360" w:hanging="360"/>
        <w:jc w:val="both"/>
        <w:rPr>
          <w:rFonts w:ascii="Times New Roman" w:hAnsi="Times New Roman" w:cs="Times New Roman"/>
          <w:sz w:val="24"/>
          <w:szCs w:val="24"/>
        </w:rPr>
      </w:pPr>
    </w:p>
    <w:p w:rsidR="008D4752" w:rsidRDefault="008D4752" w:rsidP="00FB12DA">
      <w:pPr>
        <w:spacing w:after="0" w:line="240" w:lineRule="auto"/>
        <w:ind w:left="360" w:hanging="360"/>
        <w:jc w:val="both"/>
        <w:rPr>
          <w:rFonts w:ascii="Times New Roman" w:hAnsi="Times New Roman" w:cs="Times New Roman"/>
          <w:sz w:val="24"/>
          <w:szCs w:val="24"/>
        </w:rPr>
      </w:pPr>
      <w:proofErr w:type="spellStart"/>
      <w:r w:rsidRPr="00CC143E">
        <w:rPr>
          <w:rFonts w:ascii="Times New Roman" w:hAnsi="Times New Roman" w:cs="Times New Roman"/>
          <w:sz w:val="24"/>
          <w:szCs w:val="24"/>
        </w:rPr>
        <w:t>Schliefer</w:t>
      </w:r>
      <w:proofErr w:type="spellEnd"/>
      <w:r w:rsidRPr="00CC143E">
        <w:rPr>
          <w:rFonts w:ascii="Times New Roman" w:hAnsi="Times New Roman" w:cs="Times New Roman"/>
          <w:sz w:val="24"/>
          <w:szCs w:val="24"/>
        </w:rPr>
        <w:t xml:space="preserve"> A, </w:t>
      </w:r>
      <w:r w:rsidR="003305F5">
        <w:rPr>
          <w:rFonts w:ascii="Times New Roman" w:hAnsi="Times New Roman" w:cs="Times New Roman"/>
          <w:sz w:val="24"/>
          <w:szCs w:val="24"/>
        </w:rPr>
        <w:t xml:space="preserve">and R.W., </w:t>
      </w:r>
      <w:proofErr w:type="spellStart"/>
      <w:r w:rsidRPr="00CC143E">
        <w:rPr>
          <w:rFonts w:ascii="Times New Roman" w:hAnsi="Times New Roman" w:cs="Times New Roman"/>
          <w:sz w:val="24"/>
          <w:szCs w:val="24"/>
        </w:rPr>
        <w:t>Vishny</w:t>
      </w:r>
      <w:proofErr w:type="spellEnd"/>
      <w:r w:rsidR="003305F5">
        <w:rPr>
          <w:rFonts w:ascii="Times New Roman" w:hAnsi="Times New Roman" w:cs="Times New Roman"/>
          <w:sz w:val="24"/>
          <w:szCs w:val="24"/>
        </w:rPr>
        <w:t>,</w:t>
      </w:r>
      <w:r w:rsidRPr="00CC143E">
        <w:rPr>
          <w:rFonts w:ascii="Times New Roman" w:hAnsi="Times New Roman" w:cs="Times New Roman"/>
          <w:sz w:val="24"/>
          <w:szCs w:val="24"/>
        </w:rPr>
        <w:t xml:space="preserve"> 1990</w:t>
      </w:r>
      <w:r w:rsidR="003305F5">
        <w:rPr>
          <w:rFonts w:ascii="Times New Roman" w:hAnsi="Times New Roman" w:cs="Times New Roman"/>
          <w:sz w:val="24"/>
          <w:szCs w:val="24"/>
        </w:rPr>
        <w:t>,</w:t>
      </w:r>
      <w:r w:rsidRPr="00CC143E">
        <w:rPr>
          <w:rFonts w:ascii="Times New Roman" w:hAnsi="Times New Roman" w:cs="Times New Roman"/>
          <w:sz w:val="24"/>
          <w:szCs w:val="24"/>
        </w:rPr>
        <w:t xml:space="preserve"> Equilibrium short horizons of investors and firms. </w:t>
      </w:r>
      <w:r w:rsidRPr="003305F5">
        <w:rPr>
          <w:rFonts w:ascii="Times New Roman" w:hAnsi="Times New Roman" w:cs="Times New Roman"/>
          <w:i/>
          <w:sz w:val="24"/>
          <w:szCs w:val="24"/>
        </w:rPr>
        <w:t>American Economic Review</w:t>
      </w:r>
      <w:r w:rsidRPr="00CC143E">
        <w:rPr>
          <w:rFonts w:ascii="Times New Roman" w:hAnsi="Times New Roman" w:cs="Times New Roman"/>
          <w:sz w:val="24"/>
          <w:szCs w:val="24"/>
        </w:rPr>
        <w:t xml:space="preserve"> 80</w:t>
      </w:r>
      <w:r w:rsidR="003305F5">
        <w:rPr>
          <w:rFonts w:ascii="Times New Roman" w:hAnsi="Times New Roman" w:cs="Times New Roman"/>
          <w:sz w:val="24"/>
          <w:szCs w:val="24"/>
        </w:rPr>
        <w:t>,</w:t>
      </w:r>
      <w:r w:rsidRPr="00CC143E">
        <w:rPr>
          <w:rFonts w:ascii="Times New Roman" w:hAnsi="Times New Roman" w:cs="Times New Roman"/>
          <w:sz w:val="24"/>
          <w:szCs w:val="24"/>
        </w:rPr>
        <w:t xml:space="preserve"> 148-153</w:t>
      </w:r>
      <w:r>
        <w:rPr>
          <w:rFonts w:ascii="Times New Roman" w:hAnsi="Times New Roman" w:cs="Times New Roman"/>
          <w:sz w:val="24"/>
          <w:szCs w:val="24"/>
        </w:rPr>
        <w:t>.</w:t>
      </w:r>
    </w:p>
    <w:p w:rsidR="00FB12DA" w:rsidRDefault="00FB12DA" w:rsidP="00FB12DA">
      <w:pPr>
        <w:spacing w:after="0" w:line="240" w:lineRule="auto"/>
        <w:ind w:left="360" w:hanging="360"/>
        <w:jc w:val="both"/>
        <w:rPr>
          <w:rFonts w:ascii="Times New Roman" w:hAnsi="Times New Roman" w:cs="Times New Roman"/>
          <w:sz w:val="24"/>
          <w:szCs w:val="24"/>
        </w:rPr>
      </w:pPr>
    </w:p>
    <w:p w:rsidR="008D4752" w:rsidRPr="00383CAD" w:rsidRDefault="008D4752" w:rsidP="00FB12DA">
      <w:pPr>
        <w:spacing w:after="0" w:line="240" w:lineRule="auto"/>
        <w:ind w:left="360" w:hanging="360"/>
        <w:jc w:val="both"/>
        <w:rPr>
          <w:rFonts w:ascii="Times New Roman" w:hAnsi="Times New Roman" w:cs="Times New Roman"/>
          <w:sz w:val="24"/>
          <w:szCs w:val="24"/>
        </w:rPr>
      </w:pPr>
      <w:r w:rsidRPr="0013344F">
        <w:rPr>
          <w:rFonts w:ascii="Times New Roman" w:hAnsi="Times New Roman" w:cs="Times New Roman"/>
          <w:sz w:val="24"/>
          <w:szCs w:val="24"/>
        </w:rPr>
        <w:t>Smith, C</w:t>
      </w:r>
      <w:r w:rsidR="003305F5">
        <w:rPr>
          <w:rFonts w:ascii="Times New Roman" w:hAnsi="Times New Roman" w:cs="Times New Roman"/>
          <w:sz w:val="24"/>
          <w:szCs w:val="24"/>
        </w:rPr>
        <w:t>.</w:t>
      </w:r>
      <w:r w:rsidRPr="0013344F">
        <w:rPr>
          <w:rFonts w:ascii="Times New Roman" w:hAnsi="Times New Roman" w:cs="Times New Roman"/>
          <w:sz w:val="24"/>
          <w:szCs w:val="24"/>
        </w:rPr>
        <w:t>W., and J</w:t>
      </w:r>
      <w:r w:rsidR="003305F5">
        <w:rPr>
          <w:rFonts w:ascii="Times New Roman" w:hAnsi="Times New Roman" w:cs="Times New Roman"/>
          <w:sz w:val="24"/>
          <w:szCs w:val="24"/>
        </w:rPr>
        <w:t>.</w:t>
      </w:r>
      <w:r w:rsidRPr="0013344F">
        <w:rPr>
          <w:rFonts w:ascii="Times New Roman" w:hAnsi="Times New Roman" w:cs="Times New Roman"/>
          <w:sz w:val="24"/>
          <w:szCs w:val="24"/>
        </w:rPr>
        <w:t xml:space="preserve">B. Warner, 1979, </w:t>
      </w:r>
      <w:proofErr w:type="gramStart"/>
      <w:r w:rsidRPr="0013344F">
        <w:rPr>
          <w:rFonts w:ascii="Times New Roman" w:hAnsi="Times New Roman" w:cs="Times New Roman"/>
          <w:sz w:val="24"/>
          <w:szCs w:val="24"/>
        </w:rPr>
        <w:t>On</w:t>
      </w:r>
      <w:proofErr w:type="gramEnd"/>
      <w:r w:rsidRPr="0013344F">
        <w:rPr>
          <w:rFonts w:ascii="Times New Roman" w:hAnsi="Times New Roman" w:cs="Times New Roman"/>
          <w:sz w:val="24"/>
          <w:szCs w:val="24"/>
        </w:rPr>
        <w:t xml:space="preserve"> financial contracting: An analysis of bond</w:t>
      </w:r>
      <w:r>
        <w:rPr>
          <w:rFonts w:ascii="Times New Roman" w:hAnsi="Times New Roman" w:cs="Times New Roman"/>
          <w:sz w:val="24"/>
          <w:szCs w:val="24"/>
        </w:rPr>
        <w:t xml:space="preserve"> </w:t>
      </w:r>
      <w:r w:rsidRPr="0013344F">
        <w:rPr>
          <w:rFonts w:ascii="Times New Roman" w:hAnsi="Times New Roman" w:cs="Times New Roman"/>
          <w:sz w:val="24"/>
          <w:szCs w:val="24"/>
        </w:rPr>
        <w:t xml:space="preserve">covenants, </w:t>
      </w:r>
      <w:r w:rsidRPr="003305F5">
        <w:rPr>
          <w:rFonts w:ascii="Times New Roman" w:hAnsi="Times New Roman" w:cs="Times New Roman"/>
          <w:i/>
          <w:sz w:val="24"/>
          <w:szCs w:val="24"/>
        </w:rPr>
        <w:t>Journal of Financial Economics</w:t>
      </w:r>
      <w:r w:rsidRPr="0013344F">
        <w:rPr>
          <w:rFonts w:ascii="Times New Roman" w:hAnsi="Times New Roman" w:cs="Times New Roman"/>
          <w:sz w:val="24"/>
          <w:szCs w:val="24"/>
        </w:rPr>
        <w:t xml:space="preserve"> 7, 117–162.</w:t>
      </w:r>
      <w:r>
        <w:rPr>
          <w:rFonts w:ascii="Times New Roman" w:hAnsi="Times New Roman" w:cs="Times New Roman"/>
          <w:sz w:val="24"/>
          <w:szCs w:val="24"/>
        </w:rPr>
        <w:t xml:space="preserve"> </w:t>
      </w:r>
    </w:p>
    <w:p w:rsidR="00FB12DA" w:rsidRDefault="00FB12DA" w:rsidP="00FB12DA">
      <w:pPr>
        <w:spacing w:after="0" w:line="240" w:lineRule="auto"/>
        <w:ind w:left="360" w:hanging="360"/>
        <w:jc w:val="both"/>
        <w:rPr>
          <w:rFonts w:ascii="Times New Roman" w:hAnsi="Times New Roman" w:cs="Times New Roman"/>
          <w:color w:val="000000"/>
          <w:sz w:val="24"/>
          <w:szCs w:val="24"/>
        </w:rPr>
      </w:pPr>
    </w:p>
    <w:p w:rsidR="008D4752" w:rsidRPr="000A63DD" w:rsidRDefault="008D4752" w:rsidP="00FB12DA">
      <w:pPr>
        <w:spacing w:after="0" w:line="240" w:lineRule="auto"/>
        <w:ind w:left="360" w:hanging="360"/>
        <w:jc w:val="both"/>
        <w:rPr>
          <w:rFonts w:ascii="Times New Roman" w:hAnsi="Times New Roman" w:cs="Times New Roman"/>
          <w:color w:val="000000"/>
          <w:sz w:val="24"/>
          <w:szCs w:val="24"/>
        </w:rPr>
      </w:pPr>
      <w:proofErr w:type="spellStart"/>
      <w:r w:rsidRPr="000A63DD">
        <w:rPr>
          <w:rFonts w:ascii="Times New Roman" w:hAnsi="Times New Roman" w:cs="Times New Roman"/>
          <w:color w:val="000000"/>
          <w:sz w:val="24"/>
          <w:szCs w:val="24"/>
        </w:rPr>
        <w:t>Sundaram</w:t>
      </w:r>
      <w:proofErr w:type="spellEnd"/>
      <w:r w:rsidRPr="000A63DD">
        <w:rPr>
          <w:rFonts w:ascii="Times New Roman" w:hAnsi="Times New Roman" w:cs="Times New Roman"/>
          <w:color w:val="000000"/>
          <w:sz w:val="24"/>
          <w:szCs w:val="24"/>
        </w:rPr>
        <w:t xml:space="preserve"> R., and D. </w:t>
      </w:r>
      <w:proofErr w:type="spellStart"/>
      <w:r w:rsidRPr="000A63DD">
        <w:rPr>
          <w:rFonts w:ascii="Times New Roman" w:hAnsi="Times New Roman" w:cs="Times New Roman"/>
          <w:color w:val="000000"/>
          <w:sz w:val="24"/>
          <w:szCs w:val="24"/>
        </w:rPr>
        <w:t>Yermack</w:t>
      </w:r>
      <w:proofErr w:type="spellEnd"/>
      <w:r w:rsidRPr="000A63DD">
        <w:rPr>
          <w:rFonts w:ascii="Times New Roman" w:hAnsi="Times New Roman" w:cs="Times New Roman"/>
          <w:color w:val="000000"/>
          <w:sz w:val="24"/>
          <w:szCs w:val="24"/>
        </w:rPr>
        <w:t xml:space="preserve">, 2007, Pay me later: Inside debt and its role in managerial compensation, </w:t>
      </w:r>
      <w:r w:rsidRPr="000A63DD">
        <w:rPr>
          <w:rFonts w:ascii="Times New Roman" w:hAnsi="Times New Roman" w:cs="Times New Roman"/>
          <w:i/>
          <w:iCs/>
          <w:color w:val="000000"/>
          <w:sz w:val="24"/>
          <w:szCs w:val="24"/>
        </w:rPr>
        <w:t xml:space="preserve">Journal of Finance </w:t>
      </w:r>
      <w:r w:rsidRPr="000A63DD">
        <w:rPr>
          <w:rFonts w:ascii="Times New Roman" w:hAnsi="Times New Roman" w:cs="Times New Roman"/>
          <w:color w:val="000000"/>
          <w:sz w:val="24"/>
          <w:szCs w:val="24"/>
        </w:rPr>
        <w:t>62, 1551-1588.</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Pr="000A63DD" w:rsidRDefault="003305F5"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Pr>
          <w:rFonts w:ascii="Times New Roman" w:hAnsi="Times New Roman" w:cs="Times New Roman"/>
          <w:sz w:val="24"/>
          <w:szCs w:val="24"/>
        </w:rPr>
        <w:t>Treynor</w:t>
      </w:r>
      <w:proofErr w:type="spellEnd"/>
      <w:r>
        <w:rPr>
          <w:rFonts w:ascii="Times New Roman" w:hAnsi="Times New Roman" w:cs="Times New Roman"/>
          <w:sz w:val="24"/>
          <w:szCs w:val="24"/>
        </w:rPr>
        <w:t xml:space="preserve">, J.L., and F. Black, 1976, </w:t>
      </w:r>
      <w:proofErr w:type="gramStart"/>
      <w:r w:rsidR="008D4752" w:rsidRPr="000A63DD">
        <w:rPr>
          <w:rFonts w:ascii="Times New Roman" w:hAnsi="Times New Roman" w:cs="Times New Roman"/>
          <w:sz w:val="24"/>
          <w:szCs w:val="24"/>
        </w:rPr>
        <w:t>Corporate</w:t>
      </w:r>
      <w:proofErr w:type="gramEnd"/>
      <w:r w:rsidR="008D4752" w:rsidRPr="000A63DD">
        <w:rPr>
          <w:rFonts w:ascii="Times New Roman" w:hAnsi="Times New Roman" w:cs="Times New Roman"/>
          <w:sz w:val="24"/>
          <w:szCs w:val="24"/>
        </w:rPr>
        <w:t xml:space="preserve"> </w:t>
      </w:r>
      <w:r>
        <w:rPr>
          <w:rFonts w:ascii="Times New Roman" w:hAnsi="Times New Roman" w:cs="Times New Roman"/>
          <w:sz w:val="24"/>
          <w:szCs w:val="24"/>
        </w:rPr>
        <w:t>i</w:t>
      </w:r>
      <w:r w:rsidR="008D4752" w:rsidRPr="000A63DD">
        <w:rPr>
          <w:rFonts w:ascii="Times New Roman" w:hAnsi="Times New Roman" w:cs="Times New Roman"/>
          <w:sz w:val="24"/>
          <w:szCs w:val="24"/>
        </w:rPr>
        <w:t xml:space="preserve">nvestment </w:t>
      </w:r>
      <w:r>
        <w:rPr>
          <w:rFonts w:ascii="Times New Roman" w:hAnsi="Times New Roman" w:cs="Times New Roman"/>
          <w:sz w:val="24"/>
          <w:szCs w:val="24"/>
        </w:rPr>
        <w:t>decisions,</w:t>
      </w:r>
      <w:r w:rsidR="008D4752" w:rsidRPr="000A63DD">
        <w:rPr>
          <w:rFonts w:ascii="Times New Roman" w:hAnsi="Times New Roman" w:cs="Times New Roman"/>
          <w:sz w:val="24"/>
          <w:szCs w:val="24"/>
        </w:rPr>
        <w:t xml:space="preserve"> in </w:t>
      </w:r>
      <w:r w:rsidR="008D4752" w:rsidRPr="000A63DD">
        <w:rPr>
          <w:rFonts w:ascii="Times New Roman" w:hAnsi="Times New Roman" w:cs="Times New Roman"/>
          <w:i/>
          <w:iCs/>
          <w:sz w:val="24"/>
          <w:szCs w:val="24"/>
        </w:rPr>
        <w:t>Modern Developments in Financial Management</w:t>
      </w:r>
      <w:r w:rsidR="008D4752" w:rsidRPr="000A63DD">
        <w:rPr>
          <w:rFonts w:ascii="Times New Roman" w:hAnsi="Times New Roman" w:cs="Times New Roman"/>
          <w:sz w:val="24"/>
          <w:szCs w:val="24"/>
        </w:rPr>
        <w:t xml:space="preserve">, ed. Stewart C. Myers, New York: </w:t>
      </w:r>
      <w:proofErr w:type="spellStart"/>
      <w:r w:rsidR="008D4752" w:rsidRPr="000A63DD">
        <w:rPr>
          <w:rFonts w:ascii="Times New Roman" w:hAnsi="Times New Roman" w:cs="Times New Roman"/>
          <w:sz w:val="24"/>
          <w:szCs w:val="24"/>
        </w:rPr>
        <w:t>Praeger</w:t>
      </w:r>
      <w:proofErr w:type="spellEnd"/>
      <w:r w:rsidR="008D4752" w:rsidRPr="000A63DD">
        <w:rPr>
          <w:rFonts w:ascii="Times New Roman" w:hAnsi="Times New Roman" w:cs="Times New Roman"/>
          <w:sz w:val="24"/>
          <w:szCs w:val="24"/>
        </w:rPr>
        <w:t>, 310-327.</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8D4752" w:rsidRDefault="008D4752" w:rsidP="00FB12DA">
      <w:pPr>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0A63DD">
        <w:rPr>
          <w:rFonts w:ascii="Times New Roman" w:hAnsi="Times New Roman" w:cs="Times New Roman"/>
          <w:sz w:val="24"/>
          <w:szCs w:val="24"/>
        </w:rPr>
        <w:t>Waegelein</w:t>
      </w:r>
      <w:proofErr w:type="spellEnd"/>
      <w:r w:rsidRPr="000A63DD">
        <w:rPr>
          <w:rFonts w:ascii="Times New Roman" w:hAnsi="Times New Roman" w:cs="Times New Roman"/>
          <w:sz w:val="24"/>
          <w:szCs w:val="24"/>
        </w:rPr>
        <w:t>,</w:t>
      </w:r>
      <w:r>
        <w:rPr>
          <w:rFonts w:ascii="Times New Roman" w:hAnsi="Times New Roman" w:cs="Times New Roman"/>
          <w:sz w:val="24"/>
          <w:szCs w:val="24"/>
        </w:rPr>
        <w:t xml:space="preserve"> J</w:t>
      </w:r>
      <w:r w:rsidR="003305F5">
        <w:rPr>
          <w:rFonts w:ascii="Times New Roman" w:hAnsi="Times New Roman" w:cs="Times New Roman"/>
          <w:sz w:val="24"/>
          <w:szCs w:val="24"/>
        </w:rPr>
        <w:t>.</w:t>
      </w:r>
      <w:r>
        <w:rPr>
          <w:rFonts w:ascii="Times New Roman" w:hAnsi="Times New Roman" w:cs="Times New Roman"/>
          <w:sz w:val="24"/>
          <w:szCs w:val="24"/>
        </w:rPr>
        <w:t>F.,</w:t>
      </w:r>
      <w:r w:rsidRPr="000A63DD">
        <w:rPr>
          <w:rFonts w:ascii="Times New Roman" w:hAnsi="Times New Roman" w:cs="Times New Roman"/>
          <w:sz w:val="24"/>
          <w:szCs w:val="24"/>
        </w:rPr>
        <w:t xml:space="preserve"> 1988, </w:t>
      </w:r>
      <w:proofErr w:type="gramStart"/>
      <w:r w:rsidRPr="000A63DD">
        <w:rPr>
          <w:rFonts w:ascii="Times New Roman" w:hAnsi="Times New Roman" w:cs="Times New Roman"/>
          <w:sz w:val="24"/>
          <w:szCs w:val="24"/>
        </w:rPr>
        <w:t>The</w:t>
      </w:r>
      <w:proofErr w:type="gramEnd"/>
      <w:r w:rsidRPr="000A63DD">
        <w:rPr>
          <w:rFonts w:ascii="Times New Roman" w:hAnsi="Times New Roman" w:cs="Times New Roman"/>
          <w:sz w:val="24"/>
          <w:szCs w:val="24"/>
        </w:rPr>
        <w:t xml:space="preserve"> </w:t>
      </w:r>
      <w:r w:rsidR="003305F5">
        <w:rPr>
          <w:rFonts w:ascii="Times New Roman" w:hAnsi="Times New Roman" w:cs="Times New Roman"/>
          <w:sz w:val="24"/>
          <w:szCs w:val="24"/>
        </w:rPr>
        <w:t>a</w:t>
      </w:r>
      <w:r w:rsidRPr="000A63DD">
        <w:rPr>
          <w:rFonts w:ascii="Times New Roman" w:hAnsi="Times New Roman" w:cs="Times New Roman"/>
          <w:sz w:val="24"/>
          <w:szCs w:val="24"/>
        </w:rPr>
        <w:t xml:space="preserve">ssociation </w:t>
      </w:r>
      <w:r w:rsidR="003305F5">
        <w:rPr>
          <w:rFonts w:ascii="Times New Roman" w:hAnsi="Times New Roman" w:cs="Times New Roman"/>
          <w:sz w:val="24"/>
          <w:szCs w:val="24"/>
        </w:rPr>
        <w:t>b</w:t>
      </w:r>
      <w:r w:rsidRPr="000A63DD">
        <w:rPr>
          <w:rFonts w:ascii="Times New Roman" w:hAnsi="Times New Roman" w:cs="Times New Roman"/>
          <w:sz w:val="24"/>
          <w:szCs w:val="24"/>
        </w:rPr>
        <w:t xml:space="preserve">etween the </w:t>
      </w:r>
      <w:r w:rsidR="003305F5">
        <w:rPr>
          <w:rFonts w:ascii="Times New Roman" w:hAnsi="Times New Roman" w:cs="Times New Roman"/>
          <w:sz w:val="24"/>
          <w:szCs w:val="24"/>
        </w:rPr>
        <w:t>a</w:t>
      </w:r>
      <w:r w:rsidRPr="000A63DD">
        <w:rPr>
          <w:rFonts w:ascii="Times New Roman" w:hAnsi="Times New Roman" w:cs="Times New Roman"/>
          <w:sz w:val="24"/>
          <w:szCs w:val="24"/>
        </w:rPr>
        <w:t xml:space="preserve">doption of </w:t>
      </w:r>
      <w:r w:rsidR="003305F5">
        <w:rPr>
          <w:rFonts w:ascii="Times New Roman" w:hAnsi="Times New Roman" w:cs="Times New Roman"/>
          <w:sz w:val="24"/>
          <w:szCs w:val="24"/>
        </w:rPr>
        <w:t>s</w:t>
      </w:r>
      <w:r w:rsidRPr="000A63DD">
        <w:rPr>
          <w:rFonts w:ascii="Times New Roman" w:hAnsi="Times New Roman" w:cs="Times New Roman"/>
          <w:sz w:val="24"/>
          <w:szCs w:val="24"/>
        </w:rPr>
        <w:t>hort-</w:t>
      </w:r>
      <w:r w:rsidR="003305F5">
        <w:rPr>
          <w:rFonts w:ascii="Times New Roman" w:hAnsi="Times New Roman" w:cs="Times New Roman"/>
          <w:sz w:val="24"/>
          <w:szCs w:val="24"/>
        </w:rPr>
        <w:t>t</w:t>
      </w:r>
      <w:r w:rsidRPr="000A63DD">
        <w:rPr>
          <w:rFonts w:ascii="Times New Roman" w:hAnsi="Times New Roman" w:cs="Times New Roman"/>
          <w:sz w:val="24"/>
          <w:szCs w:val="24"/>
        </w:rPr>
        <w:t xml:space="preserve">erm </w:t>
      </w:r>
      <w:r w:rsidR="003305F5">
        <w:rPr>
          <w:rFonts w:ascii="Times New Roman" w:hAnsi="Times New Roman" w:cs="Times New Roman"/>
          <w:sz w:val="24"/>
          <w:szCs w:val="24"/>
        </w:rPr>
        <w:t>b</w:t>
      </w:r>
      <w:r w:rsidRPr="000A63DD">
        <w:rPr>
          <w:rFonts w:ascii="Times New Roman" w:hAnsi="Times New Roman" w:cs="Times New Roman"/>
          <w:sz w:val="24"/>
          <w:szCs w:val="24"/>
        </w:rPr>
        <w:t>onus</w:t>
      </w:r>
      <w:r>
        <w:rPr>
          <w:rFonts w:ascii="Times New Roman" w:hAnsi="Times New Roman" w:cs="Times New Roman"/>
          <w:sz w:val="24"/>
          <w:szCs w:val="24"/>
        </w:rPr>
        <w:t xml:space="preserve"> </w:t>
      </w:r>
      <w:r w:rsidR="003305F5">
        <w:rPr>
          <w:rFonts w:ascii="Times New Roman" w:hAnsi="Times New Roman" w:cs="Times New Roman"/>
          <w:sz w:val="24"/>
          <w:szCs w:val="24"/>
        </w:rPr>
        <w:t>p</w:t>
      </w:r>
      <w:r w:rsidRPr="000A63DD">
        <w:rPr>
          <w:rFonts w:ascii="Times New Roman" w:hAnsi="Times New Roman" w:cs="Times New Roman"/>
          <w:sz w:val="24"/>
          <w:szCs w:val="24"/>
        </w:rPr>
        <w:t xml:space="preserve">lans and </w:t>
      </w:r>
      <w:r w:rsidR="003305F5">
        <w:rPr>
          <w:rFonts w:ascii="Times New Roman" w:hAnsi="Times New Roman" w:cs="Times New Roman"/>
          <w:sz w:val="24"/>
          <w:szCs w:val="24"/>
        </w:rPr>
        <w:t>c</w:t>
      </w:r>
      <w:r w:rsidRPr="000A63DD">
        <w:rPr>
          <w:rFonts w:ascii="Times New Roman" w:hAnsi="Times New Roman" w:cs="Times New Roman"/>
          <w:sz w:val="24"/>
          <w:szCs w:val="24"/>
        </w:rPr>
        <w:t xml:space="preserve">orporate </w:t>
      </w:r>
      <w:r w:rsidR="003305F5">
        <w:rPr>
          <w:rFonts w:ascii="Times New Roman" w:hAnsi="Times New Roman" w:cs="Times New Roman"/>
          <w:sz w:val="24"/>
          <w:szCs w:val="24"/>
        </w:rPr>
        <w:t>e</w:t>
      </w:r>
      <w:r w:rsidRPr="000A63DD">
        <w:rPr>
          <w:rFonts w:ascii="Times New Roman" w:hAnsi="Times New Roman" w:cs="Times New Roman"/>
          <w:sz w:val="24"/>
          <w:szCs w:val="24"/>
        </w:rPr>
        <w:t xml:space="preserve">xpenditures, </w:t>
      </w:r>
      <w:r w:rsidRPr="000A63DD">
        <w:rPr>
          <w:rFonts w:ascii="Times New Roman" w:hAnsi="Times New Roman" w:cs="Times New Roman"/>
          <w:i/>
          <w:sz w:val="24"/>
          <w:szCs w:val="24"/>
        </w:rPr>
        <w:t>Journal of Accounting and Public Policy</w:t>
      </w:r>
      <w:r w:rsidRPr="000A63DD">
        <w:rPr>
          <w:rFonts w:ascii="Times New Roman" w:hAnsi="Times New Roman" w:cs="Times New Roman"/>
          <w:sz w:val="24"/>
          <w:szCs w:val="24"/>
        </w:rPr>
        <w:t xml:space="preserve">, </w:t>
      </w:r>
      <w:r w:rsidR="003305F5">
        <w:rPr>
          <w:rFonts w:ascii="Times New Roman" w:hAnsi="Times New Roman" w:cs="Times New Roman"/>
          <w:sz w:val="24"/>
          <w:szCs w:val="24"/>
        </w:rPr>
        <w:t xml:space="preserve">March </w:t>
      </w:r>
      <w:r w:rsidRPr="000A63DD">
        <w:rPr>
          <w:rFonts w:ascii="Times New Roman" w:hAnsi="Times New Roman" w:cs="Times New Roman"/>
          <w:sz w:val="24"/>
          <w:szCs w:val="24"/>
        </w:rPr>
        <w:t>43-63</w:t>
      </w:r>
      <w:r w:rsidR="0065221D">
        <w:rPr>
          <w:rFonts w:ascii="Times New Roman" w:hAnsi="Times New Roman" w:cs="Times New Roman"/>
          <w:sz w:val="24"/>
          <w:szCs w:val="24"/>
        </w:rPr>
        <w:t>.</w:t>
      </w:r>
    </w:p>
    <w:p w:rsidR="00FB12DA" w:rsidRDefault="00FB12DA" w:rsidP="00FB12DA">
      <w:pPr>
        <w:autoSpaceDE w:val="0"/>
        <w:autoSpaceDN w:val="0"/>
        <w:adjustRightInd w:val="0"/>
        <w:spacing w:after="0" w:line="240" w:lineRule="auto"/>
        <w:ind w:left="360" w:hanging="360"/>
        <w:jc w:val="both"/>
        <w:rPr>
          <w:rFonts w:ascii="Times New Roman" w:hAnsi="Times New Roman" w:cs="Times New Roman"/>
          <w:sz w:val="24"/>
          <w:szCs w:val="24"/>
        </w:rPr>
      </w:pPr>
    </w:p>
    <w:p w:rsidR="0065221D" w:rsidRPr="000A63DD" w:rsidRDefault="0065221D" w:rsidP="00FB12DA">
      <w:pPr>
        <w:autoSpaceDE w:val="0"/>
        <w:autoSpaceDN w:val="0"/>
        <w:adjustRightInd w:val="0"/>
        <w:spacing w:after="0" w:line="240" w:lineRule="auto"/>
        <w:ind w:left="360" w:hanging="360"/>
        <w:jc w:val="both"/>
        <w:rPr>
          <w:rFonts w:ascii="Times New Roman" w:hAnsi="Times New Roman" w:cs="Times New Roman"/>
          <w:sz w:val="24"/>
          <w:szCs w:val="24"/>
        </w:rPr>
      </w:pPr>
      <w:r w:rsidRPr="0065221D">
        <w:rPr>
          <w:rFonts w:ascii="Times New Roman" w:hAnsi="Times New Roman" w:cs="Times New Roman"/>
          <w:sz w:val="24"/>
          <w:szCs w:val="24"/>
        </w:rPr>
        <w:t>White, L.</w:t>
      </w:r>
      <w:r>
        <w:rPr>
          <w:rFonts w:ascii="Times New Roman" w:hAnsi="Times New Roman" w:cs="Times New Roman"/>
          <w:sz w:val="24"/>
          <w:szCs w:val="24"/>
        </w:rPr>
        <w:t xml:space="preserve">, 1996, </w:t>
      </w:r>
      <w:r w:rsidRPr="0065221D">
        <w:rPr>
          <w:rFonts w:ascii="Times New Roman" w:hAnsi="Times New Roman" w:cs="Times New Roman"/>
          <w:sz w:val="24"/>
          <w:szCs w:val="24"/>
        </w:rPr>
        <w:t xml:space="preserve">Executive </w:t>
      </w:r>
      <w:r>
        <w:rPr>
          <w:rFonts w:ascii="Times New Roman" w:hAnsi="Times New Roman" w:cs="Times New Roman"/>
          <w:sz w:val="24"/>
          <w:szCs w:val="24"/>
        </w:rPr>
        <w:t>c</w:t>
      </w:r>
      <w:r w:rsidRPr="0065221D">
        <w:rPr>
          <w:rFonts w:ascii="Times New Roman" w:hAnsi="Times New Roman" w:cs="Times New Roman"/>
          <w:sz w:val="24"/>
          <w:szCs w:val="24"/>
        </w:rPr>
        <w:t xml:space="preserve">ompensation and </w:t>
      </w:r>
      <w:r>
        <w:rPr>
          <w:rFonts w:ascii="Times New Roman" w:hAnsi="Times New Roman" w:cs="Times New Roman"/>
          <w:sz w:val="24"/>
          <w:szCs w:val="24"/>
        </w:rPr>
        <w:t>d</w:t>
      </w:r>
      <w:r w:rsidRPr="0065221D">
        <w:rPr>
          <w:rFonts w:ascii="Times New Roman" w:hAnsi="Times New Roman" w:cs="Times New Roman"/>
          <w:sz w:val="24"/>
          <w:szCs w:val="24"/>
        </w:rPr>
        <w:t xml:space="preserve">ividend </w:t>
      </w:r>
      <w:r>
        <w:rPr>
          <w:rFonts w:ascii="Times New Roman" w:hAnsi="Times New Roman" w:cs="Times New Roman"/>
          <w:sz w:val="24"/>
          <w:szCs w:val="24"/>
        </w:rPr>
        <w:t>policy,</w:t>
      </w:r>
      <w:r w:rsidRPr="0065221D">
        <w:rPr>
          <w:rFonts w:ascii="Times New Roman" w:hAnsi="Times New Roman" w:cs="Times New Roman"/>
          <w:sz w:val="24"/>
          <w:szCs w:val="24"/>
        </w:rPr>
        <w:t xml:space="preserve"> </w:t>
      </w:r>
      <w:r w:rsidRPr="0065221D">
        <w:rPr>
          <w:rFonts w:ascii="Times New Roman" w:hAnsi="Times New Roman" w:cs="Times New Roman"/>
          <w:i/>
          <w:sz w:val="24"/>
          <w:szCs w:val="24"/>
        </w:rPr>
        <w:t>Journal of Corporate Finance</w:t>
      </w:r>
      <w:r>
        <w:rPr>
          <w:rFonts w:ascii="Times New Roman" w:hAnsi="Times New Roman" w:cs="Times New Roman"/>
          <w:sz w:val="24"/>
          <w:szCs w:val="24"/>
        </w:rPr>
        <w:t xml:space="preserve"> </w:t>
      </w:r>
      <w:r w:rsidRPr="0065221D">
        <w:rPr>
          <w:rFonts w:ascii="Times New Roman" w:hAnsi="Times New Roman" w:cs="Times New Roman"/>
          <w:sz w:val="24"/>
          <w:szCs w:val="24"/>
        </w:rPr>
        <w:t>2</w:t>
      </w:r>
      <w:r>
        <w:rPr>
          <w:rFonts w:ascii="Times New Roman" w:hAnsi="Times New Roman" w:cs="Times New Roman"/>
          <w:sz w:val="24"/>
          <w:szCs w:val="24"/>
        </w:rPr>
        <w:t>,</w:t>
      </w:r>
      <w:r w:rsidRPr="0065221D">
        <w:rPr>
          <w:rFonts w:ascii="Times New Roman" w:hAnsi="Times New Roman" w:cs="Times New Roman"/>
          <w:sz w:val="24"/>
          <w:szCs w:val="24"/>
        </w:rPr>
        <w:t xml:space="preserve"> 335-358.</w:t>
      </w:r>
    </w:p>
    <w:p w:rsidR="004942E7" w:rsidRDefault="004942E7" w:rsidP="008D4752">
      <w:pPr>
        <w:spacing w:after="0" w:line="360" w:lineRule="auto"/>
        <w:ind w:left="360" w:hanging="360"/>
        <w:jc w:val="both"/>
        <w:rPr>
          <w:rFonts w:ascii="Times New Roman" w:hAnsi="Times New Roman" w:cs="Times New Roman"/>
          <w:sz w:val="24"/>
          <w:szCs w:val="24"/>
        </w:rPr>
      </w:pPr>
    </w:p>
    <w:p w:rsidR="00C16288" w:rsidRDefault="00C16288" w:rsidP="008D4752">
      <w:pPr>
        <w:spacing w:after="0" w:line="360" w:lineRule="auto"/>
        <w:ind w:left="360" w:hanging="360"/>
        <w:jc w:val="both"/>
        <w:rPr>
          <w:rFonts w:ascii="Times New Roman" w:hAnsi="Times New Roman" w:cs="Times New Roman"/>
          <w:sz w:val="24"/>
          <w:szCs w:val="24"/>
        </w:rPr>
      </w:pPr>
    </w:p>
    <w:p w:rsidR="00C16288" w:rsidRDefault="00C16288" w:rsidP="008D4752">
      <w:pPr>
        <w:spacing w:after="0" w:line="360" w:lineRule="auto"/>
        <w:ind w:left="360" w:hanging="360"/>
        <w:jc w:val="both"/>
        <w:rPr>
          <w:rFonts w:ascii="Times New Roman" w:hAnsi="Times New Roman" w:cs="Times New Roman"/>
          <w:sz w:val="24"/>
          <w:szCs w:val="24"/>
        </w:rPr>
      </w:pPr>
    </w:p>
    <w:p w:rsidR="004942E7" w:rsidRDefault="004942E7">
      <w:pPr>
        <w:rPr>
          <w:rFonts w:ascii="Times New Roman" w:hAnsi="Times New Roman" w:cs="Times New Roman"/>
          <w:sz w:val="24"/>
          <w:szCs w:val="24"/>
        </w:rPr>
      </w:pPr>
      <w:r>
        <w:rPr>
          <w:rFonts w:ascii="Times New Roman" w:hAnsi="Times New Roman" w:cs="Times New Roman"/>
          <w:sz w:val="24"/>
          <w:szCs w:val="24"/>
        </w:rPr>
        <w:br w:type="page"/>
      </w:r>
    </w:p>
    <w:p w:rsidR="008E65D9" w:rsidRDefault="008E65D9" w:rsidP="00FC3B15">
      <w:pPr>
        <w:spacing w:after="0" w:line="240" w:lineRule="auto"/>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1: Descriptive statistics</w:t>
      </w:r>
    </w:p>
    <w:p w:rsidR="008E65D9" w:rsidRPr="00864D37" w:rsidRDefault="008E65D9" w:rsidP="008E65D9">
      <w:pPr>
        <w:spacing w:after="0" w:line="240" w:lineRule="auto"/>
        <w:jc w:val="both"/>
        <w:rPr>
          <w:sz w:val="18"/>
          <w:szCs w:val="18"/>
        </w:rPr>
      </w:pPr>
      <w:r w:rsidRPr="00864D37">
        <w:rPr>
          <w:rFonts w:ascii="Times New Roman" w:hAnsi="Times New Roman" w:cs="Times New Roman"/>
          <w:sz w:val="18"/>
          <w:szCs w:val="18"/>
        </w:rPr>
        <w:t>The table presents descriptive statistics on the sample firms. P25, P50, and P75 indicate the 25</w:t>
      </w:r>
      <w:r w:rsidRPr="00864D37">
        <w:rPr>
          <w:rFonts w:ascii="Times New Roman" w:hAnsi="Times New Roman" w:cs="Times New Roman"/>
          <w:sz w:val="18"/>
          <w:szCs w:val="18"/>
          <w:vertAlign w:val="superscript"/>
        </w:rPr>
        <w:t>th</w:t>
      </w:r>
      <w:r w:rsidRPr="00864D37">
        <w:rPr>
          <w:rFonts w:ascii="Times New Roman" w:hAnsi="Times New Roman" w:cs="Times New Roman"/>
          <w:sz w:val="18"/>
          <w:szCs w:val="18"/>
        </w:rPr>
        <w:t>, 50</w:t>
      </w:r>
      <w:r w:rsidRPr="00864D37">
        <w:rPr>
          <w:rFonts w:ascii="Times New Roman" w:hAnsi="Times New Roman" w:cs="Times New Roman"/>
          <w:sz w:val="18"/>
          <w:szCs w:val="18"/>
          <w:vertAlign w:val="superscript"/>
        </w:rPr>
        <w:t>th</w:t>
      </w:r>
      <w:r w:rsidRPr="00864D37">
        <w:rPr>
          <w:rFonts w:ascii="Times New Roman" w:hAnsi="Times New Roman" w:cs="Times New Roman"/>
          <w:sz w:val="18"/>
          <w:szCs w:val="18"/>
        </w:rPr>
        <w:t>, and 75</w:t>
      </w:r>
      <w:r w:rsidRPr="00864D37">
        <w:rPr>
          <w:rFonts w:ascii="Times New Roman" w:hAnsi="Times New Roman" w:cs="Times New Roman"/>
          <w:sz w:val="18"/>
          <w:szCs w:val="18"/>
          <w:vertAlign w:val="superscript"/>
        </w:rPr>
        <w:t>th</w:t>
      </w:r>
      <w:r w:rsidRPr="00864D37">
        <w:rPr>
          <w:rFonts w:ascii="Times New Roman" w:hAnsi="Times New Roman" w:cs="Times New Roman"/>
          <w:sz w:val="18"/>
          <w:szCs w:val="18"/>
        </w:rPr>
        <w:t xml:space="preserve"> percentiles of each variable. Dividend yield is the annual dividend per share divided by the stock price</w:t>
      </w:r>
      <w:r w:rsidR="00D51D46">
        <w:rPr>
          <w:rFonts w:ascii="Times New Roman" w:hAnsi="Times New Roman" w:cs="Times New Roman"/>
          <w:sz w:val="18"/>
          <w:szCs w:val="18"/>
        </w:rPr>
        <w:t xml:space="preserve"> at the end of the year</w:t>
      </w:r>
      <w:r w:rsidRPr="00864D37">
        <w:rPr>
          <w:rFonts w:ascii="Times New Roman" w:hAnsi="Times New Roman" w:cs="Times New Roman"/>
          <w:sz w:val="18"/>
          <w:szCs w:val="18"/>
        </w:rPr>
        <w:t xml:space="preserve">. Dividend payout ratio is the dividend paid during a year divided by the income available to shareholders in the same year. Firm size </w:t>
      </w:r>
      <w:r>
        <w:rPr>
          <w:rFonts w:ascii="Times New Roman" w:hAnsi="Times New Roman" w:cs="Times New Roman"/>
          <w:sz w:val="18"/>
          <w:szCs w:val="18"/>
        </w:rPr>
        <w:t xml:space="preserve">(in log terms) </w:t>
      </w:r>
      <w:r w:rsidRPr="00864D37">
        <w:rPr>
          <w:rFonts w:ascii="Times New Roman" w:hAnsi="Times New Roman" w:cs="Times New Roman"/>
          <w:sz w:val="18"/>
          <w:szCs w:val="18"/>
        </w:rPr>
        <w:t>is the end of year firm stock price multiplied by the number of shares outstanding</w:t>
      </w:r>
      <w:r>
        <w:rPr>
          <w:rFonts w:ascii="Times New Roman" w:hAnsi="Times New Roman" w:cs="Times New Roman"/>
          <w:sz w:val="18"/>
          <w:szCs w:val="18"/>
        </w:rPr>
        <w:t xml:space="preserve"> </w:t>
      </w:r>
      <w:r w:rsidRPr="00273CC7">
        <w:rPr>
          <w:rFonts w:ascii="Times New Roman" w:hAnsi="Times New Roman" w:cs="Times New Roman"/>
          <w:sz w:val="18"/>
          <w:szCs w:val="18"/>
        </w:rPr>
        <w:t>(presented in billions of dollars).</w:t>
      </w:r>
      <w:r w:rsidRPr="00864D37">
        <w:rPr>
          <w:rFonts w:ascii="Times New Roman" w:hAnsi="Times New Roman" w:cs="Times New Roman"/>
          <w:sz w:val="18"/>
          <w:szCs w:val="18"/>
        </w:rPr>
        <w:t xml:space="preserve"> </w:t>
      </w:r>
      <w:r>
        <w:rPr>
          <w:rFonts w:ascii="Times New Roman" w:hAnsi="Times New Roman" w:cs="Times New Roman"/>
          <w:sz w:val="18"/>
          <w:szCs w:val="18"/>
        </w:rPr>
        <w:t>Book-to-market</w:t>
      </w:r>
      <w:r w:rsidRPr="00864D37">
        <w:rPr>
          <w:rFonts w:ascii="Times New Roman" w:hAnsi="Times New Roman" w:cs="Times New Roman"/>
          <w:sz w:val="18"/>
          <w:szCs w:val="18"/>
        </w:rPr>
        <w:t xml:space="preserve"> ratio is the </w:t>
      </w:r>
      <w:r>
        <w:rPr>
          <w:rFonts w:ascii="Times New Roman" w:hAnsi="Times New Roman" w:cs="Times New Roman"/>
          <w:sz w:val="18"/>
          <w:szCs w:val="18"/>
        </w:rPr>
        <w:t>book</w:t>
      </w:r>
      <w:r w:rsidRPr="00864D37">
        <w:rPr>
          <w:rFonts w:ascii="Times New Roman" w:hAnsi="Times New Roman" w:cs="Times New Roman"/>
          <w:sz w:val="18"/>
          <w:szCs w:val="18"/>
        </w:rPr>
        <w:t xml:space="preserve"> value of equity divided by </w:t>
      </w:r>
      <w:r>
        <w:rPr>
          <w:rFonts w:ascii="Times New Roman" w:hAnsi="Times New Roman" w:cs="Times New Roman"/>
          <w:sz w:val="18"/>
          <w:szCs w:val="18"/>
        </w:rPr>
        <w:t>market</w:t>
      </w:r>
      <w:r w:rsidRPr="00864D37">
        <w:rPr>
          <w:rFonts w:ascii="Times New Roman" w:hAnsi="Times New Roman" w:cs="Times New Roman"/>
          <w:sz w:val="18"/>
          <w:szCs w:val="18"/>
        </w:rPr>
        <w:t xml:space="preserve"> value of equity. Debt/</w:t>
      </w:r>
      <w:r>
        <w:rPr>
          <w:rFonts w:ascii="Times New Roman" w:hAnsi="Times New Roman" w:cs="Times New Roman"/>
          <w:sz w:val="18"/>
          <w:szCs w:val="18"/>
        </w:rPr>
        <w:t>e</w:t>
      </w:r>
      <w:r w:rsidRPr="00864D37">
        <w:rPr>
          <w:rFonts w:ascii="Times New Roman" w:hAnsi="Times New Roman" w:cs="Times New Roman"/>
          <w:sz w:val="18"/>
          <w:szCs w:val="18"/>
        </w:rPr>
        <w:t xml:space="preserve">quity is the book value of long-term debt divided by book value of equity. </w:t>
      </w:r>
      <w:r w:rsidRPr="00791BD1">
        <w:rPr>
          <w:rFonts w:ascii="Times New Roman" w:hAnsi="Times New Roman" w:cs="Times New Roman"/>
          <w:sz w:val="18"/>
          <w:szCs w:val="18"/>
        </w:rPr>
        <w:t>Capital expenditures and cash flow from operations</w:t>
      </w:r>
      <w:r>
        <w:rPr>
          <w:rFonts w:ascii="Times New Roman" w:hAnsi="Times New Roman" w:cs="Times New Roman"/>
          <w:sz w:val="18"/>
          <w:szCs w:val="18"/>
        </w:rPr>
        <w:t xml:space="preserve"> are scaled by total assets</w:t>
      </w:r>
      <w:r w:rsidRPr="00864D37">
        <w:rPr>
          <w:rFonts w:ascii="Times New Roman" w:hAnsi="Times New Roman" w:cs="Times New Roman"/>
          <w:sz w:val="18"/>
          <w:szCs w:val="18"/>
        </w:rPr>
        <w:t xml:space="preserve">. </w:t>
      </w:r>
      <w:r w:rsidRPr="00273CC7">
        <w:rPr>
          <w:rFonts w:ascii="Times New Roman" w:hAnsi="Times New Roman" w:cs="Times New Roman"/>
          <w:sz w:val="18"/>
          <w:szCs w:val="18"/>
        </w:rPr>
        <w:t>Income (in log terms) is the annual net income (in millions of dollars).</w:t>
      </w:r>
      <w:r>
        <w:rPr>
          <w:rFonts w:ascii="Times New Roman" w:hAnsi="Times New Roman" w:cs="Times New Roman"/>
          <w:sz w:val="18"/>
          <w:szCs w:val="18"/>
        </w:rPr>
        <w:t xml:space="preserve"> Market b</w:t>
      </w:r>
      <w:r w:rsidRPr="00864D37">
        <w:rPr>
          <w:rFonts w:ascii="Times New Roman" w:hAnsi="Times New Roman" w:cs="Times New Roman"/>
          <w:sz w:val="18"/>
          <w:szCs w:val="18"/>
        </w:rPr>
        <w:t>eta is the monthly fundame</w:t>
      </w:r>
      <w:r>
        <w:rPr>
          <w:rFonts w:ascii="Times New Roman" w:hAnsi="Times New Roman" w:cs="Times New Roman"/>
          <w:sz w:val="18"/>
          <w:szCs w:val="18"/>
        </w:rPr>
        <w:t xml:space="preserve">ntal beta reported by </w:t>
      </w:r>
      <w:proofErr w:type="spellStart"/>
      <w:r>
        <w:rPr>
          <w:rFonts w:ascii="Times New Roman" w:hAnsi="Times New Roman" w:cs="Times New Roman"/>
          <w:sz w:val="18"/>
          <w:szCs w:val="18"/>
        </w:rPr>
        <w:t>Compustat</w:t>
      </w:r>
      <w:proofErr w:type="spellEnd"/>
      <w:r>
        <w:rPr>
          <w:rFonts w:ascii="Times New Roman" w:hAnsi="Times New Roman" w:cs="Times New Roman"/>
          <w:sz w:val="18"/>
          <w:szCs w:val="18"/>
        </w:rPr>
        <w:t>.</w:t>
      </w:r>
      <w:r w:rsidRPr="00864D37">
        <w:rPr>
          <w:rFonts w:ascii="Times New Roman" w:hAnsi="Times New Roman" w:cs="Times New Roman"/>
          <w:sz w:val="18"/>
          <w:szCs w:val="18"/>
        </w:rPr>
        <w:t xml:space="preserve"> </w:t>
      </w:r>
      <w:r w:rsidRPr="009F6EBF">
        <w:rPr>
          <w:rFonts w:ascii="Times New Roman" w:hAnsi="Times New Roman" w:cs="Times New Roman"/>
          <w:sz w:val="18"/>
          <w:szCs w:val="18"/>
        </w:rPr>
        <w:t xml:space="preserve">Cash dividend refers to the amount of cash dividends declared during the year </w:t>
      </w:r>
      <w:r w:rsidRPr="009F6EBF">
        <w:rPr>
          <w:rFonts w:ascii="Times New Roman" w:eastAsia="Times New Roman" w:hAnsi="Times New Roman"/>
          <w:sz w:val="18"/>
          <w:szCs w:val="18"/>
        </w:rPr>
        <w:t>(in millions of dollars)</w:t>
      </w:r>
      <w:r w:rsidRPr="009F6EBF">
        <w:rPr>
          <w:rFonts w:ascii="Times New Roman" w:hAnsi="Times New Roman" w:cs="Times New Roman"/>
          <w:sz w:val="18"/>
          <w:szCs w:val="18"/>
        </w:rPr>
        <w:t xml:space="preserve">. </w:t>
      </w:r>
      <w:r w:rsidRPr="009F6EBF">
        <w:rPr>
          <w:rFonts w:ascii="Times New Roman" w:hAnsi="Times New Roman" w:cs="Times New Roman"/>
          <w:color w:val="000000"/>
          <w:sz w:val="18"/>
          <w:szCs w:val="18"/>
        </w:rPr>
        <w:t>ROA (return on assets) is net</w:t>
      </w:r>
      <w:r>
        <w:rPr>
          <w:rFonts w:ascii="Times New Roman" w:hAnsi="Times New Roman" w:cs="Times New Roman"/>
          <w:color w:val="000000"/>
          <w:sz w:val="18"/>
          <w:szCs w:val="18"/>
        </w:rPr>
        <w:t xml:space="preserve"> income divided by book value of total assets. ROE (return on equity) is net income divided by book value of equity. ROI (return on investment) is net income divided by </w:t>
      </w:r>
      <w:r w:rsidRPr="00012608">
        <w:rPr>
          <w:rFonts w:ascii="Times New Roman" w:hAnsi="Times New Roman" w:cs="Times New Roman"/>
          <w:color w:val="000000"/>
          <w:sz w:val="18"/>
          <w:szCs w:val="18"/>
        </w:rPr>
        <w:t>total investment</w:t>
      </w:r>
      <w:r>
        <w:rPr>
          <w:rFonts w:ascii="Times New Roman" w:hAnsi="Times New Roman" w:cs="Times New Roman"/>
          <w:color w:val="000000"/>
          <w:sz w:val="18"/>
          <w:szCs w:val="18"/>
        </w:rPr>
        <w:t xml:space="preserve">. </w:t>
      </w:r>
      <w:r w:rsidRPr="00864D37">
        <w:rPr>
          <w:rFonts w:ascii="Times New Roman" w:hAnsi="Times New Roman" w:cs="Times New Roman"/>
          <w:sz w:val="18"/>
          <w:szCs w:val="18"/>
        </w:rPr>
        <w:t xml:space="preserve">Distance-to-default is calculated via the Merton-KMV framework. Firm age refers to the age of the firm as reported </w:t>
      </w:r>
      <w:r w:rsidR="00CF591C">
        <w:rPr>
          <w:rFonts w:ascii="Times New Roman" w:hAnsi="Times New Roman" w:cs="Times New Roman"/>
          <w:sz w:val="18"/>
          <w:szCs w:val="18"/>
        </w:rPr>
        <w:t>in</w:t>
      </w:r>
      <w:r w:rsidRPr="00864D37">
        <w:rPr>
          <w:rFonts w:ascii="Times New Roman" w:hAnsi="Times New Roman" w:cs="Times New Roman"/>
          <w:sz w:val="18"/>
          <w:szCs w:val="18"/>
        </w:rPr>
        <w:t xml:space="preserve"> </w:t>
      </w:r>
      <w:proofErr w:type="spellStart"/>
      <w:r w:rsidRPr="00864D37">
        <w:rPr>
          <w:rFonts w:ascii="Times New Roman" w:hAnsi="Times New Roman" w:cs="Times New Roman"/>
          <w:sz w:val="18"/>
          <w:szCs w:val="18"/>
        </w:rPr>
        <w:t>Compustat</w:t>
      </w:r>
      <w:proofErr w:type="spellEnd"/>
      <w:r w:rsidRPr="00864D37">
        <w:rPr>
          <w:rFonts w:ascii="Times New Roman" w:hAnsi="Times New Roman" w:cs="Times New Roman"/>
          <w:sz w:val="18"/>
          <w:szCs w:val="18"/>
        </w:rPr>
        <w:t xml:space="preserve">. Past stock return is the cumulative return during the past </w:t>
      </w:r>
      <w:r w:rsidR="00CF591C">
        <w:rPr>
          <w:rFonts w:ascii="Times New Roman" w:hAnsi="Times New Roman" w:cs="Times New Roman"/>
          <w:sz w:val="18"/>
          <w:szCs w:val="18"/>
        </w:rPr>
        <w:t>twelve</w:t>
      </w:r>
      <w:r w:rsidRPr="00864D37">
        <w:rPr>
          <w:rFonts w:ascii="Times New Roman" w:hAnsi="Times New Roman" w:cs="Times New Roman"/>
          <w:sz w:val="18"/>
          <w:szCs w:val="18"/>
        </w:rPr>
        <w:t xml:space="preserve"> months.</w:t>
      </w:r>
      <w:r>
        <w:rPr>
          <w:rFonts w:ascii="Times New Roman" w:eastAsia="Times New Roman" w:hAnsi="Times New Roman"/>
          <w:sz w:val="18"/>
          <w:szCs w:val="18"/>
        </w:rPr>
        <w:t xml:space="preserve"> </w:t>
      </w:r>
      <w:r w:rsidRPr="00864D37">
        <w:rPr>
          <w:rFonts w:ascii="Times New Roman" w:hAnsi="Times New Roman" w:cs="Times New Roman"/>
          <w:sz w:val="18"/>
          <w:szCs w:val="18"/>
        </w:rPr>
        <w:t xml:space="preserve">Liquidity constraint is a binary variable equal to one if a negative operating income was posted for that year. Tax loss is </w:t>
      </w:r>
      <w:r w:rsidR="00CF591C">
        <w:rPr>
          <w:rFonts w:ascii="Times New Roman" w:hAnsi="Times New Roman" w:cs="Times New Roman"/>
          <w:sz w:val="18"/>
          <w:szCs w:val="18"/>
        </w:rPr>
        <w:t xml:space="preserve">a binary variable </w:t>
      </w:r>
      <w:r w:rsidRPr="00864D37">
        <w:rPr>
          <w:rFonts w:ascii="Times New Roman" w:hAnsi="Times New Roman" w:cs="Times New Roman"/>
          <w:sz w:val="18"/>
          <w:szCs w:val="18"/>
        </w:rPr>
        <w:t>equal to one if the firm reported a net tax loss</w:t>
      </w:r>
      <w:r w:rsidR="00F66E43">
        <w:rPr>
          <w:rFonts w:ascii="Times New Roman" w:hAnsi="Times New Roman" w:cs="Times New Roman"/>
          <w:sz w:val="18"/>
          <w:szCs w:val="18"/>
        </w:rPr>
        <w:t xml:space="preserve"> carry forward during that firm-</w:t>
      </w:r>
      <w:r w:rsidRPr="00864D37">
        <w:rPr>
          <w:rFonts w:ascii="Times New Roman" w:hAnsi="Times New Roman" w:cs="Times New Roman"/>
          <w:sz w:val="18"/>
          <w:szCs w:val="18"/>
        </w:rPr>
        <w:t xml:space="preserve">year. Compensation leverage is the present value of the pension of the firm’s top managers divided by the present value of pension and the values of the stocks and stock-options held by the managers. Inside debt is the </w:t>
      </w:r>
      <w:r w:rsidR="00FB12DA">
        <w:rPr>
          <w:rFonts w:ascii="Times New Roman" w:hAnsi="Times New Roman" w:cs="Times New Roman"/>
          <w:sz w:val="18"/>
          <w:szCs w:val="18"/>
        </w:rPr>
        <w:t xml:space="preserve">pension </w:t>
      </w:r>
      <w:r w:rsidRPr="00864D37">
        <w:rPr>
          <w:rFonts w:ascii="Times New Roman" w:hAnsi="Times New Roman" w:cs="Times New Roman"/>
          <w:sz w:val="18"/>
          <w:szCs w:val="18"/>
        </w:rPr>
        <w:t xml:space="preserve">value divided by book value of total assets. </w:t>
      </w:r>
      <w:r w:rsidRPr="00864D37">
        <w:rPr>
          <w:rFonts w:ascii="Times New Roman" w:eastAsia="Times New Roman" w:hAnsi="Times New Roman"/>
          <w:sz w:val="18"/>
          <w:szCs w:val="18"/>
        </w:rPr>
        <w:t>Actuarial pension value is based on the estimation procedure outlined in Section 4.1</w:t>
      </w:r>
      <w:r>
        <w:rPr>
          <w:rFonts w:ascii="Times New Roman" w:eastAsia="Times New Roman" w:hAnsi="Times New Roman"/>
          <w:sz w:val="18"/>
          <w:szCs w:val="18"/>
        </w:rPr>
        <w:t xml:space="preserve"> (in millions of dollars)</w:t>
      </w:r>
      <w:r w:rsidRPr="00864D37">
        <w:rPr>
          <w:rFonts w:ascii="Times New Roman" w:eastAsia="Times New Roman" w:hAnsi="Times New Roman"/>
          <w:sz w:val="18"/>
          <w:szCs w:val="18"/>
        </w:rPr>
        <w:t xml:space="preserve">. Salary and bonus refer to the annual terms in </w:t>
      </w:r>
      <w:r w:rsidR="00CF591C">
        <w:rPr>
          <w:rFonts w:ascii="Times New Roman" w:eastAsia="Times New Roman" w:hAnsi="Times New Roman"/>
          <w:sz w:val="18"/>
          <w:szCs w:val="18"/>
        </w:rPr>
        <w:t>a</w:t>
      </w:r>
      <w:r w:rsidRPr="00864D37">
        <w:rPr>
          <w:rFonts w:ascii="Times New Roman" w:eastAsia="Times New Roman" w:hAnsi="Times New Roman"/>
          <w:sz w:val="18"/>
          <w:szCs w:val="18"/>
        </w:rPr>
        <w:t xml:space="preserve"> given year scaled by total assets. </w:t>
      </w:r>
      <w:r>
        <w:rPr>
          <w:rFonts w:ascii="Times New Roman" w:eastAsia="Times New Roman" w:hAnsi="Times New Roman"/>
          <w:sz w:val="18"/>
          <w:szCs w:val="18"/>
        </w:rPr>
        <w:t>S</w:t>
      </w:r>
      <w:r w:rsidRPr="00864D37">
        <w:rPr>
          <w:rFonts w:ascii="Times New Roman" w:eastAsia="Times New Roman" w:hAnsi="Times New Roman"/>
          <w:sz w:val="18"/>
          <w:szCs w:val="18"/>
        </w:rPr>
        <w:t xml:space="preserve">tock-option refers to </w:t>
      </w:r>
      <w:r w:rsidRPr="00273CC7">
        <w:rPr>
          <w:rFonts w:ascii="Times New Roman" w:eastAsia="Times New Roman" w:hAnsi="Times New Roman"/>
          <w:sz w:val="18"/>
          <w:szCs w:val="18"/>
        </w:rPr>
        <w:t>the value of the unexercised stock-options held by the manager</w:t>
      </w:r>
      <w:r>
        <w:rPr>
          <w:rFonts w:ascii="Times New Roman" w:eastAsia="Times New Roman" w:hAnsi="Times New Roman"/>
          <w:sz w:val="18"/>
          <w:szCs w:val="18"/>
        </w:rPr>
        <w:t xml:space="preserve"> (as estimated in Section 4.2), scaled by total assets</w:t>
      </w:r>
      <w:r w:rsidRPr="00864D37">
        <w:rPr>
          <w:rFonts w:ascii="Times New Roman" w:eastAsia="Times New Roman" w:hAnsi="Times New Roman"/>
          <w:sz w:val="18"/>
          <w:szCs w:val="18"/>
        </w:rPr>
        <w:t xml:space="preserve">. </w:t>
      </w:r>
      <w:r w:rsidRPr="00864D37">
        <w:rPr>
          <w:rFonts w:ascii="Times New Roman" w:hAnsi="Times New Roman" w:cs="Times New Roman"/>
          <w:sz w:val="18"/>
          <w:szCs w:val="18"/>
        </w:rPr>
        <w:t>Executive age refers to the age of the executive during the pa</w:t>
      </w:r>
      <w:r w:rsidR="00F66E43">
        <w:rPr>
          <w:rFonts w:ascii="Times New Roman" w:hAnsi="Times New Roman" w:cs="Times New Roman"/>
          <w:sz w:val="18"/>
          <w:szCs w:val="18"/>
        </w:rPr>
        <w:t>rticular firm-</w:t>
      </w:r>
      <w:r w:rsidRPr="00864D37">
        <w:rPr>
          <w:rFonts w:ascii="Times New Roman" w:hAnsi="Times New Roman" w:cs="Times New Roman"/>
          <w:sz w:val="18"/>
          <w:szCs w:val="18"/>
        </w:rPr>
        <w:t>year; ‘M’ is a multiplier value roughly equivalent to the per-dollar percentage of pension contribution for each dollar earned. Data represent 272 firms over the period 2000-2009</w:t>
      </w:r>
      <w:r w:rsidRPr="00864D37">
        <w:rPr>
          <w:sz w:val="18"/>
          <w:szCs w:val="18"/>
        </w:rPr>
        <w:t>.</w:t>
      </w:r>
    </w:p>
    <w:tbl>
      <w:tblPr>
        <w:tblW w:w="9324" w:type="dxa"/>
        <w:tblInd w:w="94" w:type="dxa"/>
        <w:tblLook w:val="04A0" w:firstRow="1" w:lastRow="0" w:firstColumn="1" w:lastColumn="0" w:noHBand="0" w:noVBand="1"/>
      </w:tblPr>
      <w:tblGrid>
        <w:gridCol w:w="3411"/>
        <w:gridCol w:w="714"/>
        <w:gridCol w:w="986"/>
        <w:gridCol w:w="1165"/>
        <w:gridCol w:w="986"/>
        <w:gridCol w:w="1076"/>
        <w:gridCol w:w="986"/>
      </w:tblGrid>
      <w:tr w:rsidR="008E65D9" w:rsidRPr="003029D8" w:rsidTr="00575A5A">
        <w:trPr>
          <w:trHeight w:val="255"/>
        </w:trPr>
        <w:tc>
          <w:tcPr>
            <w:tcW w:w="3411" w:type="dxa"/>
            <w:tcBorders>
              <w:top w:val="single" w:sz="4" w:space="0" w:color="auto"/>
              <w:left w:val="nil"/>
              <w:bottom w:val="single" w:sz="4" w:space="0" w:color="auto"/>
              <w:right w:val="nil"/>
            </w:tcBorders>
            <w:shd w:val="clear" w:color="auto" w:fill="auto"/>
            <w:noWrap/>
            <w:tcMar>
              <w:left w:w="29" w:type="dxa"/>
              <w:right w:w="29" w:type="dxa"/>
            </w:tcMar>
            <w:vAlign w:val="center"/>
            <w:hideMark/>
          </w:tcPr>
          <w:p w:rsidR="008E65D9" w:rsidRPr="003029D8" w:rsidRDefault="008E65D9" w:rsidP="00575A5A">
            <w:pPr>
              <w:spacing w:after="0" w:line="240" w:lineRule="auto"/>
              <w:rPr>
                <w:rFonts w:ascii="Times New Roman" w:eastAsia="Times New Roman" w:hAnsi="Times New Roman"/>
                <w:bCs/>
                <w:iCs/>
                <w:sz w:val="17"/>
                <w:szCs w:val="17"/>
              </w:rPr>
            </w:pPr>
            <w:r w:rsidRPr="003029D8">
              <w:rPr>
                <w:rFonts w:ascii="Times New Roman" w:eastAsia="Times New Roman" w:hAnsi="Times New Roman"/>
                <w:bCs/>
                <w:iCs/>
                <w:sz w:val="17"/>
                <w:szCs w:val="17"/>
              </w:rPr>
              <w:t>Firm-level variables</w:t>
            </w:r>
          </w:p>
        </w:tc>
        <w:tc>
          <w:tcPr>
            <w:tcW w:w="714" w:type="dxa"/>
            <w:tcBorders>
              <w:top w:val="single" w:sz="4" w:space="0" w:color="auto"/>
              <w:left w:val="nil"/>
              <w:bottom w:val="single" w:sz="4" w:space="0" w:color="auto"/>
              <w:right w:val="nil"/>
            </w:tcBorders>
            <w:shd w:val="clear" w:color="auto" w:fill="auto"/>
            <w:noWrap/>
            <w:tcMar>
              <w:left w:w="29" w:type="dxa"/>
              <w:right w:w="29" w:type="dxa"/>
            </w:tcMar>
            <w:vAlign w:val="center"/>
            <w:hideMark/>
          </w:tcPr>
          <w:p w:rsidR="008E65D9" w:rsidRPr="003029D8" w:rsidRDefault="008E65D9" w:rsidP="00575A5A">
            <w:pPr>
              <w:spacing w:after="0" w:line="240" w:lineRule="auto"/>
              <w:rPr>
                <w:rFonts w:ascii="Times New Roman" w:eastAsia="Times New Roman" w:hAnsi="Times New Roman"/>
                <w:bCs/>
                <w:sz w:val="17"/>
                <w:szCs w:val="17"/>
              </w:rPr>
            </w:pPr>
            <w:r w:rsidRPr="003029D8">
              <w:rPr>
                <w:rFonts w:ascii="Times New Roman" w:eastAsia="Times New Roman" w:hAnsi="Times New Roman"/>
                <w:bCs/>
                <w:sz w:val="17"/>
                <w:szCs w:val="17"/>
              </w:rPr>
              <w:t xml:space="preserve">    N</w:t>
            </w:r>
          </w:p>
        </w:tc>
        <w:tc>
          <w:tcPr>
            <w:tcW w:w="986" w:type="dxa"/>
            <w:tcBorders>
              <w:top w:val="single" w:sz="4" w:space="0" w:color="auto"/>
              <w:left w:val="nil"/>
              <w:bottom w:val="single" w:sz="4" w:space="0" w:color="auto"/>
              <w:right w:val="nil"/>
            </w:tcBorders>
            <w:shd w:val="clear" w:color="auto" w:fill="auto"/>
            <w:noWrap/>
            <w:tcMar>
              <w:left w:w="29" w:type="dxa"/>
              <w:right w:w="29" w:type="dxa"/>
            </w:tcMar>
            <w:vAlign w:val="center"/>
            <w:hideMark/>
          </w:tcPr>
          <w:p w:rsidR="008E65D9" w:rsidRPr="003029D8" w:rsidRDefault="008E65D9" w:rsidP="00575A5A">
            <w:pPr>
              <w:spacing w:after="0" w:line="240" w:lineRule="auto"/>
              <w:rPr>
                <w:rFonts w:ascii="Times New Roman" w:eastAsia="Times New Roman" w:hAnsi="Times New Roman"/>
                <w:bCs/>
                <w:sz w:val="17"/>
                <w:szCs w:val="17"/>
              </w:rPr>
            </w:pPr>
            <w:r w:rsidRPr="003029D8">
              <w:rPr>
                <w:rFonts w:ascii="Times New Roman" w:eastAsia="Times New Roman" w:hAnsi="Times New Roman"/>
                <w:bCs/>
                <w:sz w:val="17"/>
                <w:szCs w:val="17"/>
              </w:rPr>
              <w:t xml:space="preserve">        Mean</w:t>
            </w:r>
          </w:p>
        </w:tc>
        <w:tc>
          <w:tcPr>
            <w:tcW w:w="1165" w:type="dxa"/>
            <w:tcBorders>
              <w:top w:val="single" w:sz="4" w:space="0" w:color="auto"/>
              <w:left w:val="nil"/>
              <w:bottom w:val="single" w:sz="4" w:space="0" w:color="auto"/>
              <w:right w:val="nil"/>
            </w:tcBorders>
            <w:shd w:val="clear" w:color="auto" w:fill="auto"/>
            <w:noWrap/>
            <w:tcMar>
              <w:left w:w="29" w:type="dxa"/>
              <w:right w:w="29" w:type="dxa"/>
            </w:tcMar>
            <w:vAlign w:val="center"/>
            <w:hideMark/>
          </w:tcPr>
          <w:p w:rsidR="008E65D9" w:rsidRPr="003029D8" w:rsidRDefault="008E65D9" w:rsidP="00324C3A">
            <w:pPr>
              <w:spacing w:after="0" w:line="240" w:lineRule="auto"/>
              <w:rPr>
                <w:rFonts w:ascii="Times New Roman" w:eastAsia="Times New Roman" w:hAnsi="Times New Roman"/>
                <w:bCs/>
                <w:sz w:val="17"/>
                <w:szCs w:val="17"/>
              </w:rPr>
            </w:pPr>
            <w:r w:rsidRPr="003029D8">
              <w:rPr>
                <w:rFonts w:ascii="Times New Roman" w:eastAsia="Times New Roman" w:hAnsi="Times New Roman"/>
                <w:bCs/>
                <w:sz w:val="17"/>
                <w:szCs w:val="17"/>
              </w:rPr>
              <w:t xml:space="preserve">          Std. </w:t>
            </w:r>
            <w:r w:rsidR="00324C3A">
              <w:rPr>
                <w:rFonts w:ascii="Times New Roman" w:eastAsia="Times New Roman" w:hAnsi="Times New Roman"/>
                <w:bCs/>
                <w:sz w:val="17"/>
                <w:szCs w:val="17"/>
              </w:rPr>
              <w:t>d</w:t>
            </w:r>
            <w:r w:rsidRPr="003029D8">
              <w:rPr>
                <w:rFonts w:ascii="Times New Roman" w:eastAsia="Times New Roman" w:hAnsi="Times New Roman"/>
                <w:bCs/>
                <w:sz w:val="17"/>
                <w:szCs w:val="17"/>
              </w:rPr>
              <w:t>ev.</w:t>
            </w:r>
          </w:p>
        </w:tc>
        <w:tc>
          <w:tcPr>
            <w:tcW w:w="986" w:type="dxa"/>
            <w:tcBorders>
              <w:top w:val="single" w:sz="4" w:space="0" w:color="auto"/>
              <w:left w:val="nil"/>
              <w:bottom w:val="single" w:sz="4" w:space="0" w:color="auto"/>
              <w:right w:val="nil"/>
            </w:tcBorders>
            <w:shd w:val="clear" w:color="auto" w:fill="auto"/>
            <w:noWrap/>
            <w:tcMar>
              <w:left w:w="29" w:type="dxa"/>
              <w:right w:w="29" w:type="dxa"/>
            </w:tcMar>
            <w:vAlign w:val="center"/>
            <w:hideMark/>
          </w:tcPr>
          <w:p w:rsidR="008E65D9" w:rsidRPr="003029D8" w:rsidRDefault="008E65D9" w:rsidP="00575A5A">
            <w:pPr>
              <w:spacing w:after="0" w:line="240" w:lineRule="auto"/>
              <w:rPr>
                <w:rFonts w:ascii="Times New Roman" w:eastAsia="Times New Roman" w:hAnsi="Times New Roman"/>
                <w:bCs/>
                <w:sz w:val="17"/>
                <w:szCs w:val="17"/>
              </w:rPr>
            </w:pPr>
            <w:r w:rsidRPr="003029D8">
              <w:rPr>
                <w:rFonts w:ascii="Times New Roman" w:eastAsia="Times New Roman" w:hAnsi="Times New Roman"/>
                <w:bCs/>
                <w:sz w:val="17"/>
                <w:szCs w:val="17"/>
              </w:rPr>
              <w:t xml:space="preserve">          0.25</w:t>
            </w:r>
          </w:p>
        </w:tc>
        <w:tc>
          <w:tcPr>
            <w:tcW w:w="1076" w:type="dxa"/>
            <w:tcBorders>
              <w:top w:val="single" w:sz="4" w:space="0" w:color="auto"/>
              <w:left w:val="nil"/>
              <w:bottom w:val="single" w:sz="4" w:space="0" w:color="auto"/>
              <w:right w:val="nil"/>
            </w:tcBorders>
            <w:shd w:val="clear" w:color="auto" w:fill="auto"/>
            <w:noWrap/>
            <w:tcMar>
              <w:left w:w="29" w:type="dxa"/>
              <w:right w:w="29" w:type="dxa"/>
            </w:tcMar>
            <w:vAlign w:val="center"/>
            <w:hideMark/>
          </w:tcPr>
          <w:p w:rsidR="008E65D9" w:rsidRPr="003029D8" w:rsidRDefault="008E65D9" w:rsidP="00575A5A">
            <w:pPr>
              <w:spacing w:after="0" w:line="240" w:lineRule="auto"/>
              <w:rPr>
                <w:rFonts w:ascii="Times New Roman" w:eastAsia="Times New Roman" w:hAnsi="Times New Roman"/>
                <w:bCs/>
                <w:sz w:val="17"/>
                <w:szCs w:val="17"/>
              </w:rPr>
            </w:pPr>
            <w:r w:rsidRPr="003029D8">
              <w:rPr>
                <w:rFonts w:ascii="Times New Roman" w:eastAsia="Times New Roman" w:hAnsi="Times New Roman"/>
                <w:bCs/>
                <w:sz w:val="17"/>
                <w:szCs w:val="17"/>
              </w:rPr>
              <w:t xml:space="preserve">        Median</w:t>
            </w:r>
          </w:p>
        </w:tc>
        <w:tc>
          <w:tcPr>
            <w:tcW w:w="986" w:type="dxa"/>
            <w:tcBorders>
              <w:top w:val="single" w:sz="4" w:space="0" w:color="auto"/>
              <w:left w:val="nil"/>
              <w:bottom w:val="single" w:sz="4" w:space="0" w:color="auto"/>
              <w:right w:val="nil"/>
            </w:tcBorders>
            <w:shd w:val="clear" w:color="auto" w:fill="auto"/>
            <w:noWrap/>
            <w:tcMar>
              <w:left w:w="29" w:type="dxa"/>
              <w:right w:w="29" w:type="dxa"/>
            </w:tcMar>
            <w:vAlign w:val="center"/>
            <w:hideMark/>
          </w:tcPr>
          <w:p w:rsidR="008E65D9" w:rsidRPr="003029D8" w:rsidRDefault="008E65D9" w:rsidP="00575A5A">
            <w:pPr>
              <w:spacing w:after="0" w:line="240" w:lineRule="auto"/>
              <w:rPr>
                <w:rFonts w:ascii="Times New Roman" w:eastAsia="Times New Roman" w:hAnsi="Times New Roman"/>
                <w:bCs/>
                <w:sz w:val="17"/>
                <w:szCs w:val="17"/>
              </w:rPr>
            </w:pPr>
            <w:r w:rsidRPr="003029D8">
              <w:rPr>
                <w:rFonts w:ascii="Times New Roman" w:eastAsia="Times New Roman" w:hAnsi="Times New Roman"/>
                <w:bCs/>
                <w:sz w:val="17"/>
                <w:szCs w:val="17"/>
              </w:rPr>
              <w:t xml:space="preserve">         0.75</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Dividend y</w:t>
            </w:r>
            <w:r w:rsidRPr="008102FA">
              <w:rPr>
                <w:rFonts w:ascii="Times New Roman" w:eastAsia="Times New Roman" w:hAnsi="Times New Roman"/>
                <w:sz w:val="17"/>
                <w:szCs w:val="17"/>
              </w:rPr>
              <w:t>ield</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2</w:t>
            </w:r>
            <w:r>
              <w:rPr>
                <w:rFonts w:ascii="Times New Roman" w:eastAsia="Times New Roman" w:hAnsi="Times New Roman" w:cs="Times New Roman"/>
                <w:sz w:val="17"/>
                <w:szCs w:val="17"/>
              </w:rPr>
              <w:t>,</w:t>
            </w:r>
            <w:r w:rsidRPr="008102FA">
              <w:rPr>
                <w:rFonts w:ascii="Times New Roman" w:eastAsia="Times New Roman" w:hAnsi="Times New Roman" w:cs="Times New Roman"/>
                <w:sz w:val="17"/>
                <w:szCs w:val="17"/>
              </w:rPr>
              <w:t>097</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0.022</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0.030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0.010</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0.019</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0.030</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Dividend payout r</w:t>
            </w:r>
            <w:r w:rsidRPr="008102FA">
              <w:rPr>
                <w:rFonts w:ascii="Times New Roman" w:eastAsia="Times New Roman" w:hAnsi="Times New Roman"/>
                <w:sz w:val="17"/>
                <w:szCs w:val="17"/>
              </w:rPr>
              <w:t>atio</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1</w:t>
            </w:r>
            <w:r>
              <w:rPr>
                <w:rFonts w:ascii="Times New Roman" w:eastAsia="Times New Roman" w:hAnsi="Times New Roman" w:cs="Times New Roman"/>
                <w:sz w:val="17"/>
                <w:szCs w:val="17"/>
              </w:rPr>
              <w:t>,</w:t>
            </w:r>
            <w:r w:rsidRPr="008102FA">
              <w:rPr>
                <w:rFonts w:ascii="Times New Roman" w:eastAsia="Times New Roman" w:hAnsi="Times New Roman" w:cs="Times New Roman"/>
                <w:sz w:val="17"/>
                <w:szCs w:val="17"/>
              </w:rPr>
              <w:t>981</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0.329</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0.445</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0.093</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0.274</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0.470</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sidRPr="008102FA">
              <w:rPr>
                <w:rFonts w:ascii="Times New Roman" w:eastAsia="Times New Roman" w:hAnsi="Times New Roman"/>
                <w:sz w:val="17"/>
                <w:szCs w:val="17"/>
              </w:rPr>
              <w:t>l</w:t>
            </w:r>
            <w:r>
              <w:rPr>
                <w:rFonts w:ascii="Times New Roman" w:eastAsia="Times New Roman" w:hAnsi="Times New Roman"/>
                <w:sz w:val="17"/>
                <w:szCs w:val="17"/>
              </w:rPr>
              <w:t>og</w:t>
            </w:r>
            <w:r w:rsidRPr="008102FA">
              <w:rPr>
                <w:rFonts w:ascii="Times New Roman" w:eastAsia="Times New Roman" w:hAnsi="Times New Roman"/>
                <w:sz w:val="17"/>
                <w:szCs w:val="17"/>
              </w:rPr>
              <w:t>(</w:t>
            </w:r>
            <w:r>
              <w:rPr>
                <w:rFonts w:ascii="Times New Roman" w:eastAsia="Times New Roman" w:hAnsi="Times New Roman"/>
                <w:sz w:val="17"/>
                <w:szCs w:val="17"/>
              </w:rPr>
              <w:t>size</w:t>
            </w:r>
            <w:r w:rsidRPr="008102FA">
              <w:rPr>
                <w:rFonts w:ascii="Times New Roman" w:eastAsia="Times New Roman" w:hAnsi="Times New Roman"/>
                <w:sz w:val="17"/>
                <w:szCs w:val="17"/>
              </w:rPr>
              <w:t>)</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2</w:t>
            </w:r>
            <w:r>
              <w:rPr>
                <w:rFonts w:ascii="Times New Roman" w:eastAsia="Times New Roman" w:hAnsi="Times New Roman"/>
                <w:sz w:val="17"/>
                <w:szCs w:val="17"/>
              </w:rPr>
              <w:t>,</w:t>
            </w:r>
            <w:r w:rsidRPr="008102FA">
              <w:rPr>
                <w:rFonts w:ascii="Times New Roman" w:eastAsia="Times New Roman" w:hAnsi="Times New Roman"/>
                <w:sz w:val="17"/>
                <w:szCs w:val="17"/>
              </w:rPr>
              <w:t>098</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4.185</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0.692</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3.721</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4.193</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4.557</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Book</w:t>
            </w:r>
            <w:r w:rsidRPr="008102FA">
              <w:rPr>
                <w:rFonts w:ascii="Times New Roman" w:eastAsia="Times New Roman" w:hAnsi="Times New Roman"/>
                <w:sz w:val="17"/>
                <w:szCs w:val="17"/>
              </w:rPr>
              <w:t>-to-</w:t>
            </w:r>
            <w:r>
              <w:rPr>
                <w:rFonts w:ascii="Times New Roman" w:eastAsia="Times New Roman" w:hAnsi="Times New Roman"/>
                <w:sz w:val="17"/>
                <w:szCs w:val="17"/>
              </w:rPr>
              <w:t>market</w:t>
            </w:r>
            <w:r w:rsidRPr="008102FA">
              <w:rPr>
                <w:rFonts w:ascii="Times New Roman" w:eastAsia="Times New Roman" w:hAnsi="Times New Roman"/>
                <w:sz w:val="17"/>
                <w:szCs w:val="17"/>
              </w:rPr>
              <w:t xml:space="preserve"> </w:t>
            </w:r>
            <w:r>
              <w:rPr>
                <w:rFonts w:ascii="Times New Roman" w:eastAsia="Times New Roman" w:hAnsi="Times New Roman"/>
                <w:sz w:val="17"/>
                <w:szCs w:val="17"/>
              </w:rPr>
              <w:t>r</w:t>
            </w:r>
            <w:r w:rsidRPr="008102FA">
              <w:rPr>
                <w:rFonts w:ascii="Times New Roman" w:eastAsia="Times New Roman" w:hAnsi="Times New Roman"/>
                <w:sz w:val="17"/>
                <w:szCs w:val="17"/>
              </w:rPr>
              <w:t>atio</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1</w:t>
            </w:r>
            <w:r>
              <w:rPr>
                <w:rFonts w:ascii="Times New Roman" w:eastAsia="Times New Roman" w:hAnsi="Times New Roman"/>
                <w:sz w:val="17"/>
                <w:szCs w:val="17"/>
              </w:rPr>
              <w:t>,</w:t>
            </w:r>
            <w:r w:rsidRPr="008102FA">
              <w:rPr>
                <w:rFonts w:ascii="Times New Roman" w:eastAsia="Times New Roman" w:hAnsi="Times New Roman"/>
                <w:sz w:val="17"/>
                <w:szCs w:val="17"/>
              </w:rPr>
              <w:t>976</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0.331</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1.182</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0.160</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0.247</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0.395</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sidRPr="008102FA">
              <w:rPr>
                <w:rFonts w:ascii="Times New Roman" w:eastAsia="Times New Roman" w:hAnsi="Times New Roman"/>
                <w:sz w:val="17"/>
                <w:szCs w:val="17"/>
              </w:rPr>
              <w:t>Debt/</w:t>
            </w:r>
            <w:r>
              <w:rPr>
                <w:rFonts w:ascii="Times New Roman" w:eastAsia="Times New Roman" w:hAnsi="Times New Roman"/>
                <w:sz w:val="17"/>
                <w:szCs w:val="17"/>
              </w:rPr>
              <w:t>e</w:t>
            </w:r>
            <w:r w:rsidRPr="008102FA">
              <w:rPr>
                <w:rFonts w:ascii="Times New Roman" w:eastAsia="Times New Roman" w:hAnsi="Times New Roman"/>
                <w:sz w:val="17"/>
                <w:szCs w:val="17"/>
              </w:rPr>
              <w:t>quity</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1</w:t>
            </w:r>
            <w:r>
              <w:rPr>
                <w:rFonts w:ascii="Times New Roman" w:eastAsia="Times New Roman" w:hAnsi="Times New Roman"/>
                <w:sz w:val="17"/>
                <w:szCs w:val="17"/>
              </w:rPr>
              <w:t>,</w:t>
            </w:r>
            <w:r w:rsidRPr="008102FA">
              <w:rPr>
                <w:rFonts w:ascii="Times New Roman" w:eastAsia="Times New Roman" w:hAnsi="Times New Roman"/>
                <w:sz w:val="17"/>
                <w:szCs w:val="17"/>
              </w:rPr>
              <w:t>929</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0.854</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9.446</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0.315</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0.600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1.122</w:t>
            </w:r>
          </w:p>
        </w:tc>
      </w:tr>
      <w:tr w:rsidR="008E65D9" w:rsidRPr="00C34885" w:rsidTr="00575A5A">
        <w:trPr>
          <w:trHeight w:val="288"/>
        </w:trPr>
        <w:tc>
          <w:tcPr>
            <w:tcW w:w="3411" w:type="dxa"/>
            <w:tcBorders>
              <w:top w:val="nil"/>
              <w:left w:val="nil"/>
              <w:bottom w:val="nil"/>
              <w:right w:val="nil"/>
            </w:tcBorders>
            <w:shd w:val="clear" w:color="auto" w:fill="auto"/>
            <w:noWrap/>
            <w:vAlign w:val="center"/>
          </w:tcPr>
          <w:p w:rsidR="008E65D9" w:rsidRPr="008102FA" w:rsidRDefault="008E65D9" w:rsidP="00575A5A">
            <w:pPr>
              <w:spacing w:after="0" w:line="240" w:lineRule="auto"/>
              <w:rPr>
                <w:rFonts w:ascii="Times New Roman" w:eastAsia="Times New Roman" w:hAnsi="Times New Roman"/>
                <w:sz w:val="17"/>
                <w:szCs w:val="17"/>
              </w:rPr>
            </w:pPr>
            <w:r w:rsidRPr="008102FA">
              <w:rPr>
                <w:rFonts w:ascii="Times New Roman" w:eastAsia="Times New Roman" w:hAnsi="Times New Roman"/>
                <w:sz w:val="17"/>
                <w:szCs w:val="17"/>
              </w:rPr>
              <w:t xml:space="preserve">Capital </w:t>
            </w:r>
            <w:r>
              <w:rPr>
                <w:rFonts w:ascii="Times New Roman" w:eastAsia="Times New Roman" w:hAnsi="Times New Roman"/>
                <w:sz w:val="17"/>
                <w:szCs w:val="17"/>
              </w:rPr>
              <w:t>e</w:t>
            </w:r>
            <w:r w:rsidRPr="008102FA">
              <w:rPr>
                <w:rFonts w:ascii="Times New Roman" w:eastAsia="Times New Roman" w:hAnsi="Times New Roman"/>
                <w:sz w:val="17"/>
                <w:szCs w:val="17"/>
              </w:rPr>
              <w:t>xpenditures/</w:t>
            </w:r>
            <w:r>
              <w:rPr>
                <w:rFonts w:ascii="Times New Roman" w:eastAsia="Times New Roman" w:hAnsi="Times New Roman"/>
                <w:sz w:val="17"/>
                <w:szCs w:val="17"/>
              </w:rPr>
              <w:t>a</w:t>
            </w:r>
            <w:r w:rsidRPr="008102FA">
              <w:rPr>
                <w:rFonts w:ascii="Times New Roman" w:eastAsia="Times New Roman" w:hAnsi="Times New Roman"/>
                <w:sz w:val="17"/>
                <w:szCs w:val="17"/>
              </w:rPr>
              <w:t xml:space="preserve">ssets </w:t>
            </w:r>
          </w:p>
        </w:tc>
        <w:tc>
          <w:tcPr>
            <w:tcW w:w="714"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2</w:t>
            </w:r>
            <w:r>
              <w:rPr>
                <w:rFonts w:ascii="Times New Roman" w:eastAsia="Times New Roman" w:hAnsi="Times New Roman"/>
                <w:sz w:val="17"/>
                <w:szCs w:val="17"/>
              </w:rPr>
              <w:t>,</w:t>
            </w:r>
            <w:r w:rsidRPr="008102FA">
              <w:rPr>
                <w:rFonts w:ascii="Times New Roman" w:eastAsia="Times New Roman" w:hAnsi="Times New Roman"/>
                <w:sz w:val="17"/>
                <w:szCs w:val="17"/>
              </w:rPr>
              <w:t>016</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0.064</w:t>
            </w:r>
          </w:p>
        </w:tc>
        <w:tc>
          <w:tcPr>
            <w:tcW w:w="1165"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1.801</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0.012</w:t>
            </w:r>
          </w:p>
        </w:tc>
        <w:tc>
          <w:tcPr>
            <w:tcW w:w="107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0.041</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0.116</w:t>
            </w:r>
          </w:p>
        </w:tc>
      </w:tr>
      <w:tr w:rsidR="008E65D9" w:rsidRPr="00C34885" w:rsidTr="00575A5A">
        <w:trPr>
          <w:trHeight w:val="288"/>
        </w:trPr>
        <w:tc>
          <w:tcPr>
            <w:tcW w:w="3411" w:type="dxa"/>
            <w:tcBorders>
              <w:top w:val="nil"/>
              <w:left w:val="nil"/>
              <w:bottom w:val="nil"/>
              <w:right w:val="nil"/>
            </w:tcBorders>
            <w:shd w:val="clear" w:color="auto" w:fill="auto"/>
            <w:noWrap/>
            <w:vAlign w:val="center"/>
          </w:tcPr>
          <w:p w:rsidR="008E65D9" w:rsidRPr="00CD39A6" w:rsidRDefault="008E65D9" w:rsidP="00575A5A">
            <w:pPr>
              <w:spacing w:after="0" w:line="240" w:lineRule="auto"/>
              <w:rPr>
                <w:rFonts w:ascii="Times New Roman" w:eastAsia="Times New Roman" w:hAnsi="Times New Roman"/>
                <w:sz w:val="17"/>
                <w:szCs w:val="17"/>
                <w:highlight w:val="yellow"/>
              </w:rPr>
            </w:pPr>
            <w:r w:rsidRPr="00E64901">
              <w:rPr>
                <w:rFonts w:ascii="Times New Roman" w:eastAsia="Times New Roman" w:hAnsi="Times New Roman"/>
                <w:sz w:val="17"/>
                <w:szCs w:val="17"/>
              </w:rPr>
              <w:t>Cash flow from operations/</w:t>
            </w:r>
            <w:r>
              <w:rPr>
                <w:rFonts w:ascii="Times New Roman" w:eastAsia="Times New Roman" w:hAnsi="Times New Roman"/>
                <w:sz w:val="17"/>
                <w:szCs w:val="17"/>
              </w:rPr>
              <w:t>a</w:t>
            </w:r>
            <w:r w:rsidRPr="00E64901">
              <w:rPr>
                <w:rFonts w:ascii="Times New Roman" w:eastAsia="Times New Roman" w:hAnsi="Times New Roman"/>
                <w:sz w:val="17"/>
                <w:szCs w:val="17"/>
              </w:rPr>
              <w:t>ssets</w:t>
            </w:r>
          </w:p>
        </w:tc>
        <w:tc>
          <w:tcPr>
            <w:tcW w:w="714" w:type="dxa"/>
            <w:tcBorders>
              <w:top w:val="nil"/>
              <w:left w:val="nil"/>
              <w:bottom w:val="nil"/>
              <w:right w:val="nil"/>
            </w:tcBorders>
            <w:shd w:val="clear" w:color="auto" w:fill="auto"/>
            <w:noWrap/>
            <w:tcMar>
              <w:left w:w="115" w:type="dxa"/>
              <w:right w:w="216" w:type="dxa"/>
            </w:tcMar>
            <w:vAlign w:val="center"/>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1,817</w:t>
            </w:r>
          </w:p>
        </w:tc>
        <w:tc>
          <w:tcPr>
            <w:tcW w:w="986" w:type="dxa"/>
            <w:tcBorders>
              <w:top w:val="nil"/>
              <w:left w:val="nil"/>
              <w:bottom w:val="nil"/>
              <w:right w:val="nil"/>
            </w:tcBorders>
            <w:shd w:val="clear" w:color="auto" w:fill="auto"/>
            <w:noWrap/>
            <w:tcMar>
              <w:left w:w="115" w:type="dxa"/>
              <w:right w:w="216" w:type="dxa"/>
            </w:tcMar>
            <w:vAlign w:val="center"/>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0.097</w:t>
            </w:r>
          </w:p>
        </w:tc>
        <w:tc>
          <w:tcPr>
            <w:tcW w:w="1165" w:type="dxa"/>
            <w:tcBorders>
              <w:top w:val="nil"/>
              <w:left w:val="nil"/>
              <w:bottom w:val="nil"/>
              <w:right w:val="nil"/>
            </w:tcBorders>
            <w:shd w:val="clear" w:color="auto" w:fill="auto"/>
            <w:noWrap/>
            <w:tcMar>
              <w:left w:w="115" w:type="dxa"/>
              <w:right w:w="216" w:type="dxa"/>
            </w:tcMar>
            <w:vAlign w:val="center"/>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0.065</w:t>
            </w:r>
          </w:p>
        </w:tc>
        <w:tc>
          <w:tcPr>
            <w:tcW w:w="986" w:type="dxa"/>
            <w:tcBorders>
              <w:top w:val="nil"/>
              <w:left w:val="nil"/>
              <w:bottom w:val="nil"/>
              <w:right w:val="nil"/>
            </w:tcBorders>
            <w:shd w:val="clear" w:color="auto" w:fill="auto"/>
            <w:noWrap/>
            <w:tcMar>
              <w:left w:w="115" w:type="dxa"/>
              <w:right w:w="216" w:type="dxa"/>
            </w:tcMar>
            <w:vAlign w:val="center"/>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0.052</w:t>
            </w:r>
          </w:p>
        </w:tc>
        <w:tc>
          <w:tcPr>
            <w:tcW w:w="1076" w:type="dxa"/>
            <w:tcBorders>
              <w:top w:val="nil"/>
              <w:left w:val="nil"/>
              <w:bottom w:val="nil"/>
              <w:right w:val="nil"/>
            </w:tcBorders>
            <w:shd w:val="clear" w:color="auto" w:fill="auto"/>
            <w:noWrap/>
            <w:tcMar>
              <w:left w:w="115" w:type="dxa"/>
              <w:right w:w="216" w:type="dxa"/>
            </w:tcMar>
            <w:vAlign w:val="center"/>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0.093</w:t>
            </w:r>
          </w:p>
        </w:tc>
        <w:tc>
          <w:tcPr>
            <w:tcW w:w="986" w:type="dxa"/>
            <w:tcBorders>
              <w:top w:val="nil"/>
              <w:left w:val="nil"/>
              <w:bottom w:val="nil"/>
              <w:right w:val="nil"/>
            </w:tcBorders>
            <w:shd w:val="clear" w:color="auto" w:fill="auto"/>
            <w:noWrap/>
            <w:tcMar>
              <w:left w:w="115" w:type="dxa"/>
              <w:right w:w="216" w:type="dxa"/>
            </w:tcMar>
            <w:vAlign w:val="center"/>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0.134</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Log(income)</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2,098</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6.573</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1.268</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5.842</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6.529</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7.289</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Market b</w:t>
            </w:r>
            <w:r w:rsidRPr="008102FA">
              <w:rPr>
                <w:rFonts w:ascii="Times New Roman" w:eastAsia="Times New Roman" w:hAnsi="Times New Roman"/>
                <w:sz w:val="17"/>
                <w:szCs w:val="17"/>
              </w:rPr>
              <w:t>eta</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1,935</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1.026</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0.513</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0.688</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0.948</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1.286</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9F6EBF" w:rsidRDefault="008E65D9" w:rsidP="00575A5A">
            <w:pPr>
              <w:spacing w:after="0" w:line="240" w:lineRule="auto"/>
              <w:rPr>
                <w:rFonts w:ascii="Times New Roman" w:eastAsia="Times New Roman" w:hAnsi="Times New Roman"/>
                <w:sz w:val="17"/>
                <w:szCs w:val="17"/>
              </w:rPr>
            </w:pPr>
            <w:r w:rsidRPr="009F6EBF">
              <w:rPr>
                <w:rFonts w:ascii="Times New Roman" w:eastAsia="Times New Roman" w:hAnsi="Times New Roman"/>
                <w:sz w:val="17"/>
                <w:szCs w:val="17"/>
              </w:rPr>
              <w:t>Cash dividend</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9F6EBF" w:rsidRDefault="008E65D9" w:rsidP="00575A5A">
            <w:pPr>
              <w:spacing w:after="0" w:line="240" w:lineRule="auto"/>
              <w:jc w:val="center"/>
              <w:rPr>
                <w:rFonts w:ascii="Times New Roman" w:eastAsia="Times New Roman" w:hAnsi="Times New Roman" w:cs="Times New Roman"/>
                <w:sz w:val="17"/>
                <w:szCs w:val="17"/>
              </w:rPr>
            </w:pPr>
            <w:r w:rsidRPr="009F6EBF">
              <w:rPr>
                <w:rFonts w:ascii="Times New Roman" w:eastAsia="Times New Roman" w:hAnsi="Times New Roman" w:cs="Times New Roman"/>
                <w:sz w:val="17"/>
                <w:szCs w:val="17"/>
              </w:rPr>
              <w:t>2</w:t>
            </w:r>
            <w:r w:rsidR="000073F6">
              <w:rPr>
                <w:rFonts w:ascii="Times New Roman" w:eastAsia="Times New Roman" w:hAnsi="Times New Roman" w:cs="Times New Roman"/>
                <w:sz w:val="17"/>
                <w:szCs w:val="17"/>
              </w:rPr>
              <w:t>,</w:t>
            </w:r>
            <w:r w:rsidRPr="009F6EBF">
              <w:rPr>
                <w:rFonts w:ascii="Times New Roman" w:eastAsia="Times New Roman" w:hAnsi="Times New Roman" w:cs="Times New Roman"/>
                <w:sz w:val="17"/>
                <w:szCs w:val="17"/>
              </w:rPr>
              <w:t>098</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9F6EBF" w:rsidRDefault="008E65D9" w:rsidP="00575A5A">
            <w:pPr>
              <w:spacing w:after="0" w:line="240" w:lineRule="auto"/>
              <w:jc w:val="right"/>
              <w:rPr>
                <w:rFonts w:ascii="Times New Roman" w:eastAsia="Times New Roman" w:hAnsi="Times New Roman" w:cs="Times New Roman"/>
                <w:sz w:val="17"/>
                <w:szCs w:val="17"/>
              </w:rPr>
            </w:pPr>
            <w:r w:rsidRPr="009F6EBF">
              <w:rPr>
                <w:rFonts w:ascii="Times New Roman" w:eastAsia="Times New Roman" w:hAnsi="Times New Roman" w:cs="Times New Roman"/>
                <w:sz w:val="17"/>
                <w:szCs w:val="17"/>
              </w:rPr>
              <w:t>489.9</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9F6EBF" w:rsidRDefault="008E65D9" w:rsidP="00575A5A">
            <w:pPr>
              <w:spacing w:after="0" w:line="240" w:lineRule="auto"/>
              <w:jc w:val="right"/>
              <w:rPr>
                <w:rFonts w:ascii="Times New Roman" w:eastAsia="Times New Roman" w:hAnsi="Times New Roman" w:cs="Times New Roman"/>
                <w:sz w:val="17"/>
                <w:szCs w:val="17"/>
              </w:rPr>
            </w:pPr>
            <w:r w:rsidRPr="009F6EBF">
              <w:rPr>
                <w:rFonts w:ascii="Times New Roman" w:eastAsia="Times New Roman" w:hAnsi="Times New Roman" w:cs="Times New Roman"/>
                <w:sz w:val="17"/>
                <w:szCs w:val="17"/>
              </w:rPr>
              <w:t>1,056.0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9F6EBF" w:rsidRDefault="008E65D9" w:rsidP="00575A5A">
            <w:pPr>
              <w:spacing w:after="0" w:line="240" w:lineRule="auto"/>
              <w:jc w:val="right"/>
              <w:rPr>
                <w:rFonts w:ascii="Times New Roman" w:eastAsia="Times New Roman" w:hAnsi="Times New Roman" w:cs="Times New Roman"/>
                <w:sz w:val="17"/>
                <w:szCs w:val="17"/>
              </w:rPr>
            </w:pPr>
            <w:r w:rsidRPr="009F6EBF">
              <w:rPr>
                <w:rFonts w:ascii="Times New Roman" w:eastAsia="Times New Roman" w:hAnsi="Times New Roman" w:cs="Times New Roman"/>
                <w:sz w:val="17"/>
                <w:szCs w:val="17"/>
              </w:rPr>
              <w:t>57.1</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9F6EBF" w:rsidRDefault="008E65D9" w:rsidP="00575A5A">
            <w:pPr>
              <w:spacing w:after="0" w:line="240" w:lineRule="auto"/>
              <w:jc w:val="right"/>
              <w:rPr>
                <w:rFonts w:ascii="Times New Roman" w:eastAsia="Times New Roman" w:hAnsi="Times New Roman" w:cs="Times New Roman"/>
                <w:sz w:val="17"/>
                <w:szCs w:val="17"/>
              </w:rPr>
            </w:pPr>
            <w:r w:rsidRPr="009F6EBF">
              <w:rPr>
                <w:rFonts w:ascii="Times New Roman" w:eastAsia="Times New Roman" w:hAnsi="Times New Roman" w:cs="Times New Roman"/>
                <w:sz w:val="17"/>
                <w:szCs w:val="17"/>
              </w:rPr>
              <w:t>182.5</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9F6EBF" w:rsidRDefault="008E65D9" w:rsidP="00575A5A">
            <w:pPr>
              <w:spacing w:after="0" w:line="240" w:lineRule="auto"/>
              <w:jc w:val="right"/>
              <w:rPr>
                <w:rFonts w:ascii="Times New Roman" w:eastAsia="Times New Roman" w:hAnsi="Times New Roman" w:cs="Times New Roman"/>
                <w:sz w:val="17"/>
                <w:szCs w:val="17"/>
              </w:rPr>
            </w:pPr>
            <w:r w:rsidRPr="009F6EBF">
              <w:rPr>
                <w:rFonts w:ascii="Times New Roman" w:eastAsia="Times New Roman" w:hAnsi="Times New Roman" w:cs="Times New Roman"/>
                <w:sz w:val="17"/>
                <w:szCs w:val="17"/>
              </w:rPr>
              <w:t>471.0</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ROA</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1</w:t>
            </w:r>
            <w:r w:rsidR="000073F6">
              <w:rPr>
                <w:rFonts w:ascii="Times New Roman" w:eastAsia="Times New Roman" w:hAnsi="Times New Roman" w:cs="Times New Roman"/>
                <w:sz w:val="17"/>
                <w:szCs w:val="17"/>
              </w:rPr>
              <w:t>,</w:t>
            </w:r>
            <w:r>
              <w:rPr>
                <w:rFonts w:ascii="Times New Roman" w:eastAsia="Times New Roman" w:hAnsi="Times New Roman" w:cs="Times New Roman"/>
                <w:sz w:val="17"/>
                <w:szCs w:val="17"/>
              </w:rPr>
              <w:t>900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0.056</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0.062</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0.020</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0.050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0.087</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ROE</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1</w:t>
            </w:r>
            <w:r w:rsidR="000073F6">
              <w:rPr>
                <w:rFonts w:ascii="Times New Roman" w:eastAsia="Times New Roman" w:hAnsi="Times New Roman" w:cs="Times New Roman"/>
                <w:sz w:val="17"/>
                <w:szCs w:val="17"/>
              </w:rPr>
              <w:t>,</w:t>
            </w:r>
            <w:r>
              <w:rPr>
                <w:rFonts w:ascii="Times New Roman" w:eastAsia="Times New Roman" w:hAnsi="Times New Roman" w:cs="Times New Roman"/>
                <w:sz w:val="17"/>
                <w:szCs w:val="17"/>
              </w:rPr>
              <w:t>900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0.122</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0.543</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0.093</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0.150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0.221</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ROI</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1</w:t>
            </w:r>
            <w:r w:rsidR="000073F6">
              <w:rPr>
                <w:rFonts w:ascii="Times New Roman" w:eastAsia="Times New Roman" w:hAnsi="Times New Roman" w:cs="Times New Roman"/>
                <w:sz w:val="17"/>
                <w:szCs w:val="17"/>
              </w:rPr>
              <w:t>,</w:t>
            </w:r>
            <w:r>
              <w:rPr>
                <w:rFonts w:ascii="Times New Roman" w:eastAsia="Times New Roman" w:hAnsi="Times New Roman" w:cs="Times New Roman"/>
                <w:sz w:val="17"/>
                <w:szCs w:val="17"/>
              </w:rPr>
              <w:t>900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0.089</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1.254</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0.050</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0.089</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0.146</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324C3A"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Distance-to-</w:t>
            </w:r>
            <w:r w:rsidR="008E65D9">
              <w:rPr>
                <w:rFonts w:ascii="Times New Roman" w:eastAsia="Times New Roman" w:hAnsi="Times New Roman"/>
                <w:sz w:val="17"/>
                <w:szCs w:val="17"/>
              </w:rPr>
              <w:t>default</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2</w:t>
            </w:r>
            <w:r>
              <w:rPr>
                <w:rFonts w:ascii="Times New Roman" w:eastAsia="Times New Roman" w:hAnsi="Times New Roman" w:cs="Times New Roman"/>
                <w:sz w:val="17"/>
                <w:szCs w:val="17"/>
              </w:rPr>
              <w:t>,</w:t>
            </w:r>
            <w:r w:rsidRPr="008102FA">
              <w:rPr>
                <w:rFonts w:ascii="Times New Roman" w:eastAsia="Times New Roman" w:hAnsi="Times New Roman" w:cs="Times New Roman"/>
                <w:sz w:val="17"/>
                <w:szCs w:val="17"/>
              </w:rPr>
              <w:t>097</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2.534</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1.251</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1.640</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2.320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3.226</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sidRPr="008102FA">
              <w:rPr>
                <w:rFonts w:ascii="Times New Roman" w:eastAsia="Times New Roman" w:hAnsi="Times New Roman"/>
                <w:sz w:val="17"/>
                <w:szCs w:val="17"/>
              </w:rPr>
              <w:t xml:space="preserve">Firm </w:t>
            </w:r>
            <w:r>
              <w:rPr>
                <w:rFonts w:ascii="Times New Roman" w:eastAsia="Times New Roman" w:hAnsi="Times New Roman"/>
                <w:sz w:val="17"/>
                <w:szCs w:val="17"/>
              </w:rPr>
              <w:t>a</w:t>
            </w:r>
            <w:r w:rsidRPr="008102FA">
              <w:rPr>
                <w:rFonts w:ascii="Times New Roman" w:eastAsia="Times New Roman" w:hAnsi="Times New Roman"/>
                <w:sz w:val="17"/>
                <w:szCs w:val="17"/>
              </w:rPr>
              <w:t>ge</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2</w:t>
            </w:r>
            <w:r>
              <w:rPr>
                <w:rFonts w:ascii="Times New Roman" w:eastAsia="Times New Roman" w:hAnsi="Times New Roman" w:cs="Times New Roman"/>
                <w:sz w:val="17"/>
                <w:szCs w:val="17"/>
              </w:rPr>
              <w:t>,</w:t>
            </w:r>
            <w:r w:rsidRPr="008102FA">
              <w:rPr>
                <w:rFonts w:ascii="Times New Roman" w:eastAsia="Times New Roman" w:hAnsi="Times New Roman" w:cs="Times New Roman"/>
                <w:sz w:val="17"/>
                <w:szCs w:val="17"/>
              </w:rPr>
              <w:t>098</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91.988</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47.744</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57.000</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95.000</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120.000</w:t>
            </w:r>
          </w:p>
        </w:tc>
      </w:tr>
      <w:tr w:rsidR="008E65D9" w:rsidRPr="00C34885" w:rsidTr="00575A5A">
        <w:trPr>
          <w:trHeight w:val="288"/>
        </w:trPr>
        <w:tc>
          <w:tcPr>
            <w:tcW w:w="3411" w:type="dxa"/>
            <w:tcBorders>
              <w:top w:val="nil"/>
              <w:left w:val="nil"/>
              <w:bottom w:val="nil"/>
              <w:right w:val="nil"/>
            </w:tcBorders>
            <w:shd w:val="clear" w:color="auto" w:fill="auto"/>
            <w:noWrap/>
            <w:vAlign w:val="center"/>
          </w:tcPr>
          <w:p w:rsidR="008E65D9" w:rsidRPr="008102FA"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Past stock r</w:t>
            </w:r>
            <w:r w:rsidRPr="008102FA">
              <w:rPr>
                <w:rFonts w:ascii="Times New Roman" w:eastAsia="Times New Roman" w:hAnsi="Times New Roman"/>
                <w:sz w:val="17"/>
                <w:szCs w:val="17"/>
              </w:rPr>
              <w:t>eturn</w:t>
            </w:r>
          </w:p>
        </w:tc>
        <w:tc>
          <w:tcPr>
            <w:tcW w:w="714"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1</w:t>
            </w:r>
            <w:r>
              <w:rPr>
                <w:rFonts w:ascii="Times New Roman" w:eastAsia="Times New Roman" w:hAnsi="Times New Roman" w:cs="Times New Roman"/>
                <w:sz w:val="17"/>
                <w:szCs w:val="17"/>
              </w:rPr>
              <w:t>,</w:t>
            </w:r>
            <w:r w:rsidRPr="008102FA">
              <w:rPr>
                <w:rFonts w:ascii="Times New Roman" w:eastAsia="Times New Roman" w:hAnsi="Times New Roman" w:cs="Times New Roman"/>
                <w:sz w:val="17"/>
                <w:szCs w:val="17"/>
              </w:rPr>
              <w:t>980</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7.70%</w:t>
            </w:r>
          </w:p>
        </w:tc>
        <w:tc>
          <w:tcPr>
            <w:tcW w:w="1165"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11.32%</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-16.02%</w:t>
            </w:r>
          </w:p>
        </w:tc>
        <w:tc>
          <w:tcPr>
            <w:tcW w:w="107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5.1</w:t>
            </w:r>
            <w:r>
              <w:rPr>
                <w:rFonts w:ascii="Times New Roman" w:eastAsia="Times New Roman" w:hAnsi="Times New Roman" w:cs="Times New Roman"/>
                <w:sz w:val="17"/>
                <w:szCs w:val="17"/>
              </w:rPr>
              <w:t>5</w:t>
            </w:r>
            <w:r w:rsidRPr="008102FA">
              <w:rPr>
                <w:rFonts w:ascii="Times New Roman" w:eastAsia="Times New Roman" w:hAnsi="Times New Roman" w:cs="Times New Roman"/>
                <w:sz w:val="17"/>
                <w:szCs w:val="17"/>
              </w:rPr>
              <w:t>%</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r w:rsidRPr="008102FA">
              <w:rPr>
                <w:rFonts w:ascii="Times New Roman" w:eastAsia="Times New Roman" w:hAnsi="Times New Roman" w:cs="Times New Roman"/>
                <w:sz w:val="17"/>
                <w:szCs w:val="17"/>
              </w:rPr>
              <w:t>23.7</w:t>
            </w:r>
            <w:r>
              <w:rPr>
                <w:rFonts w:ascii="Times New Roman" w:eastAsia="Times New Roman" w:hAnsi="Times New Roman" w:cs="Times New Roman"/>
                <w:sz w:val="17"/>
                <w:szCs w:val="17"/>
              </w:rPr>
              <w:t>7</w:t>
            </w:r>
            <w:r w:rsidRPr="008102FA">
              <w:rPr>
                <w:rFonts w:ascii="Times New Roman" w:eastAsia="Times New Roman" w:hAnsi="Times New Roman" w:cs="Times New Roman"/>
                <w:sz w:val="17"/>
                <w:szCs w:val="17"/>
              </w:rPr>
              <w:t>%</w:t>
            </w:r>
          </w:p>
        </w:tc>
      </w:tr>
      <w:tr w:rsidR="008E65D9" w:rsidRPr="00C34885" w:rsidTr="00575A5A">
        <w:trPr>
          <w:trHeight w:val="288"/>
        </w:trPr>
        <w:tc>
          <w:tcPr>
            <w:tcW w:w="3411" w:type="dxa"/>
            <w:tcBorders>
              <w:top w:val="nil"/>
              <w:left w:val="nil"/>
              <w:bottom w:val="nil"/>
              <w:right w:val="nil"/>
            </w:tcBorders>
            <w:shd w:val="clear" w:color="auto" w:fill="auto"/>
            <w:noWrap/>
            <w:vAlign w:val="center"/>
          </w:tcPr>
          <w:p w:rsidR="008E65D9" w:rsidRPr="008102FA" w:rsidRDefault="008E65D9" w:rsidP="00575A5A">
            <w:pPr>
              <w:spacing w:after="0" w:line="240" w:lineRule="auto"/>
              <w:rPr>
                <w:rFonts w:ascii="Times New Roman" w:eastAsia="Times New Roman" w:hAnsi="Times New Roman"/>
                <w:sz w:val="17"/>
                <w:szCs w:val="17"/>
              </w:rPr>
            </w:pPr>
            <w:r w:rsidRPr="008102FA">
              <w:rPr>
                <w:rFonts w:ascii="Times New Roman" w:eastAsia="Times New Roman" w:hAnsi="Times New Roman"/>
                <w:sz w:val="17"/>
                <w:szCs w:val="17"/>
              </w:rPr>
              <w:t xml:space="preserve">Liquidity </w:t>
            </w:r>
            <w:r>
              <w:rPr>
                <w:rFonts w:ascii="Times New Roman" w:eastAsia="Times New Roman" w:hAnsi="Times New Roman"/>
                <w:sz w:val="17"/>
                <w:szCs w:val="17"/>
              </w:rPr>
              <w:t>c</w:t>
            </w:r>
            <w:r w:rsidRPr="008102FA">
              <w:rPr>
                <w:rFonts w:ascii="Times New Roman" w:eastAsia="Times New Roman" w:hAnsi="Times New Roman"/>
                <w:sz w:val="17"/>
                <w:szCs w:val="17"/>
              </w:rPr>
              <w:t>onstraint (</w:t>
            </w:r>
            <w:r>
              <w:rPr>
                <w:rFonts w:ascii="Times New Roman" w:eastAsia="Times New Roman" w:hAnsi="Times New Roman"/>
                <w:sz w:val="17"/>
                <w:szCs w:val="17"/>
              </w:rPr>
              <w:t>d</w:t>
            </w:r>
            <w:r w:rsidRPr="008102FA">
              <w:rPr>
                <w:rFonts w:ascii="Times New Roman" w:eastAsia="Times New Roman" w:hAnsi="Times New Roman"/>
                <w:sz w:val="17"/>
                <w:szCs w:val="17"/>
              </w:rPr>
              <w:t>ummy)</w:t>
            </w:r>
          </w:p>
        </w:tc>
        <w:tc>
          <w:tcPr>
            <w:tcW w:w="714"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2</w:t>
            </w:r>
            <w:r>
              <w:rPr>
                <w:rFonts w:ascii="Times New Roman" w:eastAsia="Times New Roman" w:hAnsi="Times New Roman"/>
                <w:sz w:val="17"/>
                <w:szCs w:val="17"/>
              </w:rPr>
              <w:t>,</w:t>
            </w:r>
            <w:r w:rsidRPr="008102FA">
              <w:rPr>
                <w:rFonts w:ascii="Times New Roman" w:eastAsia="Times New Roman" w:hAnsi="Times New Roman"/>
                <w:sz w:val="17"/>
                <w:szCs w:val="17"/>
              </w:rPr>
              <w:t>121</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0.016</w:t>
            </w:r>
          </w:p>
        </w:tc>
        <w:tc>
          <w:tcPr>
            <w:tcW w:w="1165"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p>
        </w:tc>
        <w:tc>
          <w:tcPr>
            <w:tcW w:w="107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p>
        </w:tc>
      </w:tr>
      <w:tr w:rsidR="008E65D9" w:rsidRPr="00C34885" w:rsidTr="00575A5A">
        <w:trPr>
          <w:trHeight w:val="288"/>
        </w:trPr>
        <w:tc>
          <w:tcPr>
            <w:tcW w:w="3411" w:type="dxa"/>
            <w:tcBorders>
              <w:top w:val="nil"/>
              <w:left w:val="nil"/>
              <w:bottom w:val="nil"/>
              <w:right w:val="nil"/>
            </w:tcBorders>
            <w:shd w:val="clear" w:color="auto" w:fill="auto"/>
            <w:noWrap/>
            <w:vAlign w:val="center"/>
          </w:tcPr>
          <w:p w:rsidR="008E65D9" w:rsidRPr="008102FA" w:rsidRDefault="008E65D9" w:rsidP="00575A5A">
            <w:pPr>
              <w:spacing w:after="0" w:line="240" w:lineRule="auto"/>
              <w:rPr>
                <w:rFonts w:ascii="Times New Roman" w:eastAsia="Times New Roman" w:hAnsi="Times New Roman"/>
                <w:sz w:val="17"/>
                <w:szCs w:val="17"/>
              </w:rPr>
            </w:pPr>
            <w:r w:rsidRPr="008102FA">
              <w:rPr>
                <w:rFonts w:ascii="Times New Roman" w:eastAsia="Times New Roman" w:hAnsi="Times New Roman"/>
                <w:sz w:val="17"/>
                <w:szCs w:val="17"/>
              </w:rPr>
              <w:t xml:space="preserve">Tax </w:t>
            </w:r>
            <w:r>
              <w:rPr>
                <w:rFonts w:ascii="Times New Roman" w:eastAsia="Times New Roman" w:hAnsi="Times New Roman"/>
                <w:sz w:val="17"/>
                <w:szCs w:val="17"/>
              </w:rPr>
              <w:t>l</w:t>
            </w:r>
            <w:r w:rsidRPr="008102FA">
              <w:rPr>
                <w:rFonts w:ascii="Times New Roman" w:eastAsia="Times New Roman" w:hAnsi="Times New Roman"/>
                <w:sz w:val="17"/>
                <w:szCs w:val="17"/>
              </w:rPr>
              <w:t>oss (</w:t>
            </w:r>
            <w:r>
              <w:rPr>
                <w:rFonts w:ascii="Times New Roman" w:eastAsia="Times New Roman" w:hAnsi="Times New Roman"/>
                <w:sz w:val="17"/>
                <w:szCs w:val="17"/>
              </w:rPr>
              <w:t>d</w:t>
            </w:r>
            <w:r w:rsidRPr="008102FA">
              <w:rPr>
                <w:rFonts w:ascii="Times New Roman" w:eastAsia="Times New Roman" w:hAnsi="Times New Roman"/>
                <w:sz w:val="17"/>
                <w:szCs w:val="17"/>
              </w:rPr>
              <w:t>ummy)</w:t>
            </w:r>
          </w:p>
        </w:tc>
        <w:tc>
          <w:tcPr>
            <w:tcW w:w="714"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2</w:t>
            </w:r>
            <w:r>
              <w:rPr>
                <w:rFonts w:ascii="Times New Roman" w:eastAsia="Times New Roman" w:hAnsi="Times New Roman"/>
                <w:sz w:val="17"/>
                <w:szCs w:val="17"/>
              </w:rPr>
              <w:t>,</w:t>
            </w:r>
            <w:r w:rsidRPr="008102FA">
              <w:rPr>
                <w:rFonts w:ascii="Times New Roman" w:eastAsia="Times New Roman" w:hAnsi="Times New Roman"/>
                <w:sz w:val="17"/>
                <w:szCs w:val="17"/>
              </w:rPr>
              <w:t>121</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0.756</w:t>
            </w:r>
          </w:p>
        </w:tc>
        <w:tc>
          <w:tcPr>
            <w:tcW w:w="1165"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p>
        </w:tc>
        <w:tc>
          <w:tcPr>
            <w:tcW w:w="107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cs="Times New Roman"/>
                <w:sz w:val="17"/>
                <w:szCs w:val="17"/>
              </w:rPr>
            </w:pPr>
          </w:p>
        </w:tc>
      </w:tr>
      <w:tr w:rsidR="008E65D9" w:rsidRPr="003029D8" w:rsidTr="00575A5A">
        <w:trPr>
          <w:trHeight w:val="300"/>
        </w:trPr>
        <w:tc>
          <w:tcPr>
            <w:tcW w:w="3411" w:type="dxa"/>
            <w:tcBorders>
              <w:top w:val="single" w:sz="4" w:space="0" w:color="auto"/>
              <w:left w:val="nil"/>
              <w:bottom w:val="single" w:sz="4" w:space="0" w:color="auto"/>
              <w:right w:val="nil"/>
            </w:tcBorders>
            <w:shd w:val="clear" w:color="auto" w:fill="auto"/>
            <w:noWrap/>
            <w:tcMar>
              <w:left w:w="29" w:type="dxa"/>
              <w:right w:w="115" w:type="dxa"/>
            </w:tcMar>
            <w:vAlign w:val="center"/>
            <w:hideMark/>
          </w:tcPr>
          <w:p w:rsidR="008E65D9" w:rsidRPr="003029D8" w:rsidRDefault="008E65D9" w:rsidP="00575A5A">
            <w:pPr>
              <w:spacing w:after="0" w:line="240" w:lineRule="auto"/>
              <w:rPr>
                <w:rFonts w:ascii="Times New Roman" w:eastAsia="Times New Roman" w:hAnsi="Times New Roman"/>
                <w:bCs/>
                <w:iCs/>
                <w:sz w:val="17"/>
                <w:szCs w:val="17"/>
              </w:rPr>
            </w:pPr>
            <w:r w:rsidRPr="003029D8">
              <w:rPr>
                <w:rFonts w:ascii="Times New Roman" w:eastAsia="Times New Roman" w:hAnsi="Times New Roman"/>
                <w:bCs/>
                <w:iCs/>
                <w:sz w:val="17"/>
                <w:szCs w:val="17"/>
              </w:rPr>
              <w:t>Executive compensation values</w:t>
            </w:r>
          </w:p>
        </w:tc>
        <w:tc>
          <w:tcPr>
            <w:tcW w:w="714" w:type="dxa"/>
            <w:tcBorders>
              <w:top w:val="single" w:sz="4" w:space="0" w:color="auto"/>
              <w:left w:val="nil"/>
              <w:bottom w:val="single" w:sz="4" w:space="0" w:color="auto"/>
              <w:right w:val="nil"/>
            </w:tcBorders>
            <w:shd w:val="clear" w:color="auto" w:fill="auto"/>
            <w:noWrap/>
            <w:vAlign w:val="bottom"/>
            <w:hideMark/>
          </w:tcPr>
          <w:p w:rsidR="008E65D9" w:rsidRPr="003029D8" w:rsidRDefault="008E65D9" w:rsidP="00575A5A">
            <w:pPr>
              <w:spacing w:after="0" w:line="240" w:lineRule="auto"/>
              <w:jc w:val="right"/>
              <w:rPr>
                <w:rFonts w:ascii="Times New Roman" w:eastAsia="Times New Roman" w:hAnsi="Times New Roman"/>
                <w:sz w:val="17"/>
                <w:szCs w:val="17"/>
              </w:rPr>
            </w:pPr>
            <w:r w:rsidRPr="003029D8">
              <w:rPr>
                <w:rFonts w:ascii="Times New Roman" w:eastAsia="Times New Roman" w:hAnsi="Times New Roman"/>
                <w:sz w:val="17"/>
                <w:szCs w:val="17"/>
              </w:rPr>
              <w:t> </w:t>
            </w:r>
          </w:p>
        </w:tc>
        <w:tc>
          <w:tcPr>
            <w:tcW w:w="986" w:type="dxa"/>
            <w:tcBorders>
              <w:top w:val="single" w:sz="4" w:space="0" w:color="auto"/>
              <w:left w:val="nil"/>
              <w:bottom w:val="single" w:sz="4" w:space="0" w:color="auto"/>
              <w:right w:val="nil"/>
            </w:tcBorders>
            <w:shd w:val="clear" w:color="auto" w:fill="auto"/>
            <w:noWrap/>
            <w:vAlign w:val="bottom"/>
            <w:hideMark/>
          </w:tcPr>
          <w:p w:rsidR="008E65D9" w:rsidRPr="003029D8" w:rsidRDefault="008E65D9" w:rsidP="00575A5A">
            <w:pPr>
              <w:spacing w:after="0" w:line="240" w:lineRule="auto"/>
              <w:jc w:val="right"/>
              <w:rPr>
                <w:rFonts w:ascii="Times New Roman" w:eastAsia="Times New Roman" w:hAnsi="Times New Roman"/>
                <w:sz w:val="17"/>
                <w:szCs w:val="17"/>
              </w:rPr>
            </w:pPr>
            <w:r w:rsidRPr="003029D8">
              <w:rPr>
                <w:rFonts w:ascii="Times New Roman" w:eastAsia="Times New Roman" w:hAnsi="Times New Roman"/>
                <w:sz w:val="17"/>
                <w:szCs w:val="17"/>
              </w:rPr>
              <w:t> </w:t>
            </w:r>
          </w:p>
        </w:tc>
        <w:tc>
          <w:tcPr>
            <w:tcW w:w="1165" w:type="dxa"/>
            <w:tcBorders>
              <w:top w:val="single" w:sz="4" w:space="0" w:color="auto"/>
              <w:left w:val="nil"/>
              <w:bottom w:val="single" w:sz="4" w:space="0" w:color="auto"/>
              <w:right w:val="nil"/>
            </w:tcBorders>
            <w:shd w:val="clear" w:color="auto" w:fill="auto"/>
            <w:noWrap/>
            <w:vAlign w:val="bottom"/>
            <w:hideMark/>
          </w:tcPr>
          <w:p w:rsidR="008E65D9" w:rsidRPr="003029D8" w:rsidRDefault="008E65D9" w:rsidP="00575A5A">
            <w:pPr>
              <w:spacing w:after="0" w:line="240" w:lineRule="auto"/>
              <w:jc w:val="right"/>
              <w:rPr>
                <w:rFonts w:ascii="Times New Roman" w:eastAsia="Times New Roman" w:hAnsi="Times New Roman"/>
                <w:sz w:val="17"/>
                <w:szCs w:val="17"/>
              </w:rPr>
            </w:pPr>
            <w:r w:rsidRPr="003029D8">
              <w:rPr>
                <w:rFonts w:ascii="Times New Roman" w:eastAsia="Times New Roman" w:hAnsi="Times New Roman"/>
                <w:sz w:val="17"/>
                <w:szCs w:val="17"/>
              </w:rPr>
              <w:t> </w:t>
            </w:r>
          </w:p>
        </w:tc>
        <w:tc>
          <w:tcPr>
            <w:tcW w:w="986" w:type="dxa"/>
            <w:tcBorders>
              <w:top w:val="single" w:sz="4" w:space="0" w:color="auto"/>
              <w:left w:val="nil"/>
              <w:bottom w:val="single" w:sz="4" w:space="0" w:color="auto"/>
              <w:right w:val="nil"/>
            </w:tcBorders>
            <w:shd w:val="clear" w:color="auto" w:fill="auto"/>
            <w:noWrap/>
            <w:vAlign w:val="bottom"/>
            <w:hideMark/>
          </w:tcPr>
          <w:p w:rsidR="008E65D9" w:rsidRPr="003029D8" w:rsidRDefault="008E65D9" w:rsidP="00575A5A">
            <w:pPr>
              <w:spacing w:after="0" w:line="240" w:lineRule="auto"/>
              <w:jc w:val="right"/>
              <w:rPr>
                <w:rFonts w:ascii="Times New Roman" w:eastAsia="Times New Roman" w:hAnsi="Times New Roman"/>
                <w:sz w:val="17"/>
                <w:szCs w:val="17"/>
              </w:rPr>
            </w:pPr>
            <w:r w:rsidRPr="003029D8">
              <w:rPr>
                <w:rFonts w:ascii="Times New Roman" w:eastAsia="Times New Roman" w:hAnsi="Times New Roman"/>
                <w:sz w:val="17"/>
                <w:szCs w:val="17"/>
              </w:rPr>
              <w:t> </w:t>
            </w:r>
          </w:p>
        </w:tc>
        <w:tc>
          <w:tcPr>
            <w:tcW w:w="1076" w:type="dxa"/>
            <w:tcBorders>
              <w:top w:val="single" w:sz="4" w:space="0" w:color="auto"/>
              <w:left w:val="nil"/>
              <w:bottom w:val="single" w:sz="4" w:space="0" w:color="auto"/>
              <w:right w:val="nil"/>
            </w:tcBorders>
            <w:shd w:val="clear" w:color="auto" w:fill="auto"/>
            <w:noWrap/>
            <w:vAlign w:val="bottom"/>
            <w:hideMark/>
          </w:tcPr>
          <w:p w:rsidR="008E65D9" w:rsidRPr="003029D8" w:rsidRDefault="008E65D9" w:rsidP="00575A5A">
            <w:pPr>
              <w:spacing w:after="0" w:line="240" w:lineRule="auto"/>
              <w:jc w:val="right"/>
              <w:rPr>
                <w:rFonts w:ascii="Times New Roman" w:eastAsia="Times New Roman" w:hAnsi="Times New Roman"/>
                <w:sz w:val="17"/>
                <w:szCs w:val="17"/>
              </w:rPr>
            </w:pPr>
            <w:r w:rsidRPr="003029D8">
              <w:rPr>
                <w:rFonts w:ascii="Times New Roman" w:eastAsia="Times New Roman" w:hAnsi="Times New Roman"/>
                <w:sz w:val="17"/>
                <w:szCs w:val="17"/>
              </w:rPr>
              <w:t> </w:t>
            </w:r>
          </w:p>
        </w:tc>
        <w:tc>
          <w:tcPr>
            <w:tcW w:w="986" w:type="dxa"/>
            <w:tcBorders>
              <w:top w:val="single" w:sz="4" w:space="0" w:color="auto"/>
              <w:left w:val="nil"/>
              <w:bottom w:val="single" w:sz="4" w:space="0" w:color="auto"/>
              <w:right w:val="nil"/>
            </w:tcBorders>
            <w:shd w:val="clear" w:color="auto" w:fill="auto"/>
            <w:noWrap/>
            <w:vAlign w:val="bottom"/>
            <w:hideMark/>
          </w:tcPr>
          <w:p w:rsidR="008E65D9" w:rsidRPr="003029D8" w:rsidRDefault="008E65D9" w:rsidP="00575A5A">
            <w:pPr>
              <w:spacing w:after="0" w:line="240" w:lineRule="auto"/>
              <w:jc w:val="right"/>
              <w:rPr>
                <w:rFonts w:ascii="Times New Roman" w:eastAsia="Times New Roman" w:hAnsi="Times New Roman"/>
                <w:sz w:val="17"/>
                <w:szCs w:val="17"/>
              </w:rPr>
            </w:pPr>
            <w:r w:rsidRPr="003029D8">
              <w:rPr>
                <w:rFonts w:ascii="Times New Roman" w:eastAsia="Times New Roman" w:hAnsi="Times New Roman"/>
                <w:sz w:val="17"/>
                <w:szCs w:val="17"/>
              </w:rPr>
              <w:t> </w:t>
            </w:r>
          </w:p>
        </w:tc>
      </w:tr>
      <w:tr w:rsidR="008E65D9" w:rsidRPr="00C34885" w:rsidTr="00575A5A">
        <w:trPr>
          <w:trHeight w:val="288"/>
        </w:trPr>
        <w:tc>
          <w:tcPr>
            <w:tcW w:w="3411" w:type="dxa"/>
            <w:tcBorders>
              <w:top w:val="nil"/>
              <w:left w:val="nil"/>
              <w:bottom w:val="nil"/>
              <w:right w:val="nil"/>
            </w:tcBorders>
            <w:shd w:val="clear" w:color="auto" w:fill="auto"/>
            <w:noWrap/>
            <w:vAlign w:val="center"/>
          </w:tcPr>
          <w:p w:rsidR="008E65D9" w:rsidRPr="008102FA" w:rsidRDefault="008E65D9" w:rsidP="00324C3A">
            <w:pPr>
              <w:spacing w:after="0" w:line="240" w:lineRule="auto"/>
              <w:rPr>
                <w:rFonts w:ascii="Times New Roman" w:eastAsia="Times New Roman" w:hAnsi="Times New Roman"/>
                <w:sz w:val="17"/>
                <w:szCs w:val="17"/>
              </w:rPr>
            </w:pPr>
            <w:r>
              <w:rPr>
                <w:rFonts w:ascii="Times New Roman" w:eastAsia="Times New Roman" w:hAnsi="Times New Roman"/>
                <w:sz w:val="17"/>
                <w:szCs w:val="17"/>
              </w:rPr>
              <w:t>Comp</w:t>
            </w:r>
            <w:r w:rsidR="00324C3A">
              <w:rPr>
                <w:rFonts w:ascii="Times New Roman" w:eastAsia="Times New Roman" w:hAnsi="Times New Roman"/>
                <w:sz w:val="17"/>
                <w:szCs w:val="17"/>
              </w:rPr>
              <w:t>ensation</w:t>
            </w:r>
            <w:r>
              <w:rPr>
                <w:rFonts w:ascii="Times New Roman" w:eastAsia="Times New Roman" w:hAnsi="Times New Roman"/>
                <w:sz w:val="17"/>
                <w:szCs w:val="17"/>
              </w:rPr>
              <w:t xml:space="preserve"> leverage, CEO</w:t>
            </w:r>
          </w:p>
        </w:tc>
        <w:tc>
          <w:tcPr>
            <w:tcW w:w="714"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2,104</w:t>
            </w:r>
            <w:r w:rsidRPr="004958DE">
              <w:rPr>
                <w:rFonts w:ascii="Times New Roman" w:eastAsia="Times New Roman" w:hAnsi="Times New Roman"/>
                <w:sz w:val="17"/>
                <w:szCs w:val="17"/>
              </w:rPr>
              <w:t xml:space="preserve">   </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0.184</w:t>
            </w:r>
          </w:p>
        </w:tc>
        <w:tc>
          <w:tcPr>
            <w:tcW w:w="1165"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0.042</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0.129</w:t>
            </w:r>
          </w:p>
        </w:tc>
        <w:tc>
          <w:tcPr>
            <w:tcW w:w="107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0.181</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0.271</w:t>
            </w:r>
          </w:p>
        </w:tc>
      </w:tr>
      <w:tr w:rsidR="008E65D9" w:rsidRPr="00C34885" w:rsidTr="00575A5A">
        <w:trPr>
          <w:trHeight w:val="288"/>
        </w:trPr>
        <w:tc>
          <w:tcPr>
            <w:tcW w:w="3411" w:type="dxa"/>
            <w:tcBorders>
              <w:top w:val="nil"/>
              <w:left w:val="nil"/>
              <w:bottom w:val="nil"/>
              <w:right w:val="nil"/>
            </w:tcBorders>
            <w:shd w:val="clear" w:color="auto" w:fill="auto"/>
            <w:noWrap/>
            <w:vAlign w:val="center"/>
          </w:tcPr>
          <w:p w:rsidR="008E65D9" w:rsidRPr="008102FA" w:rsidRDefault="008E65D9" w:rsidP="00324C3A">
            <w:pPr>
              <w:spacing w:after="0" w:line="240" w:lineRule="auto"/>
              <w:rPr>
                <w:rFonts w:ascii="Times New Roman" w:eastAsia="Times New Roman" w:hAnsi="Times New Roman"/>
                <w:sz w:val="17"/>
                <w:szCs w:val="17"/>
              </w:rPr>
            </w:pPr>
            <w:r>
              <w:rPr>
                <w:rFonts w:ascii="Times New Roman" w:eastAsia="Times New Roman" w:hAnsi="Times New Roman"/>
                <w:sz w:val="17"/>
                <w:szCs w:val="17"/>
              </w:rPr>
              <w:t>Comp</w:t>
            </w:r>
            <w:r w:rsidR="00324C3A">
              <w:rPr>
                <w:rFonts w:ascii="Times New Roman" w:eastAsia="Times New Roman" w:hAnsi="Times New Roman"/>
                <w:sz w:val="17"/>
                <w:szCs w:val="17"/>
              </w:rPr>
              <w:t>ensation</w:t>
            </w:r>
            <w:r>
              <w:rPr>
                <w:rFonts w:ascii="Times New Roman" w:eastAsia="Times New Roman" w:hAnsi="Times New Roman"/>
                <w:sz w:val="17"/>
                <w:szCs w:val="17"/>
              </w:rPr>
              <w:t xml:space="preserve"> leverage, all executives</w:t>
            </w:r>
          </w:p>
        </w:tc>
        <w:tc>
          <w:tcPr>
            <w:tcW w:w="714"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1</w:t>
            </w:r>
            <w:r>
              <w:rPr>
                <w:rFonts w:ascii="Times New Roman" w:eastAsia="Times New Roman" w:hAnsi="Times New Roman"/>
                <w:sz w:val="17"/>
                <w:szCs w:val="17"/>
              </w:rPr>
              <w:t>,</w:t>
            </w:r>
            <w:r w:rsidRPr="008102FA">
              <w:rPr>
                <w:rFonts w:ascii="Times New Roman" w:eastAsia="Times New Roman" w:hAnsi="Times New Roman"/>
                <w:sz w:val="17"/>
                <w:szCs w:val="17"/>
              </w:rPr>
              <w:t>929</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0.207</w:t>
            </w:r>
          </w:p>
        </w:tc>
        <w:tc>
          <w:tcPr>
            <w:tcW w:w="1165"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0.182</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0.066</w:t>
            </w:r>
          </w:p>
        </w:tc>
        <w:tc>
          <w:tcPr>
            <w:tcW w:w="107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0.164</w:t>
            </w:r>
          </w:p>
        </w:tc>
        <w:tc>
          <w:tcPr>
            <w:tcW w:w="986" w:type="dxa"/>
            <w:tcBorders>
              <w:top w:val="nil"/>
              <w:left w:val="nil"/>
              <w:bottom w:val="nil"/>
              <w:right w:val="nil"/>
            </w:tcBorders>
            <w:shd w:val="clear" w:color="auto" w:fill="auto"/>
            <w:noWrap/>
            <w:tcMar>
              <w:left w:w="115" w:type="dxa"/>
              <w:right w:w="216" w:type="dxa"/>
            </w:tcMar>
            <w:vAlign w:val="center"/>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0.295</w:t>
            </w:r>
          </w:p>
        </w:tc>
      </w:tr>
      <w:tr w:rsidR="008E65D9" w:rsidRPr="000E08AE" w:rsidTr="00575A5A">
        <w:trPr>
          <w:trHeight w:val="288"/>
        </w:trPr>
        <w:tc>
          <w:tcPr>
            <w:tcW w:w="3411" w:type="dxa"/>
            <w:tcBorders>
              <w:top w:val="nil"/>
              <w:left w:val="nil"/>
              <w:bottom w:val="nil"/>
              <w:right w:val="nil"/>
            </w:tcBorders>
            <w:shd w:val="clear" w:color="auto" w:fill="auto"/>
            <w:noWrap/>
            <w:vAlign w:val="center"/>
          </w:tcPr>
          <w:p w:rsidR="008E65D9" w:rsidRPr="00273CC7" w:rsidRDefault="008E65D9" w:rsidP="00575A5A">
            <w:pPr>
              <w:spacing w:after="0" w:line="240" w:lineRule="auto"/>
              <w:rPr>
                <w:rFonts w:ascii="Times New Roman" w:eastAsia="Times New Roman" w:hAnsi="Times New Roman"/>
                <w:sz w:val="17"/>
                <w:szCs w:val="17"/>
              </w:rPr>
            </w:pPr>
            <w:r w:rsidRPr="00273CC7">
              <w:rPr>
                <w:rFonts w:ascii="Times New Roman" w:eastAsia="Times New Roman" w:hAnsi="Times New Roman"/>
                <w:sz w:val="17"/>
                <w:szCs w:val="17"/>
              </w:rPr>
              <w:t>Inside debt</w:t>
            </w:r>
            <w:r>
              <w:rPr>
                <w:rFonts w:ascii="Times New Roman" w:eastAsia="Times New Roman" w:hAnsi="Times New Roman"/>
                <w:sz w:val="17"/>
                <w:szCs w:val="17"/>
              </w:rPr>
              <w:t>, CEO (x1000)</w:t>
            </w:r>
          </w:p>
        </w:tc>
        <w:tc>
          <w:tcPr>
            <w:tcW w:w="714"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1</w:t>
            </w:r>
            <w:r>
              <w:rPr>
                <w:rFonts w:ascii="Times New Roman" w:eastAsia="Times New Roman" w:hAnsi="Times New Roman"/>
                <w:sz w:val="17"/>
                <w:szCs w:val="17"/>
              </w:rPr>
              <w:t>,</w:t>
            </w:r>
            <w:r w:rsidRPr="00273CC7">
              <w:rPr>
                <w:rFonts w:ascii="Times New Roman" w:eastAsia="Times New Roman" w:hAnsi="Times New Roman"/>
                <w:sz w:val="17"/>
                <w:szCs w:val="17"/>
              </w:rPr>
              <w:t>908</w:t>
            </w:r>
          </w:p>
        </w:tc>
        <w:tc>
          <w:tcPr>
            <w:tcW w:w="986"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0.702</w:t>
            </w:r>
          </w:p>
        </w:tc>
        <w:tc>
          <w:tcPr>
            <w:tcW w:w="1165"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1.350</w:t>
            </w:r>
          </w:p>
        </w:tc>
        <w:tc>
          <w:tcPr>
            <w:tcW w:w="986"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0.092</w:t>
            </w:r>
          </w:p>
        </w:tc>
        <w:tc>
          <w:tcPr>
            <w:tcW w:w="1076"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0.308</w:t>
            </w:r>
          </w:p>
        </w:tc>
        <w:tc>
          <w:tcPr>
            <w:tcW w:w="986" w:type="dxa"/>
            <w:tcBorders>
              <w:top w:val="nil"/>
              <w:left w:val="nil"/>
              <w:bottom w:val="nil"/>
              <w:right w:val="nil"/>
            </w:tcBorders>
            <w:shd w:val="clear" w:color="auto" w:fill="auto"/>
            <w:noWrap/>
            <w:tcMar>
              <w:left w:w="115" w:type="dxa"/>
              <w:right w:w="216" w:type="dxa"/>
            </w:tcMar>
            <w:vAlign w:val="center"/>
          </w:tcPr>
          <w:p w:rsidR="008E65D9" w:rsidRPr="000E08AE"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0.760</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273CC7" w:rsidRDefault="00CF591C"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r w:rsidR="008E65D9" w:rsidRPr="00273CC7">
              <w:rPr>
                <w:rFonts w:ascii="Times New Roman" w:eastAsia="Times New Roman" w:hAnsi="Times New Roman"/>
                <w:sz w:val="17"/>
                <w:szCs w:val="17"/>
              </w:rPr>
              <w:t xml:space="preserve">, </w:t>
            </w:r>
            <w:r w:rsidR="008E65D9">
              <w:rPr>
                <w:rFonts w:ascii="Times New Roman" w:eastAsia="Times New Roman" w:hAnsi="Times New Roman"/>
                <w:sz w:val="17"/>
                <w:szCs w:val="17"/>
              </w:rPr>
              <w:t>all executives (x1000)</w:t>
            </w:r>
          </w:p>
        </w:tc>
        <w:tc>
          <w:tcPr>
            <w:tcW w:w="714"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1</w:t>
            </w:r>
            <w:r>
              <w:rPr>
                <w:rFonts w:ascii="Times New Roman" w:eastAsia="Times New Roman" w:hAnsi="Times New Roman"/>
                <w:sz w:val="17"/>
                <w:szCs w:val="17"/>
              </w:rPr>
              <w:t>,</w:t>
            </w:r>
            <w:r w:rsidRPr="00273CC7">
              <w:rPr>
                <w:rFonts w:ascii="Times New Roman" w:eastAsia="Times New Roman" w:hAnsi="Times New Roman"/>
                <w:sz w:val="17"/>
                <w:szCs w:val="17"/>
              </w:rPr>
              <w:t>908</w:t>
            </w:r>
          </w:p>
        </w:tc>
        <w:tc>
          <w:tcPr>
            <w:tcW w:w="986"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1.468</w:t>
            </w:r>
          </w:p>
        </w:tc>
        <w:tc>
          <w:tcPr>
            <w:tcW w:w="1165"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3.182</w:t>
            </w:r>
          </w:p>
        </w:tc>
        <w:tc>
          <w:tcPr>
            <w:tcW w:w="986"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0.215</w:t>
            </w:r>
          </w:p>
        </w:tc>
        <w:tc>
          <w:tcPr>
            <w:tcW w:w="1076" w:type="dxa"/>
            <w:tcBorders>
              <w:top w:val="nil"/>
              <w:left w:val="nil"/>
              <w:bottom w:val="nil"/>
              <w:right w:val="nil"/>
            </w:tcBorders>
            <w:shd w:val="clear" w:color="auto" w:fill="auto"/>
            <w:noWrap/>
            <w:tcMar>
              <w:left w:w="115" w:type="dxa"/>
              <w:right w:w="216" w:type="dxa"/>
            </w:tcMar>
            <w:vAlign w:val="center"/>
          </w:tcPr>
          <w:p w:rsidR="008E65D9" w:rsidRPr="00273CC7"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0.689</w:t>
            </w:r>
          </w:p>
        </w:tc>
        <w:tc>
          <w:tcPr>
            <w:tcW w:w="986" w:type="dxa"/>
            <w:tcBorders>
              <w:top w:val="nil"/>
              <w:left w:val="nil"/>
              <w:bottom w:val="nil"/>
              <w:right w:val="nil"/>
            </w:tcBorders>
            <w:shd w:val="clear" w:color="auto" w:fill="auto"/>
            <w:noWrap/>
            <w:tcMar>
              <w:left w:w="115" w:type="dxa"/>
              <w:right w:w="216" w:type="dxa"/>
            </w:tcMar>
            <w:vAlign w:val="center"/>
          </w:tcPr>
          <w:p w:rsidR="008E65D9" w:rsidRPr="00925AC9" w:rsidRDefault="008E65D9" w:rsidP="00575A5A">
            <w:pPr>
              <w:spacing w:after="0" w:line="240" w:lineRule="auto"/>
              <w:jc w:val="right"/>
              <w:rPr>
                <w:rFonts w:ascii="Times New Roman" w:eastAsia="Times New Roman" w:hAnsi="Times New Roman"/>
                <w:sz w:val="17"/>
                <w:szCs w:val="17"/>
              </w:rPr>
            </w:pPr>
            <w:r w:rsidRPr="00273CC7">
              <w:rPr>
                <w:rFonts w:ascii="Times New Roman" w:eastAsia="Times New Roman" w:hAnsi="Times New Roman"/>
                <w:sz w:val="17"/>
                <w:szCs w:val="17"/>
              </w:rPr>
              <w:t>1.623</w:t>
            </w:r>
          </w:p>
        </w:tc>
      </w:tr>
      <w:tr w:rsidR="008E65D9" w:rsidRPr="00C34885" w:rsidTr="00575A5A">
        <w:trPr>
          <w:trHeight w:val="288"/>
        </w:trPr>
        <w:tc>
          <w:tcPr>
            <w:tcW w:w="3411" w:type="dxa"/>
            <w:tcBorders>
              <w:top w:val="nil"/>
              <w:left w:val="nil"/>
              <w:bottom w:val="nil"/>
              <w:right w:val="nil"/>
            </w:tcBorders>
            <w:shd w:val="clear" w:color="auto" w:fill="auto"/>
            <w:noWrap/>
            <w:vAlign w:val="center"/>
          </w:tcPr>
          <w:p w:rsidR="008E65D9" w:rsidRPr="000E08AE" w:rsidRDefault="008E65D9" w:rsidP="00575A5A">
            <w:pPr>
              <w:spacing w:after="0" w:line="240" w:lineRule="auto"/>
              <w:rPr>
                <w:rFonts w:ascii="Times New Roman" w:eastAsia="Times New Roman" w:hAnsi="Times New Roman"/>
                <w:sz w:val="17"/>
                <w:szCs w:val="17"/>
              </w:rPr>
            </w:pPr>
            <w:r w:rsidRPr="000E08AE">
              <w:rPr>
                <w:rFonts w:ascii="Times New Roman" w:eastAsia="Times New Roman" w:hAnsi="Times New Roman"/>
                <w:sz w:val="17"/>
                <w:szCs w:val="17"/>
              </w:rPr>
              <w:t xml:space="preserve">Actuarial </w:t>
            </w:r>
            <w:r>
              <w:rPr>
                <w:rFonts w:ascii="Times New Roman" w:eastAsia="Times New Roman" w:hAnsi="Times New Roman"/>
                <w:sz w:val="17"/>
                <w:szCs w:val="17"/>
              </w:rPr>
              <w:t>p</w:t>
            </w:r>
            <w:r w:rsidRPr="000E08AE">
              <w:rPr>
                <w:rFonts w:ascii="Times New Roman" w:eastAsia="Times New Roman" w:hAnsi="Times New Roman"/>
                <w:sz w:val="17"/>
                <w:szCs w:val="17"/>
              </w:rPr>
              <w:t xml:space="preserve">ension </w:t>
            </w:r>
            <w:r>
              <w:rPr>
                <w:rFonts w:ascii="Times New Roman" w:eastAsia="Times New Roman" w:hAnsi="Times New Roman"/>
                <w:sz w:val="17"/>
                <w:szCs w:val="17"/>
              </w:rPr>
              <w:t>v</w:t>
            </w:r>
            <w:r w:rsidRPr="000E08AE">
              <w:rPr>
                <w:rFonts w:ascii="Times New Roman" w:eastAsia="Times New Roman" w:hAnsi="Times New Roman"/>
                <w:sz w:val="17"/>
                <w:szCs w:val="17"/>
              </w:rPr>
              <w:t xml:space="preserve">alue </w:t>
            </w:r>
          </w:p>
        </w:tc>
        <w:tc>
          <w:tcPr>
            <w:tcW w:w="714" w:type="dxa"/>
            <w:tcBorders>
              <w:top w:val="nil"/>
              <w:left w:val="nil"/>
              <w:bottom w:val="nil"/>
              <w:right w:val="nil"/>
            </w:tcBorders>
            <w:shd w:val="clear" w:color="auto" w:fill="auto"/>
            <w:noWrap/>
            <w:tcMar>
              <w:left w:w="115" w:type="dxa"/>
              <w:right w:w="216" w:type="dxa"/>
            </w:tcMar>
            <w:vAlign w:val="center"/>
          </w:tcPr>
          <w:p w:rsidR="008E65D9" w:rsidRPr="000E08AE" w:rsidRDefault="008E65D9" w:rsidP="00575A5A">
            <w:pPr>
              <w:spacing w:after="0" w:line="240" w:lineRule="auto"/>
              <w:jc w:val="right"/>
              <w:rPr>
                <w:rFonts w:ascii="Times New Roman" w:eastAsia="Times New Roman" w:hAnsi="Times New Roman"/>
                <w:sz w:val="17"/>
                <w:szCs w:val="17"/>
              </w:rPr>
            </w:pPr>
            <w:r w:rsidRPr="000E08AE">
              <w:rPr>
                <w:rFonts w:ascii="Times New Roman" w:eastAsia="Times New Roman" w:hAnsi="Times New Roman"/>
                <w:sz w:val="17"/>
                <w:szCs w:val="17"/>
              </w:rPr>
              <w:t>8</w:t>
            </w:r>
            <w:r>
              <w:rPr>
                <w:rFonts w:ascii="Times New Roman" w:eastAsia="Times New Roman" w:hAnsi="Times New Roman"/>
                <w:sz w:val="17"/>
                <w:szCs w:val="17"/>
              </w:rPr>
              <w:t>,</w:t>
            </w:r>
            <w:r w:rsidRPr="000E08AE">
              <w:rPr>
                <w:rFonts w:ascii="Times New Roman" w:eastAsia="Times New Roman" w:hAnsi="Times New Roman"/>
                <w:sz w:val="17"/>
                <w:szCs w:val="17"/>
              </w:rPr>
              <w:t>399</w:t>
            </w:r>
          </w:p>
        </w:tc>
        <w:tc>
          <w:tcPr>
            <w:tcW w:w="986" w:type="dxa"/>
            <w:tcBorders>
              <w:top w:val="nil"/>
              <w:left w:val="nil"/>
              <w:bottom w:val="nil"/>
              <w:right w:val="nil"/>
            </w:tcBorders>
            <w:shd w:val="clear" w:color="auto" w:fill="auto"/>
            <w:noWrap/>
            <w:tcMar>
              <w:left w:w="115" w:type="dxa"/>
              <w:right w:w="216" w:type="dxa"/>
            </w:tcMar>
            <w:vAlign w:val="center"/>
          </w:tcPr>
          <w:p w:rsidR="008E65D9" w:rsidRPr="000E08AE" w:rsidRDefault="008E65D9" w:rsidP="00575A5A">
            <w:pPr>
              <w:spacing w:after="0" w:line="240" w:lineRule="auto"/>
              <w:jc w:val="right"/>
              <w:rPr>
                <w:rFonts w:ascii="Times New Roman" w:eastAsia="Times New Roman" w:hAnsi="Times New Roman"/>
                <w:sz w:val="17"/>
                <w:szCs w:val="17"/>
              </w:rPr>
            </w:pPr>
            <w:r w:rsidRPr="000E08AE">
              <w:rPr>
                <w:rFonts w:ascii="Times New Roman" w:eastAsia="Times New Roman" w:hAnsi="Times New Roman"/>
                <w:sz w:val="17"/>
                <w:szCs w:val="17"/>
              </w:rPr>
              <w:t>3</w:t>
            </w:r>
            <w:r>
              <w:rPr>
                <w:rFonts w:ascii="Times New Roman" w:eastAsia="Times New Roman" w:hAnsi="Times New Roman"/>
                <w:sz w:val="17"/>
                <w:szCs w:val="17"/>
              </w:rPr>
              <w:t>.712</w:t>
            </w:r>
          </w:p>
        </w:tc>
        <w:tc>
          <w:tcPr>
            <w:tcW w:w="1165" w:type="dxa"/>
            <w:tcBorders>
              <w:top w:val="nil"/>
              <w:left w:val="nil"/>
              <w:bottom w:val="nil"/>
              <w:right w:val="nil"/>
            </w:tcBorders>
            <w:shd w:val="clear" w:color="auto" w:fill="auto"/>
            <w:noWrap/>
            <w:tcMar>
              <w:left w:w="115" w:type="dxa"/>
              <w:right w:w="216" w:type="dxa"/>
            </w:tcMar>
            <w:vAlign w:val="center"/>
          </w:tcPr>
          <w:p w:rsidR="008E65D9" w:rsidRPr="000E08AE"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5.949</w:t>
            </w:r>
          </w:p>
        </w:tc>
        <w:tc>
          <w:tcPr>
            <w:tcW w:w="986" w:type="dxa"/>
            <w:tcBorders>
              <w:top w:val="nil"/>
              <w:left w:val="nil"/>
              <w:bottom w:val="nil"/>
              <w:right w:val="nil"/>
            </w:tcBorders>
            <w:shd w:val="clear" w:color="auto" w:fill="auto"/>
            <w:noWrap/>
            <w:tcMar>
              <w:left w:w="115" w:type="dxa"/>
              <w:right w:w="216" w:type="dxa"/>
            </w:tcMar>
            <w:vAlign w:val="center"/>
          </w:tcPr>
          <w:p w:rsidR="008E65D9" w:rsidRPr="000E08AE"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0.720</w:t>
            </w:r>
          </w:p>
        </w:tc>
        <w:tc>
          <w:tcPr>
            <w:tcW w:w="1076" w:type="dxa"/>
            <w:tcBorders>
              <w:top w:val="nil"/>
              <w:left w:val="nil"/>
              <w:bottom w:val="nil"/>
              <w:right w:val="nil"/>
            </w:tcBorders>
            <w:shd w:val="clear" w:color="auto" w:fill="auto"/>
            <w:noWrap/>
            <w:tcMar>
              <w:left w:w="115" w:type="dxa"/>
              <w:right w:w="216" w:type="dxa"/>
            </w:tcMar>
            <w:vAlign w:val="center"/>
          </w:tcPr>
          <w:p w:rsidR="008E65D9" w:rsidRPr="000E08AE"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1.817</w:t>
            </w:r>
          </w:p>
        </w:tc>
        <w:tc>
          <w:tcPr>
            <w:tcW w:w="986" w:type="dxa"/>
            <w:tcBorders>
              <w:top w:val="nil"/>
              <w:left w:val="nil"/>
              <w:bottom w:val="nil"/>
              <w:right w:val="nil"/>
            </w:tcBorders>
            <w:shd w:val="clear" w:color="auto" w:fill="auto"/>
            <w:noWrap/>
            <w:tcMar>
              <w:left w:w="115" w:type="dxa"/>
              <w:right w:w="216" w:type="dxa"/>
            </w:tcMar>
            <w:vAlign w:val="center"/>
          </w:tcPr>
          <w:p w:rsidR="008E65D9" w:rsidRPr="000E08AE" w:rsidRDefault="008E65D9" w:rsidP="00575A5A">
            <w:pPr>
              <w:spacing w:after="0" w:line="240" w:lineRule="auto"/>
              <w:jc w:val="right"/>
              <w:rPr>
                <w:rFonts w:ascii="Times New Roman" w:eastAsia="Times New Roman" w:hAnsi="Times New Roman"/>
                <w:sz w:val="17"/>
                <w:szCs w:val="17"/>
              </w:rPr>
            </w:pPr>
            <w:r>
              <w:rPr>
                <w:rFonts w:ascii="Times New Roman" w:eastAsia="Times New Roman" w:hAnsi="Times New Roman"/>
                <w:sz w:val="17"/>
                <w:szCs w:val="17"/>
              </w:rPr>
              <w:t>4.139</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sidRPr="008102FA">
              <w:rPr>
                <w:rFonts w:ascii="Times New Roman" w:eastAsia="Times New Roman" w:hAnsi="Times New Roman"/>
                <w:sz w:val="17"/>
                <w:szCs w:val="17"/>
              </w:rPr>
              <w:t xml:space="preserve">Salary and </w:t>
            </w:r>
            <w:r>
              <w:rPr>
                <w:rFonts w:ascii="Times New Roman" w:eastAsia="Times New Roman" w:hAnsi="Times New Roman"/>
                <w:sz w:val="17"/>
                <w:szCs w:val="17"/>
              </w:rPr>
              <w:t>b</w:t>
            </w:r>
            <w:r w:rsidR="00CF591C">
              <w:rPr>
                <w:rFonts w:ascii="Times New Roman" w:eastAsia="Times New Roman" w:hAnsi="Times New Roman"/>
                <w:sz w:val="17"/>
                <w:szCs w:val="17"/>
              </w:rPr>
              <w:t>onus</w:t>
            </w:r>
            <w:r w:rsidRPr="008102FA">
              <w:rPr>
                <w:rFonts w:ascii="Times New Roman" w:eastAsia="Times New Roman" w:hAnsi="Times New Roman"/>
                <w:sz w:val="17"/>
                <w:szCs w:val="17"/>
              </w:rPr>
              <w:t>/</w:t>
            </w:r>
            <w:r>
              <w:rPr>
                <w:rFonts w:ascii="Times New Roman" w:eastAsia="Times New Roman" w:hAnsi="Times New Roman"/>
                <w:sz w:val="17"/>
                <w:szCs w:val="17"/>
              </w:rPr>
              <w:t>a</w:t>
            </w:r>
            <w:r w:rsidRPr="008102FA">
              <w:rPr>
                <w:rFonts w:ascii="Times New Roman" w:eastAsia="Times New Roman" w:hAnsi="Times New Roman"/>
                <w:sz w:val="17"/>
                <w:szCs w:val="17"/>
              </w:rPr>
              <w:t>sset</w:t>
            </w:r>
            <w:r>
              <w:rPr>
                <w:rFonts w:ascii="Times New Roman" w:eastAsia="Times New Roman" w:hAnsi="Times New Roman"/>
                <w:sz w:val="17"/>
                <w:szCs w:val="17"/>
              </w:rPr>
              <w:t>s</w:t>
            </w:r>
            <w:r w:rsidRPr="008102FA">
              <w:rPr>
                <w:rFonts w:ascii="Times New Roman" w:eastAsia="Times New Roman" w:hAnsi="Times New Roman"/>
                <w:sz w:val="17"/>
                <w:szCs w:val="17"/>
              </w:rPr>
              <w:t xml:space="preserve"> </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8</w:t>
            </w:r>
            <w:r>
              <w:rPr>
                <w:rFonts w:ascii="Times New Roman" w:eastAsia="Times New Roman" w:hAnsi="Times New Roman"/>
                <w:sz w:val="17"/>
                <w:szCs w:val="17"/>
              </w:rPr>
              <w:t>,</w:t>
            </w:r>
            <w:r w:rsidRPr="008102FA">
              <w:rPr>
                <w:rFonts w:ascii="Times New Roman" w:eastAsia="Times New Roman" w:hAnsi="Times New Roman"/>
                <w:sz w:val="17"/>
                <w:szCs w:val="17"/>
              </w:rPr>
              <w:t>708</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0.926</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2.726</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0.064</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0.232</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0.691</w:t>
            </w:r>
          </w:p>
        </w:tc>
      </w:tr>
      <w:tr w:rsidR="008E65D9" w:rsidRPr="00C34885" w:rsidTr="00575A5A">
        <w:trPr>
          <w:trHeight w:val="288"/>
        </w:trPr>
        <w:tc>
          <w:tcPr>
            <w:tcW w:w="3411" w:type="dxa"/>
            <w:tcBorders>
              <w:top w:val="nil"/>
              <w:left w:val="nil"/>
              <w:bottom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Stock-o</w:t>
            </w:r>
            <w:r w:rsidRPr="008102FA">
              <w:rPr>
                <w:rFonts w:ascii="Times New Roman" w:eastAsia="Times New Roman" w:hAnsi="Times New Roman"/>
                <w:sz w:val="17"/>
                <w:szCs w:val="17"/>
              </w:rPr>
              <w:t xml:space="preserve">ption </w:t>
            </w:r>
            <w:r>
              <w:rPr>
                <w:rFonts w:ascii="Times New Roman" w:eastAsia="Times New Roman" w:hAnsi="Times New Roman"/>
                <w:sz w:val="17"/>
                <w:szCs w:val="17"/>
              </w:rPr>
              <w:t>v</w:t>
            </w:r>
            <w:r w:rsidR="00CF591C">
              <w:rPr>
                <w:rFonts w:ascii="Times New Roman" w:eastAsia="Times New Roman" w:hAnsi="Times New Roman"/>
                <w:sz w:val="17"/>
                <w:szCs w:val="17"/>
              </w:rPr>
              <w:t>alue</w:t>
            </w:r>
            <w:r w:rsidRPr="008102FA">
              <w:rPr>
                <w:rFonts w:ascii="Times New Roman" w:eastAsia="Times New Roman" w:hAnsi="Times New Roman"/>
                <w:sz w:val="17"/>
                <w:szCs w:val="17"/>
              </w:rPr>
              <w:t>/</w:t>
            </w:r>
            <w:r>
              <w:rPr>
                <w:rFonts w:ascii="Times New Roman" w:eastAsia="Times New Roman" w:hAnsi="Times New Roman"/>
                <w:sz w:val="17"/>
                <w:szCs w:val="17"/>
              </w:rPr>
              <w:t>a</w:t>
            </w:r>
            <w:r w:rsidRPr="008102FA">
              <w:rPr>
                <w:rFonts w:ascii="Times New Roman" w:eastAsia="Times New Roman" w:hAnsi="Times New Roman"/>
                <w:sz w:val="17"/>
                <w:szCs w:val="17"/>
              </w:rPr>
              <w:t>sset</w:t>
            </w:r>
            <w:r>
              <w:rPr>
                <w:rFonts w:ascii="Times New Roman" w:eastAsia="Times New Roman" w:hAnsi="Times New Roman"/>
                <w:sz w:val="17"/>
                <w:szCs w:val="17"/>
              </w:rPr>
              <w:t>s</w:t>
            </w:r>
          </w:p>
        </w:tc>
        <w:tc>
          <w:tcPr>
            <w:tcW w:w="714"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8</w:t>
            </w:r>
            <w:r>
              <w:rPr>
                <w:rFonts w:ascii="Times New Roman" w:eastAsia="Times New Roman" w:hAnsi="Times New Roman"/>
                <w:sz w:val="17"/>
                <w:szCs w:val="17"/>
              </w:rPr>
              <w:t>,</w:t>
            </w:r>
            <w:r w:rsidRPr="008102FA">
              <w:rPr>
                <w:rFonts w:ascii="Times New Roman" w:eastAsia="Times New Roman" w:hAnsi="Times New Roman"/>
                <w:sz w:val="17"/>
                <w:szCs w:val="17"/>
              </w:rPr>
              <w:t>708</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0.342</w:t>
            </w:r>
          </w:p>
        </w:tc>
        <w:tc>
          <w:tcPr>
            <w:tcW w:w="1165"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1.007</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0.017</w:t>
            </w:r>
          </w:p>
        </w:tc>
        <w:tc>
          <w:tcPr>
            <w:tcW w:w="107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0.079</w:t>
            </w:r>
          </w:p>
        </w:tc>
        <w:tc>
          <w:tcPr>
            <w:tcW w:w="986" w:type="dxa"/>
            <w:tcBorders>
              <w:top w:val="nil"/>
              <w:left w:val="nil"/>
              <w:bottom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0.301</w:t>
            </w:r>
          </w:p>
        </w:tc>
      </w:tr>
      <w:tr w:rsidR="008E65D9" w:rsidRPr="00C34885" w:rsidTr="00575A5A">
        <w:trPr>
          <w:trHeight w:val="288"/>
        </w:trPr>
        <w:tc>
          <w:tcPr>
            <w:tcW w:w="3411" w:type="dxa"/>
            <w:tcBorders>
              <w:top w:val="nil"/>
              <w:left w:val="nil"/>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b/>
                <w:sz w:val="17"/>
                <w:szCs w:val="17"/>
              </w:rPr>
            </w:pPr>
            <w:r w:rsidRPr="008102FA">
              <w:rPr>
                <w:rFonts w:ascii="Times New Roman" w:eastAsia="Times New Roman" w:hAnsi="Times New Roman"/>
                <w:sz w:val="17"/>
                <w:szCs w:val="17"/>
              </w:rPr>
              <w:t xml:space="preserve">Executive </w:t>
            </w:r>
            <w:r>
              <w:rPr>
                <w:rFonts w:ascii="Times New Roman" w:eastAsia="Times New Roman" w:hAnsi="Times New Roman"/>
                <w:sz w:val="17"/>
                <w:szCs w:val="17"/>
              </w:rPr>
              <w:t>a</w:t>
            </w:r>
            <w:r w:rsidRPr="008102FA">
              <w:rPr>
                <w:rFonts w:ascii="Times New Roman" w:eastAsia="Times New Roman" w:hAnsi="Times New Roman"/>
                <w:sz w:val="17"/>
                <w:szCs w:val="17"/>
              </w:rPr>
              <w:t xml:space="preserve">ge </w:t>
            </w:r>
            <w:r w:rsidRPr="008102FA">
              <w:rPr>
                <w:rFonts w:ascii="Times New Roman" w:eastAsia="Times New Roman" w:hAnsi="Times New Roman"/>
                <w:b/>
                <w:sz w:val="17"/>
                <w:szCs w:val="17"/>
              </w:rPr>
              <w:t>(</w:t>
            </w:r>
            <w:r>
              <w:rPr>
                <w:rFonts w:ascii="Times New Roman" w:eastAsia="Times New Roman" w:hAnsi="Times New Roman"/>
                <w:sz w:val="17"/>
                <w:szCs w:val="17"/>
              </w:rPr>
              <w:t>i</w:t>
            </w:r>
            <w:r w:rsidRPr="004B42F3">
              <w:rPr>
                <w:rFonts w:ascii="Times New Roman" w:eastAsia="Times New Roman" w:hAnsi="Times New Roman"/>
                <w:sz w:val="17"/>
                <w:szCs w:val="17"/>
              </w:rPr>
              <w:t xml:space="preserve">nstrumental </w:t>
            </w:r>
            <w:r>
              <w:rPr>
                <w:rFonts w:ascii="Times New Roman" w:eastAsia="Times New Roman" w:hAnsi="Times New Roman"/>
                <w:sz w:val="17"/>
                <w:szCs w:val="17"/>
              </w:rPr>
              <w:t>v</w:t>
            </w:r>
            <w:r w:rsidRPr="004B42F3">
              <w:rPr>
                <w:rFonts w:ascii="Times New Roman" w:eastAsia="Times New Roman" w:hAnsi="Times New Roman"/>
                <w:sz w:val="17"/>
                <w:szCs w:val="17"/>
              </w:rPr>
              <w:t>ariable</w:t>
            </w:r>
            <w:r w:rsidRPr="008102FA">
              <w:rPr>
                <w:rFonts w:ascii="Times New Roman" w:eastAsia="Times New Roman" w:hAnsi="Times New Roman"/>
                <w:b/>
                <w:sz w:val="17"/>
                <w:szCs w:val="17"/>
              </w:rPr>
              <w:t>)</w:t>
            </w:r>
          </w:p>
        </w:tc>
        <w:tc>
          <w:tcPr>
            <w:tcW w:w="714" w:type="dxa"/>
            <w:tcBorders>
              <w:top w:val="nil"/>
              <w:left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6</w:t>
            </w:r>
            <w:r>
              <w:rPr>
                <w:rFonts w:ascii="Times New Roman" w:eastAsia="Times New Roman" w:hAnsi="Times New Roman"/>
                <w:sz w:val="17"/>
                <w:szCs w:val="17"/>
              </w:rPr>
              <w:t>,</w:t>
            </w:r>
            <w:r w:rsidRPr="008102FA">
              <w:rPr>
                <w:rFonts w:ascii="Times New Roman" w:eastAsia="Times New Roman" w:hAnsi="Times New Roman"/>
                <w:sz w:val="17"/>
                <w:szCs w:val="17"/>
              </w:rPr>
              <w:t>667</w:t>
            </w:r>
          </w:p>
        </w:tc>
        <w:tc>
          <w:tcPr>
            <w:tcW w:w="986" w:type="dxa"/>
            <w:tcBorders>
              <w:top w:val="nil"/>
              <w:left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53.814</w:t>
            </w:r>
          </w:p>
        </w:tc>
        <w:tc>
          <w:tcPr>
            <w:tcW w:w="1165" w:type="dxa"/>
            <w:tcBorders>
              <w:top w:val="nil"/>
              <w:left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6.022</w:t>
            </w:r>
          </w:p>
        </w:tc>
        <w:tc>
          <w:tcPr>
            <w:tcW w:w="986" w:type="dxa"/>
            <w:tcBorders>
              <w:top w:val="nil"/>
              <w:left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50.000</w:t>
            </w:r>
          </w:p>
        </w:tc>
        <w:tc>
          <w:tcPr>
            <w:tcW w:w="1076" w:type="dxa"/>
            <w:tcBorders>
              <w:top w:val="nil"/>
              <w:left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54.000</w:t>
            </w:r>
          </w:p>
        </w:tc>
        <w:tc>
          <w:tcPr>
            <w:tcW w:w="986" w:type="dxa"/>
            <w:tcBorders>
              <w:top w:val="nil"/>
              <w:left w:val="nil"/>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58.000</w:t>
            </w:r>
          </w:p>
        </w:tc>
      </w:tr>
      <w:tr w:rsidR="008E65D9" w:rsidRPr="00C34885" w:rsidTr="00575A5A">
        <w:trPr>
          <w:trHeight w:val="288"/>
        </w:trPr>
        <w:tc>
          <w:tcPr>
            <w:tcW w:w="3411" w:type="dxa"/>
            <w:tcBorders>
              <w:top w:val="nil"/>
              <w:left w:val="nil"/>
              <w:bottom w:val="single" w:sz="4" w:space="0" w:color="auto"/>
              <w:right w:val="nil"/>
            </w:tcBorders>
            <w:shd w:val="clear" w:color="auto" w:fill="auto"/>
            <w:noWrap/>
            <w:vAlign w:val="center"/>
            <w:hideMark/>
          </w:tcPr>
          <w:p w:rsidR="008E65D9" w:rsidRPr="008102FA" w:rsidRDefault="008E65D9" w:rsidP="00575A5A">
            <w:pPr>
              <w:spacing w:after="0" w:line="240" w:lineRule="auto"/>
              <w:rPr>
                <w:rFonts w:ascii="Times New Roman" w:eastAsia="Times New Roman" w:hAnsi="Times New Roman"/>
                <w:b/>
                <w:sz w:val="17"/>
                <w:szCs w:val="17"/>
              </w:rPr>
            </w:pPr>
            <w:r w:rsidRPr="008102FA">
              <w:rPr>
                <w:rFonts w:ascii="Times New Roman" w:eastAsia="Times New Roman" w:hAnsi="Times New Roman"/>
                <w:sz w:val="17"/>
                <w:szCs w:val="17"/>
              </w:rPr>
              <w:t>M (</w:t>
            </w:r>
            <w:r>
              <w:rPr>
                <w:rFonts w:ascii="Times New Roman" w:eastAsia="Times New Roman" w:hAnsi="Times New Roman"/>
                <w:sz w:val="17"/>
                <w:szCs w:val="17"/>
              </w:rPr>
              <w:t>i</w:t>
            </w:r>
            <w:r w:rsidRPr="004B42F3">
              <w:rPr>
                <w:rFonts w:ascii="Times New Roman" w:eastAsia="Times New Roman" w:hAnsi="Times New Roman"/>
                <w:sz w:val="17"/>
                <w:szCs w:val="17"/>
              </w:rPr>
              <w:t xml:space="preserve">nstrumental </w:t>
            </w:r>
            <w:r>
              <w:rPr>
                <w:rFonts w:ascii="Times New Roman" w:eastAsia="Times New Roman" w:hAnsi="Times New Roman"/>
                <w:sz w:val="17"/>
                <w:szCs w:val="17"/>
              </w:rPr>
              <w:t>v</w:t>
            </w:r>
            <w:r w:rsidRPr="004B42F3">
              <w:rPr>
                <w:rFonts w:ascii="Times New Roman" w:eastAsia="Times New Roman" w:hAnsi="Times New Roman"/>
                <w:sz w:val="17"/>
                <w:szCs w:val="17"/>
              </w:rPr>
              <w:t>ariable</w:t>
            </w:r>
            <w:r w:rsidRPr="008102FA">
              <w:rPr>
                <w:rFonts w:ascii="Times New Roman" w:eastAsia="Times New Roman" w:hAnsi="Times New Roman"/>
                <w:b/>
                <w:sz w:val="17"/>
                <w:szCs w:val="17"/>
              </w:rPr>
              <w:t>)</w:t>
            </w:r>
          </w:p>
        </w:tc>
        <w:tc>
          <w:tcPr>
            <w:tcW w:w="714" w:type="dxa"/>
            <w:tcBorders>
              <w:top w:val="nil"/>
              <w:left w:val="nil"/>
              <w:bottom w:val="single" w:sz="4" w:space="0" w:color="auto"/>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6</w:t>
            </w:r>
            <w:r>
              <w:rPr>
                <w:rFonts w:ascii="Times New Roman" w:eastAsia="Times New Roman" w:hAnsi="Times New Roman"/>
                <w:sz w:val="17"/>
                <w:szCs w:val="17"/>
              </w:rPr>
              <w:t>,</w:t>
            </w:r>
            <w:r w:rsidRPr="008102FA">
              <w:rPr>
                <w:rFonts w:ascii="Times New Roman" w:eastAsia="Times New Roman" w:hAnsi="Times New Roman"/>
                <w:sz w:val="17"/>
                <w:szCs w:val="17"/>
              </w:rPr>
              <w:t>311</w:t>
            </w:r>
          </w:p>
        </w:tc>
        <w:tc>
          <w:tcPr>
            <w:tcW w:w="986" w:type="dxa"/>
            <w:tcBorders>
              <w:top w:val="nil"/>
              <w:left w:val="nil"/>
              <w:bottom w:val="single" w:sz="4" w:space="0" w:color="auto"/>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0.023</w:t>
            </w:r>
          </w:p>
        </w:tc>
        <w:tc>
          <w:tcPr>
            <w:tcW w:w="1165" w:type="dxa"/>
            <w:tcBorders>
              <w:top w:val="nil"/>
              <w:left w:val="nil"/>
              <w:bottom w:val="single" w:sz="4" w:space="0" w:color="auto"/>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0.039</w:t>
            </w:r>
          </w:p>
        </w:tc>
        <w:tc>
          <w:tcPr>
            <w:tcW w:w="986" w:type="dxa"/>
            <w:tcBorders>
              <w:top w:val="nil"/>
              <w:left w:val="nil"/>
              <w:bottom w:val="single" w:sz="4" w:space="0" w:color="auto"/>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0.015</w:t>
            </w:r>
          </w:p>
        </w:tc>
        <w:tc>
          <w:tcPr>
            <w:tcW w:w="1076" w:type="dxa"/>
            <w:tcBorders>
              <w:top w:val="nil"/>
              <w:left w:val="nil"/>
              <w:bottom w:val="single" w:sz="4" w:space="0" w:color="auto"/>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0.017</w:t>
            </w:r>
          </w:p>
        </w:tc>
        <w:tc>
          <w:tcPr>
            <w:tcW w:w="986" w:type="dxa"/>
            <w:tcBorders>
              <w:top w:val="nil"/>
              <w:left w:val="nil"/>
              <w:bottom w:val="single" w:sz="4" w:space="0" w:color="auto"/>
              <w:right w:val="nil"/>
            </w:tcBorders>
            <w:shd w:val="clear" w:color="auto" w:fill="auto"/>
            <w:noWrap/>
            <w:tcMar>
              <w:left w:w="115" w:type="dxa"/>
              <w:right w:w="216" w:type="dxa"/>
            </w:tcMar>
            <w:vAlign w:val="center"/>
            <w:hideMark/>
          </w:tcPr>
          <w:p w:rsidR="008E65D9" w:rsidRPr="008102FA" w:rsidRDefault="008E65D9" w:rsidP="00575A5A">
            <w:pPr>
              <w:spacing w:after="0" w:line="240" w:lineRule="auto"/>
              <w:jc w:val="right"/>
              <w:rPr>
                <w:rFonts w:ascii="Times New Roman" w:eastAsia="Times New Roman" w:hAnsi="Times New Roman"/>
                <w:sz w:val="17"/>
                <w:szCs w:val="17"/>
              </w:rPr>
            </w:pPr>
            <w:r w:rsidRPr="008102FA">
              <w:rPr>
                <w:rFonts w:ascii="Times New Roman" w:eastAsia="Times New Roman" w:hAnsi="Times New Roman"/>
                <w:sz w:val="17"/>
                <w:szCs w:val="17"/>
              </w:rPr>
              <w:t>0.020</w:t>
            </w:r>
          </w:p>
        </w:tc>
      </w:tr>
    </w:tbl>
    <w:p w:rsidR="00ED2E20" w:rsidRDefault="00ED2E20" w:rsidP="00FC3B15">
      <w:pPr>
        <w:spacing w:after="0" w:line="240" w:lineRule="auto"/>
        <w:rPr>
          <w:rFonts w:ascii="Times New Roman" w:eastAsia="Times New Roman" w:hAnsi="Times New Roman"/>
          <w:b/>
          <w:bCs/>
          <w:sz w:val="24"/>
          <w:szCs w:val="24"/>
        </w:rPr>
      </w:pPr>
    </w:p>
    <w:p w:rsidR="004942E7" w:rsidRDefault="004942E7" w:rsidP="00FC3B15">
      <w:pPr>
        <w:spacing w:after="0" w:line="240" w:lineRule="auto"/>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2: Dividend and pension by industry</w:t>
      </w:r>
    </w:p>
    <w:p w:rsidR="004942E7" w:rsidRPr="002E534F" w:rsidRDefault="004942E7" w:rsidP="004942E7">
      <w:pPr>
        <w:spacing w:after="0" w:line="240" w:lineRule="auto"/>
        <w:rPr>
          <w:rFonts w:ascii="Times New Roman" w:eastAsia="Times New Roman" w:hAnsi="Times New Roman"/>
          <w:bCs/>
          <w:sz w:val="18"/>
          <w:szCs w:val="18"/>
        </w:rPr>
      </w:pPr>
      <w:r>
        <w:rPr>
          <w:rFonts w:ascii="Times New Roman" w:eastAsia="Times New Roman" w:hAnsi="Times New Roman"/>
          <w:bCs/>
          <w:sz w:val="18"/>
          <w:szCs w:val="18"/>
        </w:rPr>
        <w:t>The table reports the averages of dividend yield, dividend payout ratio, compensation leverage, and inside debt, by t</w:t>
      </w:r>
      <w:r w:rsidRPr="007736B5">
        <w:rPr>
          <w:rFonts w:ascii="Times New Roman" w:eastAsia="Times New Roman" w:hAnsi="Times New Roman"/>
          <w:bCs/>
          <w:sz w:val="18"/>
          <w:szCs w:val="18"/>
        </w:rPr>
        <w:t>wo digit SIC</w:t>
      </w:r>
      <w:r>
        <w:rPr>
          <w:rFonts w:ascii="Times New Roman" w:eastAsia="Times New Roman" w:hAnsi="Times New Roman"/>
          <w:bCs/>
          <w:sz w:val="18"/>
          <w:szCs w:val="18"/>
        </w:rPr>
        <w:t xml:space="preserve"> industry</w:t>
      </w:r>
      <w:r w:rsidRPr="007736B5">
        <w:rPr>
          <w:rFonts w:ascii="Times New Roman" w:eastAsia="Times New Roman" w:hAnsi="Times New Roman"/>
          <w:bCs/>
          <w:sz w:val="18"/>
          <w:szCs w:val="18"/>
        </w:rPr>
        <w:t xml:space="preserve"> codes</w:t>
      </w:r>
      <w:r>
        <w:rPr>
          <w:rFonts w:ascii="Times New Roman" w:eastAsia="Times New Roman" w:hAnsi="Times New Roman"/>
          <w:bCs/>
          <w:sz w:val="18"/>
          <w:szCs w:val="18"/>
        </w:rPr>
        <w:t>.</w:t>
      </w:r>
      <w:r w:rsidRPr="007736B5">
        <w:rPr>
          <w:rFonts w:ascii="Times New Roman" w:eastAsia="Times New Roman" w:hAnsi="Times New Roman"/>
          <w:bCs/>
          <w:sz w:val="18"/>
          <w:szCs w:val="18"/>
        </w:rPr>
        <w:t xml:space="preserve"> </w:t>
      </w:r>
    </w:p>
    <w:tbl>
      <w:tblPr>
        <w:tblpPr w:leftFromText="180" w:rightFromText="180" w:vertAnchor="text" w:horzAnchor="margin" w:tblpXSpec="center" w:tblpY="185"/>
        <w:tblW w:w="9577" w:type="dxa"/>
        <w:tblBorders>
          <w:top w:val="single" w:sz="4" w:space="0" w:color="auto"/>
          <w:bottom w:val="single" w:sz="4" w:space="0" w:color="auto"/>
        </w:tblBorders>
        <w:tblLook w:val="04A0" w:firstRow="1" w:lastRow="0" w:firstColumn="1" w:lastColumn="0" w:noHBand="0" w:noVBand="1"/>
      </w:tblPr>
      <w:tblGrid>
        <w:gridCol w:w="2465"/>
        <w:gridCol w:w="736"/>
        <w:gridCol w:w="564"/>
        <w:gridCol w:w="998"/>
        <w:gridCol w:w="952"/>
        <w:gridCol w:w="1027"/>
        <w:gridCol w:w="713"/>
        <w:gridCol w:w="715"/>
        <w:gridCol w:w="700"/>
        <w:gridCol w:w="12"/>
        <w:gridCol w:w="695"/>
      </w:tblGrid>
      <w:tr w:rsidR="004942E7" w:rsidRPr="00C34885" w:rsidTr="001F5956">
        <w:trPr>
          <w:trHeight w:val="255"/>
        </w:trPr>
        <w:tc>
          <w:tcPr>
            <w:tcW w:w="2464" w:type="dxa"/>
            <w:vMerge w:val="restart"/>
            <w:tcBorders>
              <w:top w:val="single" w:sz="4" w:space="0" w:color="auto"/>
              <w:bottom w:val="nil"/>
            </w:tcBorders>
            <w:shd w:val="clear" w:color="auto" w:fill="auto"/>
            <w:noWrap/>
            <w:vAlign w:val="bottom"/>
            <w:hideMark/>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Industry</w:t>
            </w:r>
          </w:p>
        </w:tc>
        <w:tc>
          <w:tcPr>
            <w:tcW w:w="720" w:type="dxa"/>
            <w:vMerge w:val="restart"/>
            <w:tcBorders>
              <w:top w:val="single" w:sz="4" w:space="0" w:color="auto"/>
              <w:bottom w:val="nil"/>
            </w:tcBorders>
            <w:shd w:val="clear" w:color="auto" w:fill="auto"/>
            <w:noWrap/>
            <w:tcMar>
              <w:left w:w="0" w:type="dxa"/>
              <w:right w:w="0" w:type="dxa"/>
            </w:tcMar>
            <w:vAlign w:val="bottom"/>
            <w:hideMark/>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SIC</w:t>
            </w:r>
          </w:p>
        </w:tc>
        <w:tc>
          <w:tcPr>
            <w:tcW w:w="548" w:type="dxa"/>
            <w:vMerge w:val="restart"/>
            <w:tcBorders>
              <w:top w:val="single" w:sz="4" w:space="0" w:color="auto"/>
              <w:bottom w:val="nil"/>
            </w:tcBorders>
            <w:shd w:val="clear" w:color="auto" w:fill="auto"/>
            <w:noWrap/>
            <w:tcMar>
              <w:left w:w="0" w:type="dxa"/>
              <w:right w:w="0" w:type="dxa"/>
            </w:tcMar>
            <w:vAlign w:val="bottom"/>
            <w:hideMark/>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N</w:t>
            </w:r>
          </w:p>
        </w:tc>
        <w:tc>
          <w:tcPr>
            <w:tcW w:w="982" w:type="dxa"/>
            <w:vMerge w:val="restart"/>
            <w:tcBorders>
              <w:top w:val="single" w:sz="4" w:space="0" w:color="auto"/>
              <w:bottom w:val="nil"/>
            </w:tcBorders>
            <w:shd w:val="clear" w:color="auto" w:fill="auto"/>
            <w:noWrap/>
            <w:tcMar>
              <w:left w:w="0" w:type="dxa"/>
              <w:right w:w="0" w:type="dxa"/>
            </w:tcMar>
            <w:vAlign w:val="bottom"/>
            <w:hideMark/>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 of Total</w:t>
            </w:r>
          </w:p>
        </w:tc>
        <w:tc>
          <w:tcPr>
            <w:tcW w:w="973" w:type="dxa"/>
            <w:vMerge w:val="restart"/>
            <w:tcBorders>
              <w:top w:val="single" w:sz="4" w:space="0" w:color="auto"/>
              <w:bottom w:val="nil"/>
            </w:tcBorders>
            <w:tcMar>
              <w:left w:w="0" w:type="dxa"/>
              <w:right w:w="0" w:type="dxa"/>
            </w:tcMar>
          </w:tcPr>
          <w:p w:rsidR="004942E7" w:rsidRPr="001F5956" w:rsidRDefault="004942E7" w:rsidP="00482839">
            <w:pPr>
              <w:spacing w:after="0" w:line="240" w:lineRule="auto"/>
              <w:jc w:val="center"/>
              <w:rPr>
                <w:rFonts w:ascii="Times New Roman" w:eastAsia="Times New Roman" w:hAnsi="Times New Roman"/>
                <w:bCs/>
                <w:sz w:val="20"/>
                <w:szCs w:val="20"/>
              </w:rPr>
            </w:pPr>
          </w:p>
          <w:p w:rsidR="003029D8" w:rsidRPr="001F5956" w:rsidRDefault="003029D8" w:rsidP="00482839">
            <w:pPr>
              <w:spacing w:after="0" w:line="240" w:lineRule="auto"/>
              <w:jc w:val="center"/>
              <w:rPr>
                <w:rFonts w:ascii="Times New Roman" w:eastAsia="Times New Roman" w:hAnsi="Times New Roman"/>
                <w:bCs/>
                <w:sz w:val="20"/>
                <w:szCs w:val="20"/>
              </w:rPr>
            </w:pPr>
          </w:p>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Dividend yield</w:t>
            </w:r>
          </w:p>
        </w:tc>
        <w:tc>
          <w:tcPr>
            <w:tcW w:w="1011" w:type="dxa"/>
            <w:vMerge w:val="restart"/>
            <w:tcBorders>
              <w:top w:val="single" w:sz="4" w:space="0" w:color="auto"/>
              <w:bottom w:val="nil"/>
            </w:tcBorders>
            <w:shd w:val="clear" w:color="auto" w:fill="auto"/>
            <w:noWrap/>
            <w:tcMar>
              <w:left w:w="0" w:type="dxa"/>
              <w:right w:w="0" w:type="dxa"/>
            </w:tcMar>
            <w:vAlign w:val="bottom"/>
            <w:hideMark/>
          </w:tcPr>
          <w:p w:rsidR="00324C3A" w:rsidRDefault="004942E7" w:rsidP="00324C3A">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Div</w:t>
            </w:r>
            <w:r w:rsidR="00324C3A">
              <w:rPr>
                <w:rFonts w:ascii="Times New Roman" w:eastAsia="Times New Roman" w:hAnsi="Times New Roman"/>
                <w:bCs/>
                <w:sz w:val="20"/>
                <w:szCs w:val="20"/>
              </w:rPr>
              <w:t>idend</w:t>
            </w:r>
            <w:r w:rsidR="003029D8" w:rsidRPr="001F5956">
              <w:rPr>
                <w:rFonts w:ascii="Times New Roman" w:eastAsia="Times New Roman" w:hAnsi="Times New Roman"/>
                <w:bCs/>
                <w:sz w:val="20"/>
                <w:szCs w:val="20"/>
              </w:rPr>
              <w:t xml:space="preserve"> </w:t>
            </w:r>
          </w:p>
          <w:p w:rsidR="004942E7" w:rsidRPr="001F5956" w:rsidRDefault="00324C3A" w:rsidP="00324C3A">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 xml:space="preserve">payout </w:t>
            </w:r>
            <w:r w:rsidR="004942E7" w:rsidRPr="001F5956">
              <w:rPr>
                <w:rFonts w:ascii="Times New Roman" w:eastAsia="Times New Roman" w:hAnsi="Times New Roman"/>
                <w:bCs/>
                <w:sz w:val="20"/>
                <w:szCs w:val="20"/>
              </w:rPr>
              <w:t>ratio</w:t>
            </w:r>
          </w:p>
        </w:tc>
        <w:tc>
          <w:tcPr>
            <w:tcW w:w="1450" w:type="dxa"/>
            <w:gridSpan w:val="2"/>
            <w:tcBorders>
              <w:top w:val="single" w:sz="4" w:space="0" w:color="auto"/>
              <w:bottom w:val="nil"/>
            </w:tcBorders>
            <w:tcMar>
              <w:left w:w="0" w:type="dxa"/>
              <w:right w:w="0" w:type="dxa"/>
            </w:tcMar>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Compensation leverage</w:t>
            </w:r>
          </w:p>
        </w:tc>
        <w:tc>
          <w:tcPr>
            <w:tcW w:w="1429" w:type="dxa"/>
            <w:gridSpan w:val="3"/>
            <w:tcBorders>
              <w:top w:val="single" w:sz="4" w:space="0" w:color="auto"/>
              <w:bottom w:val="nil"/>
            </w:tcBorders>
            <w:tcMar>
              <w:left w:w="0" w:type="dxa"/>
              <w:right w:w="0" w:type="dxa"/>
            </w:tcMar>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Inside debt</w:t>
            </w:r>
          </w:p>
          <w:p w:rsidR="003029D8" w:rsidRPr="001F5956" w:rsidRDefault="003029D8" w:rsidP="001F5956">
            <w:pPr>
              <w:spacing w:after="0" w:line="240" w:lineRule="auto"/>
              <w:jc w:val="center"/>
              <w:rPr>
                <w:rFonts w:ascii="Times New Roman" w:eastAsia="Times New Roman" w:hAnsi="Times New Roman"/>
                <w:bCs/>
                <w:sz w:val="20"/>
                <w:szCs w:val="20"/>
              </w:rPr>
            </w:pPr>
            <w:r w:rsidRPr="00A76E05">
              <w:rPr>
                <w:rFonts w:ascii="Times New Roman" w:eastAsia="Times New Roman" w:hAnsi="Times New Roman"/>
                <w:bCs/>
                <w:sz w:val="20"/>
                <w:szCs w:val="20"/>
              </w:rPr>
              <w:t>(x1000)</w:t>
            </w:r>
          </w:p>
        </w:tc>
      </w:tr>
      <w:tr w:rsidR="004942E7" w:rsidRPr="00C34885" w:rsidTr="001F5956">
        <w:trPr>
          <w:trHeight w:val="255"/>
        </w:trPr>
        <w:tc>
          <w:tcPr>
            <w:tcW w:w="2464" w:type="dxa"/>
            <w:vMerge/>
            <w:tcBorders>
              <w:top w:val="nil"/>
              <w:bottom w:val="single" w:sz="4" w:space="0" w:color="auto"/>
            </w:tcBorders>
            <w:shd w:val="clear" w:color="auto" w:fill="auto"/>
            <w:noWrap/>
            <w:vAlign w:val="bottom"/>
          </w:tcPr>
          <w:p w:rsidR="004942E7" w:rsidRPr="001F5956" w:rsidRDefault="004942E7" w:rsidP="00482839">
            <w:pPr>
              <w:spacing w:after="0" w:line="240" w:lineRule="auto"/>
              <w:jc w:val="center"/>
              <w:rPr>
                <w:rFonts w:ascii="Times New Roman" w:eastAsia="Times New Roman" w:hAnsi="Times New Roman"/>
                <w:bCs/>
                <w:sz w:val="20"/>
                <w:szCs w:val="20"/>
              </w:rPr>
            </w:pPr>
          </w:p>
        </w:tc>
        <w:tc>
          <w:tcPr>
            <w:tcW w:w="720" w:type="dxa"/>
            <w:vMerge/>
            <w:tcBorders>
              <w:top w:val="nil"/>
              <w:bottom w:val="single" w:sz="4" w:space="0" w:color="auto"/>
            </w:tcBorders>
            <w:shd w:val="clear" w:color="auto" w:fill="auto"/>
            <w:noWrap/>
            <w:tcMar>
              <w:left w:w="0" w:type="dxa"/>
              <w:right w:w="0" w:type="dxa"/>
            </w:tcMar>
            <w:vAlign w:val="bottom"/>
          </w:tcPr>
          <w:p w:rsidR="004942E7" w:rsidRPr="001F5956" w:rsidRDefault="004942E7" w:rsidP="00482839">
            <w:pPr>
              <w:spacing w:after="0" w:line="240" w:lineRule="auto"/>
              <w:jc w:val="center"/>
              <w:rPr>
                <w:rFonts w:ascii="Times New Roman" w:eastAsia="Times New Roman" w:hAnsi="Times New Roman"/>
                <w:bCs/>
                <w:sz w:val="20"/>
                <w:szCs w:val="20"/>
              </w:rPr>
            </w:pPr>
          </w:p>
        </w:tc>
        <w:tc>
          <w:tcPr>
            <w:tcW w:w="548" w:type="dxa"/>
            <w:vMerge/>
            <w:tcBorders>
              <w:top w:val="nil"/>
              <w:bottom w:val="single" w:sz="4" w:space="0" w:color="auto"/>
            </w:tcBorders>
            <w:shd w:val="clear" w:color="auto" w:fill="auto"/>
            <w:noWrap/>
            <w:tcMar>
              <w:left w:w="0" w:type="dxa"/>
              <w:right w:w="0" w:type="dxa"/>
            </w:tcMar>
            <w:vAlign w:val="bottom"/>
          </w:tcPr>
          <w:p w:rsidR="004942E7" w:rsidRPr="001F5956" w:rsidRDefault="004942E7" w:rsidP="00482839">
            <w:pPr>
              <w:spacing w:after="0" w:line="240" w:lineRule="auto"/>
              <w:jc w:val="center"/>
              <w:rPr>
                <w:rFonts w:ascii="Times New Roman" w:eastAsia="Times New Roman" w:hAnsi="Times New Roman"/>
                <w:bCs/>
                <w:sz w:val="20"/>
                <w:szCs w:val="20"/>
              </w:rPr>
            </w:pPr>
          </w:p>
        </w:tc>
        <w:tc>
          <w:tcPr>
            <w:tcW w:w="982" w:type="dxa"/>
            <w:vMerge/>
            <w:tcBorders>
              <w:top w:val="nil"/>
              <w:bottom w:val="single" w:sz="4" w:space="0" w:color="auto"/>
            </w:tcBorders>
            <w:shd w:val="clear" w:color="auto" w:fill="auto"/>
            <w:noWrap/>
            <w:tcMar>
              <w:left w:w="0" w:type="dxa"/>
              <w:right w:w="0" w:type="dxa"/>
            </w:tcMar>
            <w:vAlign w:val="bottom"/>
          </w:tcPr>
          <w:p w:rsidR="004942E7" w:rsidRPr="001F5956" w:rsidRDefault="004942E7" w:rsidP="00482839">
            <w:pPr>
              <w:spacing w:after="0" w:line="240" w:lineRule="auto"/>
              <w:jc w:val="center"/>
              <w:rPr>
                <w:rFonts w:ascii="Times New Roman" w:eastAsia="Times New Roman" w:hAnsi="Times New Roman"/>
                <w:bCs/>
                <w:sz w:val="20"/>
                <w:szCs w:val="20"/>
              </w:rPr>
            </w:pPr>
          </w:p>
        </w:tc>
        <w:tc>
          <w:tcPr>
            <w:tcW w:w="973" w:type="dxa"/>
            <w:vMerge/>
            <w:tcBorders>
              <w:top w:val="nil"/>
              <w:bottom w:val="single" w:sz="4" w:space="0" w:color="auto"/>
            </w:tcBorders>
            <w:tcMar>
              <w:left w:w="0" w:type="dxa"/>
              <w:right w:w="0" w:type="dxa"/>
            </w:tcMar>
          </w:tcPr>
          <w:p w:rsidR="004942E7" w:rsidRPr="001F5956" w:rsidRDefault="004942E7" w:rsidP="00482839">
            <w:pPr>
              <w:spacing w:after="0" w:line="240" w:lineRule="auto"/>
              <w:jc w:val="center"/>
              <w:rPr>
                <w:rFonts w:ascii="Times New Roman" w:eastAsia="Times New Roman" w:hAnsi="Times New Roman"/>
                <w:bCs/>
                <w:sz w:val="20"/>
                <w:szCs w:val="20"/>
              </w:rPr>
            </w:pPr>
          </w:p>
        </w:tc>
        <w:tc>
          <w:tcPr>
            <w:tcW w:w="1011" w:type="dxa"/>
            <w:vMerge/>
            <w:tcBorders>
              <w:top w:val="nil"/>
              <w:bottom w:val="single" w:sz="4" w:space="0" w:color="auto"/>
            </w:tcBorders>
            <w:shd w:val="clear" w:color="auto" w:fill="auto"/>
            <w:noWrap/>
            <w:tcMar>
              <w:left w:w="0" w:type="dxa"/>
              <w:right w:w="0" w:type="dxa"/>
            </w:tcMar>
            <w:vAlign w:val="bottom"/>
          </w:tcPr>
          <w:p w:rsidR="004942E7" w:rsidRPr="001F5956" w:rsidRDefault="004942E7" w:rsidP="00482839">
            <w:pPr>
              <w:spacing w:after="0" w:line="240" w:lineRule="auto"/>
              <w:jc w:val="center"/>
              <w:rPr>
                <w:rFonts w:ascii="Times New Roman" w:eastAsia="Times New Roman" w:hAnsi="Times New Roman"/>
                <w:bCs/>
                <w:sz w:val="20"/>
                <w:szCs w:val="20"/>
              </w:rPr>
            </w:pPr>
          </w:p>
        </w:tc>
        <w:tc>
          <w:tcPr>
            <w:tcW w:w="724" w:type="dxa"/>
            <w:tcBorders>
              <w:top w:val="nil"/>
              <w:bottom w:val="single" w:sz="4" w:space="0" w:color="auto"/>
            </w:tcBorders>
            <w:tcMar>
              <w:left w:w="0" w:type="dxa"/>
              <w:right w:w="0" w:type="dxa"/>
            </w:tcMar>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 xml:space="preserve">CEO </w:t>
            </w:r>
          </w:p>
        </w:tc>
        <w:tc>
          <w:tcPr>
            <w:tcW w:w="726" w:type="dxa"/>
            <w:tcBorders>
              <w:top w:val="nil"/>
              <w:bottom w:val="single" w:sz="4" w:space="0" w:color="auto"/>
            </w:tcBorders>
            <w:tcMar>
              <w:left w:w="0" w:type="dxa"/>
              <w:right w:w="0" w:type="dxa"/>
            </w:tcMar>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All Execs</w:t>
            </w:r>
          </w:p>
        </w:tc>
        <w:tc>
          <w:tcPr>
            <w:tcW w:w="711" w:type="dxa"/>
            <w:tcBorders>
              <w:top w:val="nil"/>
              <w:bottom w:val="single" w:sz="4" w:space="0" w:color="auto"/>
            </w:tcBorders>
            <w:tcMar>
              <w:left w:w="0" w:type="dxa"/>
              <w:right w:w="0" w:type="dxa"/>
            </w:tcMar>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CEO</w:t>
            </w:r>
          </w:p>
        </w:tc>
        <w:tc>
          <w:tcPr>
            <w:tcW w:w="718" w:type="dxa"/>
            <w:gridSpan w:val="2"/>
            <w:tcBorders>
              <w:top w:val="nil"/>
              <w:bottom w:val="single" w:sz="4" w:space="0" w:color="auto"/>
            </w:tcBorders>
            <w:tcMar>
              <w:left w:w="0" w:type="dxa"/>
              <w:right w:w="0" w:type="dxa"/>
            </w:tcMar>
          </w:tcPr>
          <w:p w:rsidR="004942E7" w:rsidRPr="001F5956" w:rsidRDefault="004942E7" w:rsidP="00482839">
            <w:pPr>
              <w:spacing w:after="0" w:line="240" w:lineRule="auto"/>
              <w:jc w:val="center"/>
              <w:rPr>
                <w:rFonts w:ascii="Times New Roman" w:eastAsia="Times New Roman" w:hAnsi="Times New Roman"/>
                <w:bCs/>
                <w:sz w:val="20"/>
                <w:szCs w:val="20"/>
              </w:rPr>
            </w:pPr>
            <w:r w:rsidRPr="001F5956">
              <w:rPr>
                <w:rFonts w:ascii="Times New Roman" w:eastAsia="Times New Roman" w:hAnsi="Times New Roman"/>
                <w:bCs/>
                <w:sz w:val="20"/>
                <w:szCs w:val="20"/>
              </w:rPr>
              <w:t>All Execs</w:t>
            </w:r>
          </w:p>
        </w:tc>
      </w:tr>
      <w:tr w:rsidR="001F5956" w:rsidRPr="00C34885" w:rsidTr="001F5956">
        <w:trPr>
          <w:trHeight w:hRule="exact" w:val="72"/>
        </w:trPr>
        <w:tc>
          <w:tcPr>
            <w:tcW w:w="2464" w:type="dxa"/>
            <w:tcBorders>
              <w:top w:val="single" w:sz="4" w:space="0" w:color="auto"/>
            </w:tcBorders>
            <w:shd w:val="clear" w:color="auto" w:fill="auto"/>
            <w:noWrap/>
            <w:vAlign w:val="center"/>
            <w:hideMark/>
          </w:tcPr>
          <w:p w:rsidR="001F5956" w:rsidRPr="00C34885" w:rsidRDefault="001F5956" w:rsidP="003029D8">
            <w:pPr>
              <w:spacing w:after="0" w:line="240" w:lineRule="auto"/>
              <w:rPr>
                <w:rFonts w:ascii="Times New Roman" w:eastAsia="Times New Roman" w:hAnsi="Times New Roman"/>
                <w:sz w:val="17"/>
                <w:szCs w:val="17"/>
              </w:rPr>
            </w:pPr>
          </w:p>
        </w:tc>
        <w:tc>
          <w:tcPr>
            <w:tcW w:w="720" w:type="dxa"/>
            <w:tcBorders>
              <w:top w:val="single" w:sz="4" w:space="0" w:color="auto"/>
            </w:tcBorders>
            <w:shd w:val="clear" w:color="auto" w:fill="auto"/>
            <w:noWrap/>
            <w:vAlign w:val="center"/>
            <w:hideMark/>
          </w:tcPr>
          <w:p w:rsidR="001F5956" w:rsidRPr="00C34885" w:rsidRDefault="001F5956" w:rsidP="003029D8">
            <w:pPr>
              <w:spacing w:after="0" w:line="240" w:lineRule="auto"/>
              <w:jc w:val="center"/>
              <w:rPr>
                <w:rFonts w:ascii="Times New Roman" w:eastAsia="Times New Roman" w:hAnsi="Times New Roman"/>
                <w:sz w:val="17"/>
                <w:szCs w:val="17"/>
              </w:rPr>
            </w:pPr>
          </w:p>
        </w:tc>
        <w:tc>
          <w:tcPr>
            <w:tcW w:w="548" w:type="dxa"/>
            <w:tcBorders>
              <w:top w:val="single" w:sz="4" w:space="0" w:color="auto"/>
            </w:tcBorders>
            <w:shd w:val="clear" w:color="auto" w:fill="auto"/>
            <w:noWrap/>
            <w:vAlign w:val="center"/>
            <w:hideMark/>
          </w:tcPr>
          <w:p w:rsidR="001F5956" w:rsidRPr="00C34885" w:rsidRDefault="001F5956" w:rsidP="003029D8">
            <w:pPr>
              <w:spacing w:after="0" w:line="240" w:lineRule="auto"/>
              <w:jc w:val="center"/>
              <w:rPr>
                <w:rFonts w:ascii="Times New Roman" w:eastAsia="Times New Roman" w:hAnsi="Times New Roman"/>
                <w:sz w:val="17"/>
                <w:szCs w:val="17"/>
              </w:rPr>
            </w:pPr>
          </w:p>
        </w:tc>
        <w:tc>
          <w:tcPr>
            <w:tcW w:w="982" w:type="dxa"/>
            <w:tcBorders>
              <w:top w:val="single" w:sz="4" w:space="0" w:color="auto"/>
            </w:tcBorders>
            <w:shd w:val="clear" w:color="auto" w:fill="auto"/>
            <w:noWrap/>
            <w:vAlign w:val="center"/>
            <w:hideMark/>
          </w:tcPr>
          <w:p w:rsidR="001F5956" w:rsidRPr="00C34885" w:rsidRDefault="001F5956" w:rsidP="003029D8">
            <w:pPr>
              <w:spacing w:after="0" w:line="240" w:lineRule="auto"/>
              <w:jc w:val="center"/>
              <w:rPr>
                <w:rFonts w:ascii="Times New Roman" w:eastAsia="Times New Roman" w:hAnsi="Times New Roman"/>
                <w:sz w:val="17"/>
                <w:szCs w:val="17"/>
              </w:rPr>
            </w:pPr>
          </w:p>
        </w:tc>
        <w:tc>
          <w:tcPr>
            <w:tcW w:w="973" w:type="dxa"/>
            <w:tcBorders>
              <w:top w:val="single" w:sz="4" w:space="0" w:color="auto"/>
            </w:tcBorders>
            <w:vAlign w:val="center"/>
          </w:tcPr>
          <w:p w:rsidR="001F5956" w:rsidRDefault="001F5956" w:rsidP="003029D8">
            <w:pPr>
              <w:spacing w:after="0" w:line="240" w:lineRule="auto"/>
              <w:jc w:val="center"/>
              <w:rPr>
                <w:rFonts w:ascii="Times New Roman" w:eastAsia="Times New Roman" w:hAnsi="Times New Roman"/>
                <w:color w:val="000000"/>
                <w:sz w:val="17"/>
                <w:szCs w:val="17"/>
              </w:rPr>
            </w:pPr>
          </w:p>
        </w:tc>
        <w:tc>
          <w:tcPr>
            <w:tcW w:w="1011" w:type="dxa"/>
            <w:tcBorders>
              <w:top w:val="single" w:sz="4" w:space="0" w:color="auto"/>
            </w:tcBorders>
            <w:shd w:val="clear" w:color="auto" w:fill="auto"/>
            <w:noWrap/>
            <w:vAlign w:val="center"/>
            <w:hideMark/>
          </w:tcPr>
          <w:p w:rsidR="001F5956" w:rsidRPr="00C34885" w:rsidRDefault="001F5956" w:rsidP="003029D8">
            <w:pPr>
              <w:spacing w:after="0" w:line="240" w:lineRule="auto"/>
              <w:jc w:val="center"/>
              <w:rPr>
                <w:rFonts w:ascii="Times New Roman" w:eastAsia="Times New Roman" w:hAnsi="Times New Roman"/>
                <w:color w:val="000000"/>
                <w:sz w:val="17"/>
                <w:szCs w:val="17"/>
              </w:rPr>
            </w:pPr>
          </w:p>
        </w:tc>
        <w:tc>
          <w:tcPr>
            <w:tcW w:w="724" w:type="dxa"/>
            <w:tcBorders>
              <w:top w:val="single" w:sz="4" w:space="0" w:color="auto"/>
            </w:tcBorders>
            <w:vAlign w:val="center"/>
          </w:tcPr>
          <w:p w:rsidR="001F5956" w:rsidRDefault="001F5956" w:rsidP="003029D8">
            <w:pPr>
              <w:spacing w:after="0" w:line="240" w:lineRule="auto"/>
              <w:jc w:val="center"/>
              <w:rPr>
                <w:rFonts w:ascii="Times New Roman" w:eastAsia="Times New Roman" w:hAnsi="Times New Roman"/>
                <w:color w:val="000000"/>
                <w:sz w:val="17"/>
                <w:szCs w:val="17"/>
              </w:rPr>
            </w:pPr>
          </w:p>
        </w:tc>
        <w:tc>
          <w:tcPr>
            <w:tcW w:w="726" w:type="dxa"/>
            <w:tcBorders>
              <w:top w:val="single" w:sz="4" w:space="0" w:color="auto"/>
            </w:tcBorders>
            <w:vAlign w:val="center"/>
          </w:tcPr>
          <w:p w:rsidR="001F5956" w:rsidRDefault="001F5956" w:rsidP="003029D8">
            <w:pPr>
              <w:spacing w:after="0" w:line="240" w:lineRule="auto"/>
              <w:jc w:val="center"/>
              <w:rPr>
                <w:rFonts w:ascii="Times New Roman" w:eastAsia="Times New Roman" w:hAnsi="Times New Roman"/>
                <w:color w:val="000000"/>
                <w:sz w:val="17"/>
                <w:szCs w:val="17"/>
              </w:rPr>
            </w:pPr>
          </w:p>
        </w:tc>
        <w:tc>
          <w:tcPr>
            <w:tcW w:w="724" w:type="dxa"/>
            <w:gridSpan w:val="2"/>
            <w:tcBorders>
              <w:top w:val="single" w:sz="4" w:space="0" w:color="auto"/>
            </w:tcBorders>
            <w:vAlign w:val="center"/>
          </w:tcPr>
          <w:p w:rsidR="001F5956" w:rsidRDefault="001F5956" w:rsidP="003029D8">
            <w:pPr>
              <w:spacing w:after="0" w:line="240" w:lineRule="auto"/>
              <w:jc w:val="center"/>
              <w:rPr>
                <w:rFonts w:ascii="Times New Roman" w:eastAsia="Times New Roman" w:hAnsi="Times New Roman"/>
                <w:color w:val="000000"/>
                <w:sz w:val="17"/>
                <w:szCs w:val="17"/>
              </w:rPr>
            </w:pPr>
          </w:p>
        </w:tc>
        <w:tc>
          <w:tcPr>
            <w:tcW w:w="705" w:type="dxa"/>
            <w:tcBorders>
              <w:top w:val="single" w:sz="4" w:space="0" w:color="auto"/>
            </w:tcBorders>
            <w:vAlign w:val="center"/>
          </w:tcPr>
          <w:p w:rsidR="001F5956" w:rsidRDefault="001F5956" w:rsidP="003029D8">
            <w:pPr>
              <w:spacing w:after="0" w:line="240" w:lineRule="auto"/>
              <w:jc w:val="center"/>
              <w:rPr>
                <w:rFonts w:ascii="Times New Roman" w:eastAsia="Times New Roman" w:hAnsi="Times New Roman"/>
                <w:color w:val="000000"/>
                <w:sz w:val="17"/>
                <w:szCs w:val="17"/>
              </w:rPr>
            </w:pP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Agriculture, Forestry, &amp; Fishing</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01-09</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0.37%</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0.007</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sidRPr="00C34885">
              <w:rPr>
                <w:rFonts w:ascii="Times New Roman" w:eastAsia="Times New Roman" w:hAnsi="Times New Roman"/>
                <w:color w:val="000000"/>
                <w:sz w:val="17"/>
                <w:szCs w:val="17"/>
              </w:rPr>
              <w:t>0.</w:t>
            </w:r>
            <w:r>
              <w:rPr>
                <w:rFonts w:ascii="Times New Roman" w:eastAsia="Times New Roman" w:hAnsi="Times New Roman"/>
                <w:color w:val="000000"/>
                <w:sz w:val="17"/>
                <w:szCs w:val="17"/>
              </w:rPr>
              <w:t>742</w:t>
            </w:r>
          </w:p>
        </w:tc>
        <w:tc>
          <w:tcPr>
            <w:tcW w:w="724"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0.060</w:t>
            </w:r>
          </w:p>
        </w:tc>
        <w:tc>
          <w:tcPr>
            <w:tcW w:w="726"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0.092</w:t>
            </w:r>
          </w:p>
        </w:tc>
        <w:tc>
          <w:tcPr>
            <w:tcW w:w="724" w:type="dxa"/>
            <w:gridSpan w:val="2"/>
            <w:vAlign w:val="center"/>
          </w:tcPr>
          <w:p w:rsidR="004942E7" w:rsidRPr="00C34885"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w:t>
            </w:r>
            <w:r w:rsidR="004942E7">
              <w:rPr>
                <w:rFonts w:ascii="Times New Roman" w:eastAsia="Times New Roman" w:hAnsi="Times New Roman"/>
                <w:color w:val="000000"/>
                <w:sz w:val="17"/>
                <w:szCs w:val="17"/>
              </w:rPr>
              <w:t>26</w:t>
            </w:r>
            <w:r>
              <w:rPr>
                <w:rFonts w:ascii="Times New Roman" w:eastAsia="Times New Roman" w:hAnsi="Times New Roman"/>
                <w:color w:val="000000"/>
                <w:sz w:val="17"/>
                <w:szCs w:val="17"/>
              </w:rPr>
              <w:t>4</w:t>
            </w:r>
          </w:p>
        </w:tc>
        <w:tc>
          <w:tcPr>
            <w:tcW w:w="705" w:type="dxa"/>
            <w:vAlign w:val="center"/>
          </w:tcPr>
          <w:p w:rsidR="004942E7" w:rsidRPr="00C34885"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w:t>
            </w:r>
            <w:r w:rsidR="004942E7">
              <w:rPr>
                <w:rFonts w:ascii="Times New Roman" w:eastAsia="Times New Roman" w:hAnsi="Times New Roman"/>
                <w:color w:val="000000"/>
                <w:sz w:val="17"/>
                <w:szCs w:val="17"/>
              </w:rPr>
              <w:t>8</w:t>
            </w:r>
            <w:r>
              <w:rPr>
                <w:rFonts w:ascii="Times New Roman" w:eastAsia="Times New Roman" w:hAnsi="Times New Roman"/>
                <w:color w:val="000000"/>
                <w:sz w:val="17"/>
                <w:szCs w:val="17"/>
              </w:rPr>
              <w:t>7</w:t>
            </w:r>
            <w:r w:rsidR="004942E7">
              <w:rPr>
                <w:rFonts w:ascii="Times New Roman" w:eastAsia="Times New Roman" w:hAnsi="Times New Roman"/>
                <w:color w:val="000000"/>
                <w:sz w:val="17"/>
                <w:szCs w:val="17"/>
              </w:rPr>
              <w:t>8</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Construction</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15-17</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0.37%</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0.010</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0.130</w:t>
            </w:r>
          </w:p>
        </w:tc>
        <w:tc>
          <w:tcPr>
            <w:tcW w:w="724"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0.105</w:t>
            </w:r>
          </w:p>
        </w:tc>
        <w:tc>
          <w:tcPr>
            <w:tcW w:w="726"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0.113</w:t>
            </w:r>
          </w:p>
        </w:tc>
        <w:tc>
          <w:tcPr>
            <w:tcW w:w="724" w:type="dxa"/>
            <w:gridSpan w:val="2"/>
            <w:vAlign w:val="center"/>
          </w:tcPr>
          <w:p w:rsidR="004942E7" w:rsidRDefault="004942E7" w:rsidP="00A76E05">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w:t>
            </w:r>
            <w:r w:rsidR="00A76E05">
              <w:rPr>
                <w:rFonts w:ascii="Times New Roman" w:eastAsia="Times New Roman" w:hAnsi="Times New Roman"/>
                <w:color w:val="000000"/>
                <w:sz w:val="17"/>
                <w:szCs w:val="17"/>
              </w:rPr>
              <w:t>158</w:t>
            </w:r>
          </w:p>
        </w:tc>
        <w:tc>
          <w:tcPr>
            <w:tcW w:w="705"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0.287</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Finance, Insurance, and Real Estate</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60-67</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47</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17.28%</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0.010</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0.390</w:t>
            </w:r>
          </w:p>
        </w:tc>
        <w:tc>
          <w:tcPr>
            <w:tcW w:w="724"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0.156</w:t>
            </w:r>
          </w:p>
        </w:tc>
        <w:tc>
          <w:tcPr>
            <w:tcW w:w="726"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0.153</w:t>
            </w:r>
          </w:p>
        </w:tc>
        <w:tc>
          <w:tcPr>
            <w:tcW w:w="724" w:type="dxa"/>
            <w:gridSpan w:val="2"/>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0.149</w:t>
            </w:r>
          </w:p>
        </w:tc>
        <w:tc>
          <w:tcPr>
            <w:tcW w:w="705"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w:t>
            </w:r>
            <w:r w:rsidR="00A76E05">
              <w:rPr>
                <w:rFonts w:ascii="Times New Roman" w:eastAsia="Times New Roman" w:hAnsi="Times New Roman"/>
                <w:color w:val="000000"/>
                <w:sz w:val="17"/>
                <w:szCs w:val="17"/>
              </w:rPr>
              <w:t>260</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Manufacturing</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20-39</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130</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47.79%</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0.020</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0.286</w:t>
            </w:r>
          </w:p>
        </w:tc>
        <w:tc>
          <w:tcPr>
            <w:tcW w:w="724"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0.196</w:t>
            </w:r>
          </w:p>
        </w:tc>
        <w:tc>
          <w:tcPr>
            <w:tcW w:w="726"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0.217</w:t>
            </w:r>
          </w:p>
        </w:tc>
        <w:tc>
          <w:tcPr>
            <w:tcW w:w="724" w:type="dxa"/>
            <w:gridSpan w:val="2"/>
            <w:vAlign w:val="center"/>
          </w:tcPr>
          <w:p w:rsidR="004942E7" w:rsidRDefault="004942E7" w:rsidP="00A76E05">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w:t>
            </w:r>
            <w:r w:rsidR="00A76E05">
              <w:rPr>
                <w:rFonts w:ascii="Times New Roman" w:eastAsia="Times New Roman" w:hAnsi="Times New Roman"/>
                <w:color w:val="000000"/>
                <w:sz w:val="17"/>
                <w:szCs w:val="17"/>
              </w:rPr>
              <w:t>926</w:t>
            </w:r>
          </w:p>
        </w:tc>
        <w:tc>
          <w:tcPr>
            <w:tcW w:w="705"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A76E05">
              <w:rPr>
                <w:rFonts w:ascii="Times New Roman" w:eastAsia="Times New Roman" w:hAnsi="Times New Roman"/>
                <w:color w:val="000000"/>
                <w:sz w:val="17"/>
                <w:szCs w:val="17"/>
              </w:rPr>
              <w:t>.866</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Mining</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10-14</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15</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5.51%</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0.029</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0.173</w:t>
            </w:r>
          </w:p>
        </w:tc>
        <w:tc>
          <w:tcPr>
            <w:tcW w:w="724"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0.114</w:t>
            </w:r>
          </w:p>
        </w:tc>
        <w:tc>
          <w:tcPr>
            <w:tcW w:w="726"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0.140</w:t>
            </w:r>
          </w:p>
        </w:tc>
        <w:tc>
          <w:tcPr>
            <w:tcW w:w="724" w:type="dxa"/>
            <w:gridSpan w:val="2"/>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0.674</w:t>
            </w:r>
          </w:p>
        </w:tc>
        <w:tc>
          <w:tcPr>
            <w:tcW w:w="705" w:type="dxa"/>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1.470</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proofErr w:type="spellStart"/>
            <w:r w:rsidRPr="00C34885">
              <w:rPr>
                <w:rFonts w:ascii="Times New Roman" w:eastAsia="Times New Roman" w:hAnsi="Times New Roman"/>
                <w:sz w:val="17"/>
                <w:szCs w:val="17"/>
              </w:rPr>
              <w:t>Nonclassifiable</w:t>
            </w:r>
            <w:proofErr w:type="spellEnd"/>
            <w:r w:rsidRPr="00C34885">
              <w:rPr>
                <w:rFonts w:ascii="Times New Roman" w:eastAsia="Times New Roman" w:hAnsi="Times New Roman"/>
                <w:sz w:val="17"/>
                <w:szCs w:val="17"/>
              </w:rPr>
              <w:t xml:space="preserve"> Establishments</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99</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2</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0.74%</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0.014</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0.339</w:t>
            </w:r>
          </w:p>
        </w:tc>
        <w:tc>
          <w:tcPr>
            <w:tcW w:w="724"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0.156</w:t>
            </w:r>
          </w:p>
        </w:tc>
        <w:tc>
          <w:tcPr>
            <w:tcW w:w="726"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0.185</w:t>
            </w:r>
          </w:p>
        </w:tc>
        <w:tc>
          <w:tcPr>
            <w:tcW w:w="724" w:type="dxa"/>
            <w:gridSpan w:val="2"/>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0.04</w:t>
            </w:r>
            <w:r w:rsidR="004942E7">
              <w:rPr>
                <w:rFonts w:ascii="Times New Roman" w:eastAsia="Times New Roman" w:hAnsi="Times New Roman"/>
                <w:color w:val="000000"/>
                <w:sz w:val="17"/>
                <w:szCs w:val="17"/>
              </w:rPr>
              <w:t>5</w:t>
            </w:r>
          </w:p>
        </w:tc>
        <w:tc>
          <w:tcPr>
            <w:tcW w:w="705" w:type="dxa"/>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0.116</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Retail Trade</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52-59</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13</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4.78%</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0.010</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sidRPr="00C34885">
              <w:rPr>
                <w:rFonts w:ascii="Times New Roman" w:eastAsia="Times New Roman" w:hAnsi="Times New Roman"/>
                <w:color w:val="000000"/>
                <w:sz w:val="17"/>
                <w:szCs w:val="17"/>
              </w:rPr>
              <w:t>0.1</w:t>
            </w:r>
            <w:r>
              <w:rPr>
                <w:rFonts w:ascii="Times New Roman" w:eastAsia="Times New Roman" w:hAnsi="Times New Roman"/>
                <w:color w:val="000000"/>
                <w:sz w:val="17"/>
                <w:szCs w:val="17"/>
              </w:rPr>
              <w:t>50</w:t>
            </w:r>
          </w:p>
        </w:tc>
        <w:tc>
          <w:tcPr>
            <w:tcW w:w="724"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0.138</w:t>
            </w:r>
          </w:p>
        </w:tc>
        <w:tc>
          <w:tcPr>
            <w:tcW w:w="726"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0.171</w:t>
            </w:r>
          </w:p>
        </w:tc>
        <w:tc>
          <w:tcPr>
            <w:tcW w:w="724" w:type="dxa"/>
            <w:gridSpan w:val="2"/>
            <w:vAlign w:val="center"/>
          </w:tcPr>
          <w:p w:rsidR="004942E7" w:rsidRPr="00C34885"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w:t>
            </w:r>
            <w:r w:rsidR="004942E7">
              <w:rPr>
                <w:rFonts w:ascii="Times New Roman" w:eastAsia="Times New Roman" w:hAnsi="Times New Roman"/>
                <w:color w:val="000000"/>
                <w:sz w:val="17"/>
                <w:szCs w:val="17"/>
              </w:rPr>
              <w:t>82</w:t>
            </w:r>
            <w:r>
              <w:rPr>
                <w:rFonts w:ascii="Times New Roman" w:eastAsia="Times New Roman" w:hAnsi="Times New Roman"/>
                <w:color w:val="000000"/>
                <w:sz w:val="17"/>
                <w:szCs w:val="17"/>
              </w:rPr>
              <w:t>0</w:t>
            </w:r>
          </w:p>
        </w:tc>
        <w:tc>
          <w:tcPr>
            <w:tcW w:w="705" w:type="dxa"/>
            <w:vAlign w:val="center"/>
          </w:tcPr>
          <w:p w:rsidR="004942E7" w:rsidRPr="00C34885"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2.299</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Services</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70-89</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12</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4.41%</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0.025</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0.131</w:t>
            </w:r>
          </w:p>
        </w:tc>
        <w:tc>
          <w:tcPr>
            <w:tcW w:w="724"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0.159</w:t>
            </w:r>
          </w:p>
        </w:tc>
        <w:tc>
          <w:tcPr>
            <w:tcW w:w="726"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0.184</w:t>
            </w:r>
          </w:p>
        </w:tc>
        <w:tc>
          <w:tcPr>
            <w:tcW w:w="724" w:type="dxa"/>
            <w:gridSpan w:val="2"/>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A76E05">
              <w:rPr>
                <w:rFonts w:ascii="Times New Roman" w:eastAsia="Times New Roman" w:hAnsi="Times New Roman"/>
                <w:color w:val="000000"/>
                <w:sz w:val="17"/>
                <w:szCs w:val="17"/>
              </w:rPr>
              <w:t>.</w:t>
            </w:r>
            <w:r>
              <w:rPr>
                <w:rFonts w:ascii="Times New Roman" w:eastAsia="Times New Roman" w:hAnsi="Times New Roman"/>
                <w:color w:val="000000"/>
                <w:sz w:val="17"/>
                <w:szCs w:val="17"/>
              </w:rPr>
              <w:t>64</w:t>
            </w:r>
            <w:r w:rsidR="00A76E05">
              <w:rPr>
                <w:rFonts w:ascii="Times New Roman" w:eastAsia="Times New Roman" w:hAnsi="Times New Roman"/>
                <w:color w:val="000000"/>
                <w:sz w:val="17"/>
                <w:szCs w:val="17"/>
              </w:rPr>
              <w:t>0</w:t>
            </w:r>
          </w:p>
        </w:tc>
        <w:tc>
          <w:tcPr>
            <w:tcW w:w="705" w:type="dxa"/>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3.654</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Transportation &amp; Public Utilities</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40-49</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46</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16.91%</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0.006</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0.464</w:t>
            </w:r>
          </w:p>
        </w:tc>
        <w:tc>
          <w:tcPr>
            <w:tcW w:w="724"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0.248</w:t>
            </w:r>
          </w:p>
        </w:tc>
        <w:tc>
          <w:tcPr>
            <w:tcW w:w="726"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0.271</w:t>
            </w:r>
          </w:p>
        </w:tc>
        <w:tc>
          <w:tcPr>
            <w:tcW w:w="724" w:type="dxa"/>
            <w:gridSpan w:val="2"/>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w:t>
            </w:r>
            <w:r w:rsidR="004942E7">
              <w:rPr>
                <w:rFonts w:ascii="Times New Roman" w:eastAsia="Times New Roman" w:hAnsi="Times New Roman"/>
                <w:color w:val="000000"/>
                <w:sz w:val="17"/>
                <w:szCs w:val="17"/>
              </w:rPr>
              <w:t>32</w:t>
            </w:r>
            <w:r>
              <w:rPr>
                <w:rFonts w:ascii="Times New Roman" w:eastAsia="Times New Roman" w:hAnsi="Times New Roman"/>
                <w:color w:val="000000"/>
                <w:sz w:val="17"/>
                <w:szCs w:val="17"/>
              </w:rPr>
              <w:t>1</w:t>
            </w:r>
          </w:p>
        </w:tc>
        <w:tc>
          <w:tcPr>
            <w:tcW w:w="705" w:type="dxa"/>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0.704</w:t>
            </w:r>
          </w:p>
        </w:tc>
      </w:tr>
      <w:tr w:rsidR="004942E7" w:rsidRPr="00C34885" w:rsidTr="001F5956">
        <w:trPr>
          <w:trHeight w:val="300"/>
        </w:trPr>
        <w:tc>
          <w:tcPr>
            <w:tcW w:w="2464" w:type="dxa"/>
            <w:shd w:val="clear" w:color="auto" w:fill="auto"/>
            <w:noWrap/>
            <w:vAlign w:val="center"/>
            <w:hideMark/>
          </w:tcPr>
          <w:p w:rsidR="004942E7" w:rsidRPr="00C34885" w:rsidRDefault="004942E7" w:rsidP="003029D8">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Wholesale Trade</w:t>
            </w:r>
          </w:p>
        </w:tc>
        <w:tc>
          <w:tcPr>
            <w:tcW w:w="720"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50-51</w:t>
            </w:r>
          </w:p>
        </w:tc>
        <w:tc>
          <w:tcPr>
            <w:tcW w:w="548"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5</w:t>
            </w:r>
          </w:p>
        </w:tc>
        <w:tc>
          <w:tcPr>
            <w:tcW w:w="982"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1.84%</w:t>
            </w:r>
          </w:p>
        </w:tc>
        <w:tc>
          <w:tcPr>
            <w:tcW w:w="973" w:type="dxa"/>
            <w:vAlign w:val="center"/>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0.018</w:t>
            </w:r>
          </w:p>
        </w:tc>
        <w:tc>
          <w:tcPr>
            <w:tcW w:w="1011" w:type="dxa"/>
            <w:shd w:val="clear" w:color="auto" w:fill="auto"/>
            <w:noWrap/>
            <w:vAlign w:val="center"/>
            <w:hideMark/>
          </w:tcPr>
          <w:p w:rsidR="004942E7" w:rsidRPr="00C34885"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0.152</w:t>
            </w:r>
          </w:p>
        </w:tc>
        <w:tc>
          <w:tcPr>
            <w:tcW w:w="724"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0.127</w:t>
            </w:r>
          </w:p>
        </w:tc>
        <w:tc>
          <w:tcPr>
            <w:tcW w:w="726"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0.142</w:t>
            </w:r>
          </w:p>
        </w:tc>
        <w:tc>
          <w:tcPr>
            <w:tcW w:w="724" w:type="dxa"/>
            <w:gridSpan w:val="2"/>
            <w:vAlign w:val="center"/>
          </w:tcPr>
          <w:p w:rsidR="004942E7" w:rsidRDefault="00A76E05"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w:t>
            </w:r>
            <w:r w:rsidR="004942E7">
              <w:rPr>
                <w:rFonts w:ascii="Times New Roman" w:eastAsia="Times New Roman" w:hAnsi="Times New Roman"/>
                <w:color w:val="000000"/>
                <w:sz w:val="17"/>
                <w:szCs w:val="17"/>
              </w:rPr>
              <w:t>55</w:t>
            </w:r>
            <w:r>
              <w:rPr>
                <w:rFonts w:ascii="Times New Roman" w:eastAsia="Times New Roman" w:hAnsi="Times New Roman"/>
                <w:color w:val="000000"/>
                <w:sz w:val="17"/>
                <w:szCs w:val="17"/>
              </w:rPr>
              <w:t>0</w:t>
            </w:r>
          </w:p>
        </w:tc>
        <w:tc>
          <w:tcPr>
            <w:tcW w:w="705" w:type="dxa"/>
            <w:vAlign w:val="center"/>
          </w:tcPr>
          <w:p w:rsidR="004942E7" w:rsidRDefault="004942E7" w:rsidP="003029D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A76E05">
              <w:rPr>
                <w:rFonts w:ascii="Times New Roman" w:eastAsia="Times New Roman" w:hAnsi="Times New Roman"/>
                <w:color w:val="000000"/>
                <w:sz w:val="17"/>
                <w:szCs w:val="17"/>
              </w:rPr>
              <w:t>.280</w:t>
            </w:r>
          </w:p>
        </w:tc>
      </w:tr>
      <w:tr w:rsidR="004942E7" w:rsidRPr="00C34885" w:rsidTr="001F5956">
        <w:trPr>
          <w:trHeight w:val="300"/>
        </w:trPr>
        <w:tc>
          <w:tcPr>
            <w:tcW w:w="2464" w:type="dxa"/>
            <w:shd w:val="clear" w:color="auto" w:fill="auto"/>
            <w:noWrap/>
            <w:vAlign w:val="center"/>
            <w:hideMark/>
          </w:tcPr>
          <w:p w:rsidR="004942E7" w:rsidRPr="001F5956" w:rsidRDefault="004942E7" w:rsidP="001F5956">
            <w:pPr>
              <w:spacing w:after="0" w:line="240" w:lineRule="auto"/>
              <w:rPr>
                <w:rFonts w:ascii="Times New Roman" w:eastAsia="Times New Roman" w:hAnsi="Times New Roman"/>
                <w:bCs/>
                <w:sz w:val="17"/>
                <w:szCs w:val="17"/>
              </w:rPr>
            </w:pPr>
            <w:r w:rsidRPr="001F5956">
              <w:rPr>
                <w:rFonts w:ascii="Times New Roman" w:eastAsia="Times New Roman" w:hAnsi="Times New Roman"/>
                <w:bCs/>
                <w:sz w:val="17"/>
                <w:szCs w:val="17"/>
              </w:rPr>
              <w:t>Total firms</w:t>
            </w:r>
          </w:p>
        </w:tc>
        <w:tc>
          <w:tcPr>
            <w:tcW w:w="720" w:type="dxa"/>
            <w:shd w:val="clear" w:color="auto" w:fill="auto"/>
            <w:noWrap/>
            <w:vAlign w:val="center"/>
            <w:hideMark/>
          </w:tcPr>
          <w:p w:rsidR="004942E7" w:rsidRPr="001F5956" w:rsidRDefault="004942E7" w:rsidP="001F5956">
            <w:pPr>
              <w:spacing w:after="0" w:line="240" w:lineRule="auto"/>
              <w:jc w:val="center"/>
              <w:rPr>
                <w:rFonts w:ascii="Times New Roman" w:eastAsia="Times New Roman" w:hAnsi="Times New Roman"/>
                <w:sz w:val="17"/>
                <w:szCs w:val="17"/>
              </w:rPr>
            </w:pPr>
          </w:p>
        </w:tc>
        <w:tc>
          <w:tcPr>
            <w:tcW w:w="548" w:type="dxa"/>
            <w:shd w:val="clear" w:color="auto" w:fill="auto"/>
            <w:noWrap/>
            <w:vAlign w:val="center"/>
            <w:hideMark/>
          </w:tcPr>
          <w:p w:rsidR="004942E7" w:rsidRPr="001F5956" w:rsidRDefault="004942E7" w:rsidP="001F5956">
            <w:pPr>
              <w:spacing w:after="0" w:line="240" w:lineRule="auto"/>
              <w:jc w:val="center"/>
              <w:rPr>
                <w:rFonts w:ascii="Times New Roman" w:eastAsia="Times New Roman" w:hAnsi="Times New Roman"/>
                <w:bCs/>
                <w:sz w:val="17"/>
                <w:szCs w:val="17"/>
              </w:rPr>
            </w:pPr>
            <w:r w:rsidRPr="001F5956">
              <w:rPr>
                <w:rFonts w:ascii="Times New Roman" w:eastAsia="Times New Roman" w:hAnsi="Times New Roman"/>
                <w:bCs/>
                <w:sz w:val="17"/>
                <w:szCs w:val="17"/>
              </w:rPr>
              <w:t>272</w:t>
            </w:r>
          </w:p>
        </w:tc>
        <w:tc>
          <w:tcPr>
            <w:tcW w:w="982" w:type="dxa"/>
            <w:shd w:val="clear" w:color="auto" w:fill="auto"/>
            <w:noWrap/>
            <w:vAlign w:val="center"/>
            <w:hideMark/>
          </w:tcPr>
          <w:p w:rsidR="004942E7" w:rsidRPr="001F5956" w:rsidRDefault="004942E7" w:rsidP="001F5956">
            <w:pPr>
              <w:spacing w:after="0" w:line="240" w:lineRule="auto"/>
              <w:jc w:val="center"/>
              <w:rPr>
                <w:rFonts w:ascii="Times New Roman" w:eastAsia="Times New Roman" w:hAnsi="Times New Roman"/>
                <w:bCs/>
                <w:sz w:val="17"/>
                <w:szCs w:val="17"/>
              </w:rPr>
            </w:pPr>
            <w:r w:rsidRPr="001F5956">
              <w:rPr>
                <w:rFonts w:ascii="Times New Roman" w:eastAsia="Times New Roman" w:hAnsi="Times New Roman"/>
                <w:bCs/>
                <w:sz w:val="17"/>
                <w:szCs w:val="17"/>
              </w:rPr>
              <w:t>100.00%</w:t>
            </w:r>
          </w:p>
        </w:tc>
        <w:tc>
          <w:tcPr>
            <w:tcW w:w="973" w:type="dxa"/>
            <w:vAlign w:val="center"/>
          </w:tcPr>
          <w:p w:rsidR="004942E7" w:rsidRPr="00C34885" w:rsidRDefault="004942E7" w:rsidP="001F5956">
            <w:pPr>
              <w:spacing w:after="0" w:line="240" w:lineRule="auto"/>
              <w:jc w:val="center"/>
              <w:rPr>
                <w:rFonts w:ascii="MS Sans Serif" w:eastAsia="Times New Roman" w:hAnsi="MS Sans Serif"/>
                <w:sz w:val="20"/>
                <w:szCs w:val="20"/>
              </w:rPr>
            </w:pPr>
          </w:p>
        </w:tc>
        <w:tc>
          <w:tcPr>
            <w:tcW w:w="1011" w:type="dxa"/>
            <w:shd w:val="clear" w:color="auto" w:fill="auto"/>
            <w:noWrap/>
            <w:vAlign w:val="bottom"/>
            <w:hideMark/>
          </w:tcPr>
          <w:p w:rsidR="004942E7" w:rsidRPr="00C34885" w:rsidRDefault="004942E7" w:rsidP="001F5956">
            <w:pPr>
              <w:spacing w:after="0" w:line="240" w:lineRule="auto"/>
              <w:jc w:val="center"/>
              <w:rPr>
                <w:rFonts w:ascii="MS Sans Serif" w:eastAsia="Times New Roman" w:hAnsi="MS Sans Serif"/>
                <w:sz w:val="20"/>
                <w:szCs w:val="20"/>
              </w:rPr>
            </w:pPr>
          </w:p>
        </w:tc>
        <w:tc>
          <w:tcPr>
            <w:tcW w:w="724" w:type="dxa"/>
            <w:vAlign w:val="bottom"/>
          </w:tcPr>
          <w:p w:rsidR="004942E7" w:rsidRPr="00C34885" w:rsidRDefault="004942E7" w:rsidP="001F5956">
            <w:pPr>
              <w:spacing w:after="0" w:line="240" w:lineRule="auto"/>
              <w:jc w:val="center"/>
              <w:rPr>
                <w:rFonts w:ascii="MS Sans Serif" w:eastAsia="Times New Roman" w:hAnsi="MS Sans Serif"/>
                <w:sz w:val="20"/>
                <w:szCs w:val="20"/>
              </w:rPr>
            </w:pPr>
          </w:p>
        </w:tc>
        <w:tc>
          <w:tcPr>
            <w:tcW w:w="726" w:type="dxa"/>
            <w:vAlign w:val="bottom"/>
          </w:tcPr>
          <w:p w:rsidR="004942E7" w:rsidRPr="00C34885" w:rsidRDefault="004942E7" w:rsidP="001F5956">
            <w:pPr>
              <w:spacing w:after="0" w:line="240" w:lineRule="auto"/>
              <w:jc w:val="center"/>
              <w:rPr>
                <w:rFonts w:ascii="MS Sans Serif" w:eastAsia="Times New Roman" w:hAnsi="MS Sans Serif"/>
                <w:sz w:val="20"/>
                <w:szCs w:val="20"/>
              </w:rPr>
            </w:pPr>
          </w:p>
        </w:tc>
        <w:tc>
          <w:tcPr>
            <w:tcW w:w="724" w:type="dxa"/>
            <w:gridSpan w:val="2"/>
            <w:vAlign w:val="bottom"/>
          </w:tcPr>
          <w:p w:rsidR="004942E7" w:rsidRPr="00C34885" w:rsidRDefault="004942E7" w:rsidP="001F5956">
            <w:pPr>
              <w:spacing w:after="0" w:line="240" w:lineRule="auto"/>
              <w:jc w:val="center"/>
              <w:rPr>
                <w:rFonts w:ascii="MS Sans Serif" w:eastAsia="Times New Roman" w:hAnsi="MS Sans Serif"/>
                <w:sz w:val="20"/>
                <w:szCs w:val="20"/>
              </w:rPr>
            </w:pPr>
          </w:p>
        </w:tc>
        <w:tc>
          <w:tcPr>
            <w:tcW w:w="705" w:type="dxa"/>
            <w:vAlign w:val="bottom"/>
          </w:tcPr>
          <w:p w:rsidR="004942E7" w:rsidRPr="00C34885" w:rsidRDefault="004942E7" w:rsidP="001F5956">
            <w:pPr>
              <w:spacing w:after="0" w:line="240" w:lineRule="auto"/>
              <w:jc w:val="center"/>
              <w:rPr>
                <w:rFonts w:ascii="MS Sans Serif" w:eastAsia="Times New Roman" w:hAnsi="MS Sans Serif"/>
                <w:sz w:val="20"/>
                <w:szCs w:val="20"/>
              </w:rPr>
            </w:pPr>
          </w:p>
        </w:tc>
      </w:tr>
    </w:tbl>
    <w:p w:rsidR="004942E7" w:rsidRDefault="004942E7" w:rsidP="004942E7">
      <w:pPr>
        <w:jc w:val="both"/>
      </w:pPr>
    </w:p>
    <w:p w:rsidR="004942E7" w:rsidRDefault="004942E7" w:rsidP="004942E7">
      <w:r>
        <w:br w:type="page"/>
      </w:r>
    </w:p>
    <w:p w:rsidR="004942E7" w:rsidRDefault="004942E7" w:rsidP="00FC3B15">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3: Regressions of firm dividend yield on compensation leverage and inside debt</w:t>
      </w:r>
    </w:p>
    <w:p w:rsidR="004942E7" w:rsidRDefault="004942E7" w:rsidP="004942E7">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 xml:space="preserve">The table shows pooled OLS regressions of a firm’s dividend yield on compensation leverage, inside debt, </w:t>
      </w:r>
      <w:r w:rsidR="00F43F1A">
        <w:rPr>
          <w:rFonts w:ascii="Times New Roman" w:eastAsia="Times New Roman" w:hAnsi="Times New Roman"/>
          <w:bCs/>
          <w:sz w:val="18"/>
          <w:szCs w:val="18"/>
        </w:rPr>
        <w:t xml:space="preserve">and </w:t>
      </w:r>
      <w:r>
        <w:rPr>
          <w:rFonts w:ascii="Times New Roman" w:eastAsia="Times New Roman" w:hAnsi="Times New Roman"/>
          <w:bCs/>
          <w:sz w:val="18"/>
          <w:szCs w:val="18"/>
        </w:rPr>
        <w:t xml:space="preserve">a set of control variables (as defined in Table 1). </w:t>
      </w:r>
      <w:r w:rsidR="00C6718E" w:rsidRPr="00C6718E">
        <w:rPr>
          <w:rFonts w:ascii="Times New Roman" w:eastAsia="Times New Roman" w:hAnsi="Times New Roman"/>
          <w:bCs/>
          <w:sz w:val="18"/>
          <w:szCs w:val="18"/>
        </w:rPr>
        <w:t xml:space="preserve">All dividend and pension measures </w:t>
      </w:r>
      <w:r w:rsidR="00C6718E">
        <w:rPr>
          <w:rFonts w:ascii="Times New Roman" w:eastAsia="Times New Roman" w:hAnsi="Times New Roman"/>
          <w:bCs/>
          <w:sz w:val="18"/>
          <w:szCs w:val="18"/>
        </w:rPr>
        <w:t xml:space="preserve">in this table and all other tables </w:t>
      </w:r>
      <w:r w:rsidR="00C6718E" w:rsidRPr="00C6718E">
        <w:rPr>
          <w:rFonts w:ascii="Times New Roman" w:eastAsia="Times New Roman" w:hAnsi="Times New Roman"/>
          <w:bCs/>
          <w:sz w:val="18"/>
          <w:szCs w:val="18"/>
        </w:rPr>
        <w:t>are adjusted to industry averages</w:t>
      </w:r>
      <w:r w:rsidR="00C6718E">
        <w:rPr>
          <w:rFonts w:ascii="Times New Roman" w:eastAsia="Times New Roman" w:hAnsi="Times New Roman"/>
          <w:bCs/>
          <w:sz w:val="18"/>
          <w:szCs w:val="18"/>
        </w:rPr>
        <w:t>.</w:t>
      </w:r>
      <w:r w:rsidR="00C6718E" w:rsidRPr="00C6718E">
        <w:rPr>
          <w:rFonts w:ascii="Times New Roman" w:eastAsia="Times New Roman" w:hAnsi="Times New Roman"/>
          <w:bCs/>
          <w:sz w:val="18"/>
          <w:szCs w:val="18"/>
        </w:rPr>
        <w:t xml:space="preserve"> </w:t>
      </w:r>
      <w:r w:rsidRPr="007736B5">
        <w:rPr>
          <w:rFonts w:ascii="Times New Roman" w:hAnsi="Times New Roman" w:cs="Times New Roman"/>
          <w:sz w:val="18"/>
          <w:szCs w:val="18"/>
        </w:rPr>
        <w:t>The sample represent</w:t>
      </w:r>
      <w:r>
        <w:rPr>
          <w:rFonts w:ascii="Times New Roman" w:hAnsi="Times New Roman" w:cs="Times New Roman"/>
          <w:sz w:val="18"/>
          <w:szCs w:val="18"/>
        </w:rPr>
        <w:t>s</w:t>
      </w:r>
      <w:r w:rsidRPr="007736B5">
        <w:rPr>
          <w:rFonts w:ascii="Times New Roman" w:hAnsi="Times New Roman" w:cs="Times New Roman"/>
          <w:sz w:val="18"/>
          <w:szCs w:val="18"/>
        </w:rPr>
        <w:t xml:space="preserve"> data on 272 firms over the period 2000-2009.</w:t>
      </w:r>
      <w:r>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Pr>
          <w:rFonts w:ascii="Times New Roman" w:hAnsi="Times New Roman" w:cs="Times New Roman"/>
          <w:sz w:val="18"/>
          <w:szCs w:val="18"/>
        </w:rPr>
        <w:t xml:space="preserve"> regression coefficients and </w:t>
      </w:r>
      <w:r w:rsidRPr="00773E03">
        <w:rPr>
          <w:rFonts w:ascii="Times New Roman" w:hAnsi="Times New Roman" w:cs="Times New Roman"/>
          <w:i/>
          <w:sz w:val="18"/>
          <w:szCs w:val="18"/>
        </w:rPr>
        <w:t>t</w:t>
      </w:r>
      <w:r>
        <w:rPr>
          <w:rFonts w:ascii="Times New Roman" w:hAnsi="Times New Roman" w:cs="Times New Roman"/>
          <w:sz w:val="18"/>
          <w:szCs w:val="18"/>
        </w:rPr>
        <w:t xml:space="preserve">-statistics, based on standard errors adjusted for </w:t>
      </w:r>
      <w:proofErr w:type="spellStart"/>
      <w:r>
        <w:rPr>
          <w:rFonts w:ascii="Times New Roman" w:hAnsi="Times New Roman" w:cs="Times New Roman"/>
          <w:sz w:val="18"/>
          <w:szCs w:val="18"/>
        </w:rPr>
        <w:t>heteroskedasticity</w:t>
      </w:r>
      <w:proofErr w:type="spellEnd"/>
      <w:r>
        <w:rPr>
          <w:rFonts w:ascii="Times New Roman" w:hAnsi="Times New Roman" w:cs="Times New Roman"/>
          <w:sz w:val="18"/>
          <w:szCs w:val="18"/>
        </w:rPr>
        <w:t xml:space="preserve"> and autocorr</w:t>
      </w:r>
      <w:r w:rsidR="00F43F1A">
        <w:rPr>
          <w:rFonts w:ascii="Times New Roman" w:hAnsi="Times New Roman" w:cs="Times New Roman"/>
          <w:sz w:val="18"/>
          <w:szCs w:val="18"/>
        </w:rPr>
        <w:t>elation following Rogers (1993), with year fixed effects.</w:t>
      </w:r>
      <w:r w:rsidR="00824FB6">
        <w:rPr>
          <w:rFonts w:ascii="Times New Roman" w:hAnsi="Times New Roman" w:cs="Times New Roman"/>
          <w:sz w:val="18"/>
          <w:szCs w:val="18"/>
        </w:rPr>
        <w:t xml:space="preserve"> *, **, *** indicate significance at the 0.1, 0.05, and 0.01 levels, respectively.</w:t>
      </w:r>
    </w:p>
    <w:p w:rsidR="007D0B85" w:rsidRDefault="007D0B85" w:rsidP="004942E7">
      <w:pPr>
        <w:spacing w:after="0" w:line="240" w:lineRule="auto"/>
        <w:jc w:val="both"/>
        <w:rPr>
          <w:rFonts w:ascii="Times New Roman" w:hAnsi="Times New Roman" w:cs="Times New Roman"/>
          <w:sz w:val="18"/>
          <w:szCs w:val="18"/>
        </w:rPr>
      </w:pPr>
    </w:p>
    <w:tbl>
      <w:tblPr>
        <w:tblW w:w="9562" w:type="dxa"/>
        <w:jc w:val="center"/>
        <w:tblLook w:val="04A0" w:firstRow="1" w:lastRow="0" w:firstColumn="1" w:lastColumn="0" w:noHBand="0" w:noVBand="1"/>
      </w:tblPr>
      <w:tblGrid>
        <w:gridCol w:w="2135"/>
        <w:gridCol w:w="1924"/>
        <w:gridCol w:w="15"/>
        <w:gridCol w:w="1692"/>
        <w:gridCol w:w="2012"/>
        <w:gridCol w:w="1800"/>
      </w:tblGrid>
      <w:tr w:rsidR="004942E7" w:rsidRPr="00C34885" w:rsidTr="000034CA">
        <w:trPr>
          <w:trHeight w:val="144"/>
          <w:jc w:val="center"/>
        </w:trPr>
        <w:tc>
          <w:tcPr>
            <w:tcW w:w="2119" w:type="dxa"/>
            <w:tcBorders>
              <w:top w:val="single" w:sz="4" w:space="0" w:color="auto"/>
              <w:left w:val="nil"/>
              <w:bottom w:val="nil"/>
              <w:right w:val="nil"/>
            </w:tcBorders>
            <w:shd w:val="clear" w:color="auto" w:fill="auto"/>
            <w:noWrap/>
            <w:vAlign w:val="bottom"/>
            <w:hideMark/>
          </w:tcPr>
          <w:p w:rsidR="004942E7" w:rsidRPr="00114204" w:rsidRDefault="004942E7" w:rsidP="00482839">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7443" w:type="dxa"/>
            <w:gridSpan w:val="5"/>
            <w:tcBorders>
              <w:top w:val="single" w:sz="4" w:space="0" w:color="auto"/>
              <w:left w:val="nil"/>
              <w:bottom w:val="nil"/>
              <w:right w:val="nil"/>
            </w:tcBorders>
            <w:shd w:val="clear" w:color="auto" w:fill="auto"/>
            <w:noWrap/>
            <w:vAlign w:val="bottom"/>
            <w:hideMark/>
          </w:tcPr>
          <w:p w:rsidR="004942E7" w:rsidRPr="00114204" w:rsidRDefault="004942E7" w:rsidP="00482839">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Dividend yield </w:t>
            </w:r>
          </w:p>
        </w:tc>
      </w:tr>
      <w:tr w:rsidR="004942E7" w:rsidRPr="00C34885" w:rsidTr="000034CA">
        <w:trPr>
          <w:trHeight w:val="144"/>
          <w:jc w:val="center"/>
        </w:trPr>
        <w:tc>
          <w:tcPr>
            <w:tcW w:w="2119" w:type="dxa"/>
            <w:tcBorders>
              <w:top w:val="nil"/>
              <w:left w:val="nil"/>
              <w:bottom w:val="single" w:sz="4" w:space="0" w:color="auto"/>
              <w:right w:val="nil"/>
            </w:tcBorders>
            <w:shd w:val="clear" w:color="auto" w:fill="auto"/>
            <w:noWrap/>
            <w:vAlign w:val="bottom"/>
          </w:tcPr>
          <w:p w:rsidR="004942E7" w:rsidRPr="00114204" w:rsidRDefault="004942E7" w:rsidP="00482839">
            <w:pPr>
              <w:spacing w:after="0" w:line="240" w:lineRule="auto"/>
              <w:rPr>
                <w:rFonts w:ascii="Times New Roman" w:eastAsia="Times New Roman" w:hAnsi="Times New Roman"/>
                <w:sz w:val="17"/>
                <w:szCs w:val="17"/>
              </w:rPr>
            </w:pPr>
          </w:p>
        </w:tc>
        <w:tc>
          <w:tcPr>
            <w:tcW w:w="3631" w:type="dxa"/>
            <w:gridSpan w:val="3"/>
            <w:tcBorders>
              <w:top w:val="nil"/>
              <w:left w:val="nil"/>
              <w:bottom w:val="single" w:sz="4" w:space="0" w:color="auto"/>
              <w:right w:val="nil"/>
            </w:tcBorders>
            <w:shd w:val="clear" w:color="auto" w:fill="auto"/>
            <w:noWrap/>
            <w:vAlign w:val="bottom"/>
          </w:tcPr>
          <w:p w:rsidR="004942E7" w:rsidRPr="00114204" w:rsidRDefault="004942E7" w:rsidP="00EA213D">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CEO</w:t>
            </w:r>
            <w:r w:rsidR="004F2482">
              <w:rPr>
                <w:rFonts w:ascii="Times New Roman" w:eastAsia="Times New Roman" w:hAnsi="Times New Roman"/>
                <w:sz w:val="17"/>
                <w:szCs w:val="17"/>
              </w:rPr>
              <w:t xml:space="preserve"> </w:t>
            </w:r>
            <w:r w:rsidR="00EA213D">
              <w:rPr>
                <w:rFonts w:ascii="Times New Roman" w:eastAsia="Times New Roman" w:hAnsi="Times New Roman"/>
                <w:sz w:val="17"/>
                <w:szCs w:val="17"/>
              </w:rPr>
              <w:t>only</w:t>
            </w:r>
          </w:p>
        </w:tc>
        <w:tc>
          <w:tcPr>
            <w:tcW w:w="3812" w:type="dxa"/>
            <w:gridSpan w:val="2"/>
            <w:tcBorders>
              <w:top w:val="nil"/>
              <w:left w:val="nil"/>
              <w:bottom w:val="single" w:sz="4" w:space="0" w:color="auto"/>
              <w:right w:val="nil"/>
            </w:tcBorders>
            <w:shd w:val="clear" w:color="auto" w:fill="auto"/>
            <w:noWrap/>
            <w:vAlign w:val="bottom"/>
          </w:tcPr>
          <w:p w:rsidR="004942E7" w:rsidRPr="00114204" w:rsidRDefault="00976338"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All executives</w:t>
            </w:r>
          </w:p>
        </w:tc>
      </w:tr>
      <w:tr w:rsidR="004942E7" w:rsidRPr="00C34885" w:rsidTr="000034CA">
        <w:trPr>
          <w:trHeight w:val="144"/>
          <w:jc w:val="center"/>
        </w:trPr>
        <w:tc>
          <w:tcPr>
            <w:tcW w:w="2119" w:type="dxa"/>
            <w:tcBorders>
              <w:top w:val="nil"/>
              <w:left w:val="nil"/>
              <w:bottom w:val="single" w:sz="4" w:space="0" w:color="auto"/>
              <w:right w:val="nil"/>
            </w:tcBorders>
            <w:shd w:val="clear" w:color="auto" w:fill="auto"/>
            <w:noWrap/>
            <w:vAlign w:val="bottom"/>
            <w:hideMark/>
          </w:tcPr>
          <w:p w:rsidR="004942E7" w:rsidRPr="00114204" w:rsidRDefault="004942E7" w:rsidP="00482839">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1924" w:type="dxa"/>
            <w:tcBorders>
              <w:top w:val="nil"/>
              <w:left w:val="nil"/>
              <w:bottom w:val="single" w:sz="4" w:space="0" w:color="auto"/>
              <w:right w:val="nil"/>
            </w:tcBorders>
            <w:shd w:val="clear" w:color="auto" w:fill="auto"/>
            <w:noWrap/>
            <w:vAlign w:val="bottom"/>
          </w:tcPr>
          <w:p w:rsidR="004942E7" w:rsidRPr="00114204" w:rsidRDefault="004942E7" w:rsidP="00482839">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Compensation leverage </w:t>
            </w:r>
          </w:p>
        </w:tc>
        <w:tc>
          <w:tcPr>
            <w:tcW w:w="1707" w:type="dxa"/>
            <w:gridSpan w:val="2"/>
            <w:tcBorders>
              <w:top w:val="nil"/>
              <w:left w:val="nil"/>
              <w:bottom w:val="single" w:sz="4" w:space="0" w:color="auto"/>
              <w:right w:val="nil"/>
            </w:tcBorders>
            <w:shd w:val="clear" w:color="auto" w:fill="auto"/>
            <w:noWrap/>
            <w:vAlign w:val="bottom"/>
            <w:hideMark/>
          </w:tcPr>
          <w:p w:rsidR="004942E7" w:rsidRPr="00114204" w:rsidRDefault="004942E7" w:rsidP="00482839">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c>
          <w:tcPr>
            <w:tcW w:w="2012" w:type="dxa"/>
            <w:tcBorders>
              <w:top w:val="nil"/>
              <w:left w:val="nil"/>
              <w:bottom w:val="single" w:sz="4" w:space="0" w:color="auto"/>
              <w:right w:val="nil"/>
            </w:tcBorders>
            <w:shd w:val="clear" w:color="auto" w:fill="auto"/>
            <w:noWrap/>
            <w:vAlign w:val="bottom"/>
          </w:tcPr>
          <w:p w:rsidR="004942E7" w:rsidRPr="00114204" w:rsidRDefault="004942E7" w:rsidP="00482839">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Compensation leverage</w:t>
            </w:r>
          </w:p>
        </w:tc>
        <w:tc>
          <w:tcPr>
            <w:tcW w:w="1800" w:type="dxa"/>
            <w:tcBorders>
              <w:top w:val="nil"/>
              <w:left w:val="nil"/>
              <w:bottom w:val="single" w:sz="4" w:space="0" w:color="auto"/>
              <w:right w:val="nil"/>
            </w:tcBorders>
            <w:shd w:val="clear" w:color="auto" w:fill="auto"/>
            <w:noWrap/>
            <w:vAlign w:val="bottom"/>
          </w:tcPr>
          <w:p w:rsidR="004942E7" w:rsidRPr="00114204" w:rsidRDefault="004942E7" w:rsidP="00482839">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4942E7" w:rsidRPr="00C34885" w:rsidTr="000034CA">
        <w:trPr>
          <w:trHeight w:hRule="exact" w:val="72"/>
          <w:jc w:val="center"/>
        </w:trPr>
        <w:tc>
          <w:tcPr>
            <w:tcW w:w="2119"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rPr>
                <w:rFonts w:ascii="Times New Roman" w:eastAsia="Times New Roman" w:hAnsi="Times New Roman"/>
                <w:i/>
                <w:iCs/>
                <w:color w:val="000000"/>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-3.1244***</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w:t>
            </w:r>
            <w:r w:rsidRPr="00C34885">
              <w:rPr>
                <w:rFonts w:ascii="Times New Roman" w:eastAsia="Times New Roman" w:hAnsi="Times New Roman"/>
                <w:sz w:val="17"/>
                <w:szCs w:val="17"/>
              </w:rPr>
              <w:t>3</w:t>
            </w:r>
            <w:r>
              <w:rPr>
                <w:rFonts w:ascii="Times New Roman" w:eastAsia="Times New Roman" w:hAnsi="Times New Roman"/>
                <w:sz w:val="17"/>
                <w:szCs w:val="17"/>
              </w:rPr>
              <w:t>.2055</w:t>
            </w:r>
            <w:r w:rsidRPr="00C34885">
              <w:rPr>
                <w:rFonts w:ascii="Times New Roman" w:eastAsia="Times New Roman" w:hAnsi="Times New Roman"/>
                <w:sz w:val="17"/>
                <w:szCs w:val="17"/>
              </w:rPr>
              <w:t>***</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(-7.28)</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-8.70</w:t>
            </w:r>
            <w:r w:rsidRPr="00C34885">
              <w:rPr>
                <w:rFonts w:ascii="Times New Roman" w:eastAsia="Times New Roman" w:hAnsi="Times New Roman"/>
                <w:sz w:val="17"/>
                <w:szCs w:val="17"/>
              </w:rPr>
              <w:t>)</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Pr="00C34885"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-0.0492*</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-0.0466</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(-2.09)</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-1.74)</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114204" w:rsidP="007E098A">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w:t>
            </w:r>
            <w:r w:rsidR="004942E7" w:rsidRPr="00C34885">
              <w:rPr>
                <w:rFonts w:ascii="Times New Roman" w:eastAsia="Times New Roman" w:hAnsi="Times New Roman"/>
                <w:sz w:val="17"/>
                <w:szCs w:val="17"/>
              </w:rPr>
              <w:t>al</w:t>
            </w:r>
            <w:r>
              <w:rPr>
                <w:rFonts w:ascii="Times New Roman" w:eastAsia="Times New Roman" w:hAnsi="Times New Roman"/>
                <w:sz w:val="17"/>
                <w:szCs w:val="17"/>
              </w:rPr>
              <w:t xml:space="preserve">ary and </w:t>
            </w:r>
            <w:r w:rsidR="004942E7" w:rsidRPr="00C34885">
              <w:rPr>
                <w:rFonts w:ascii="Times New Roman" w:eastAsia="Times New Roman" w:hAnsi="Times New Roman"/>
                <w:sz w:val="17"/>
                <w:szCs w:val="17"/>
              </w:rPr>
              <w:t>bonus</w:t>
            </w:r>
            <w:r>
              <w:rPr>
                <w:rFonts w:ascii="Times New Roman" w:eastAsia="Times New Roman" w:hAnsi="Times New Roman"/>
                <w:sz w:val="17"/>
                <w:szCs w:val="17"/>
              </w:rPr>
              <w:t>/</w:t>
            </w:r>
            <w:r w:rsidR="007E098A">
              <w:rPr>
                <w:rFonts w:ascii="Times New Roman" w:eastAsia="Times New Roman" w:hAnsi="Times New Roman"/>
                <w:sz w:val="17"/>
                <w:szCs w:val="17"/>
              </w:rPr>
              <w:t>a</w:t>
            </w:r>
            <w:r w:rsidR="004942E7" w:rsidRPr="00C34885">
              <w:rPr>
                <w:rFonts w:ascii="Times New Roman" w:eastAsia="Times New Roman" w:hAnsi="Times New Roman"/>
                <w:sz w:val="17"/>
                <w:szCs w:val="17"/>
              </w:rPr>
              <w:t>ssets</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0.0011</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0.0073***</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w:t>
            </w:r>
            <w:r w:rsidRPr="00C34885">
              <w:rPr>
                <w:rFonts w:ascii="Times New Roman" w:eastAsia="Times New Roman" w:hAnsi="Times New Roman"/>
                <w:sz w:val="17"/>
                <w:szCs w:val="17"/>
              </w:rPr>
              <w:t>000</w:t>
            </w:r>
            <w:r>
              <w:rPr>
                <w:rFonts w:ascii="Times New Roman" w:eastAsia="Times New Roman" w:hAnsi="Times New Roman"/>
                <w:sz w:val="17"/>
                <w:szCs w:val="17"/>
              </w:rPr>
              <w:t>5</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0.0063*</w:t>
            </w:r>
            <w:r w:rsidRPr="00C34885">
              <w:rPr>
                <w:rFonts w:ascii="Times New Roman" w:eastAsia="Times New Roman" w:hAnsi="Times New Roman"/>
                <w:sz w:val="17"/>
                <w:szCs w:val="17"/>
              </w:rPr>
              <w:t>*</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(1.47)</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(4.02)</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(0.40)</w:t>
            </w:r>
            <w:r w:rsidRPr="00C34885">
              <w:rPr>
                <w:rFonts w:ascii="Times New Roman" w:eastAsia="Times New Roman" w:hAnsi="Times New Roman"/>
                <w:sz w:val="17"/>
                <w:szCs w:val="17"/>
              </w:rPr>
              <w:t xml:space="preserve"> </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(2.54)</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114204" w:rsidP="007E098A">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004942E7" w:rsidRPr="00C34885">
              <w:rPr>
                <w:rFonts w:ascii="Times New Roman" w:eastAsia="Times New Roman" w:hAnsi="Times New Roman"/>
                <w:sz w:val="17"/>
                <w:szCs w:val="17"/>
              </w:rPr>
              <w:t>options</w:t>
            </w:r>
            <w:r>
              <w:rPr>
                <w:rFonts w:ascii="Times New Roman" w:eastAsia="Times New Roman" w:hAnsi="Times New Roman"/>
                <w:sz w:val="17"/>
                <w:szCs w:val="17"/>
              </w:rPr>
              <w:t>/</w:t>
            </w:r>
            <w:r w:rsidR="007E098A">
              <w:rPr>
                <w:rFonts w:ascii="Times New Roman" w:eastAsia="Times New Roman" w:hAnsi="Times New Roman"/>
                <w:sz w:val="17"/>
                <w:szCs w:val="17"/>
              </w:rPr>
              <w:t>a</w:t>
            </w:r>
            <w:r w:rsidR="004942E7" w:rsidRPr="00C34885">
              <w:rPr>
                <w:rFonts w:ascii="Times New Roman" w:eastAsia="Times New Roman" w:hAnsi="Times New Roman"/>
                <w:sz w:val="17"/>
                <w:szCs w:val="17"/>
              </w:rPr>
              <w:t>ssets</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0.0143*</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0.0190**</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0.0115</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0.01701</w:t>
            </w:r>
            <w:r w:rsidRPr="00C34885">
              <w:rPr>
                <w:rFonts w:ascii="Times New Roman" w:eastAsia="Times New Roman" w:hAnsi="Times New Roman"/>
                <w:sz w:val="17"/>
                <w:szCs w:val="17"/>
              </w:rPr>
              <w:t>**</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(2.23)</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(2.72)</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(1.70)</w:t>
            </w:r>
            <w:r w:rsidRPr="00C34885">
              <w:rPr>
                <w:rFonts w:ascii="Times New Roman" w:eastAsia="Times New Roman" w:hAnsi="Times New Roman"/>
                <w:sz w:val="17"/>
                <w:szCs w:val="17"/>
              </w:rPr>
              <w:t xml:space="preserve"> </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(2.48)</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114204" w:rsidP="00114204">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004942E7"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0.0592</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0.0703</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-0.1326</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-0.0444</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-0.79</w:t>
            </w:r>
            <w:r w:rsidRPr="00C34885">
              <w:rPr>
                <w:rFonts w:ascii="Times New Roman" w:eastAsia="Times New Roman" w:hAnsi="Times New Roman"/>
                <w:sz w:val="17"/>
                <w:szCs w:val="17"/>
              </w:rPr>
              <w:t>)</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-0.22</w:t>
            </w:r>
            <w:r w:rsidRPr="00C34885">
              <w:rPr>
                <w:rFonts w:ascii="Times New Roman" w:eastAsia="Times New Roman" w:hAnsi="Times New Roman"/>
                <w:sz w:val="17"/>
                <w:szCs w:val="17"/>
              </w:rPr>
              <w:t>)</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r>
      <w:tr w:rsidR="00A811A0"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A811A0" w:rsidRPr="00042AF2" w:rsidRDefault="00A811A0"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939" w:type="dxa"/>
            <w:gridSpan w:val="2"/>
            <w:tcBorders>
              <w:top w:val="nil"/>
              <w:left w:val="nil"/>
              <w:bottom w:val="nil"/>
              <w:right w:val="nil"/>
            </w:tcBorders>
            <w:shd w:val="clear" w:color="auto" w:fill="auto"/>
            <w:noWrap/>
            <w:vAlign w:val="bottom"/>
          </w:tcPr>
          <w:p w:rsidR="00A811A0" w:rsidRPr="00C34885" w:rsidRDefault="00A811A0"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692" w:type="dxa"/>
            <w:tcBorders>
              <w:top w:val="nil"/>
              <w:left w:val="nil"/>
              <w:bottom w:val="nil"/>
              <w:right w:val="nil"/>
            </w:tcBorders>
            <w:shd w:val="clear" w:color="auto" w:fill="auto"/>
            <w:noWrap/>
            <w:vAlign w:val="bottom"/>
            <w:hideMark/>
          </w:tcPr>
          <w:p w:rsidR="00A811A0" w:rsidRPr="00C34885" w:rsidRDefault="00A811A0"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2012" w:type="dxa"/>
            <w:tcBorders>
              <w:top w:val="nil"/>
              <w:left w:val="nil"/>
              <w:bottom w:val="nil"/>
              <w:right w:val="nil"/>
            </w:tcBorders>
            <w:shd w:val="clear" w:color="auto" w:fill="auto"/>
            <w:noWrap/>
            <w:vAlign w:val="bottom"/>
          </w:tcPr>
          <w:p w:rsidR="00A811A0" w:rsidRPr="00C34885" w:rsidRDefault="00A811A0"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800" w:type="dxa"/>
            <w:tcBorders>
              <w:top w:val="nil"/>
              <w:left w:val="nil"/>
              <w:bottom w:val="nil"/>
              <w:right w:val="nil"/>
            </w:tcBorders>
            <w:shd w:val="clear" w:color="auto" w:fill="auto"/>
            <w:noWrap/>
            <w:vAlign w:val="bottom"/>
          </w:tcPr>
          <w:p w:rsidR="00A811A0" w:rsidRPr="00C34885" w:rsidRDefault="00A811A0"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r>
      <w:tr w:rsidR="00A811A0"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A811A0" w:rsidRPr="00C34885" w:rsidRDefault="00A811A0" w:rsidP="00F609C2">
            <w:pPr>
              <w:spacing w:after="0" w:line="240" w:lineRule="auto"/>
              <w:jc w:val="center"/>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A811A0" w:rsidRPr="00C34885" w:rsidRDefault="00A811A0"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(0.29)</w:t>
            </w:r>
          </w:p>
        </w:tc>
        <w:tc>
          <w:tcPr>
            <w:tcW w:w="1692" w:type="dxa"/>
            <w:tcBorders>
              <w:top w:val="nil"/>
              <w:left w:val="nil"/>
              <w:bottom w:val="nil"/>
              <w:right w:val="nil"/>
            </w:tcBorders>
            <w:shd w:val="clear" w:color="auto" w:fill="auto"/>
            <w:noWrap/>
            <w:vAlign w:val="bottom"/>
            <w:hideMark/>
          </w:tcPr>
          <w:p w:rsidR="00A811A0" w:rsidRPr="00C34885" w:rsidRDefault="00A811A0"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(-0.55)</w:t>
            </w:r>
          </w:p>
        </w:tc>
        <w:tc>
          <w:tcPr>
            <w:tcW w:w="2012" w:type="dxa"/>
            <w:tcBorders>
              <w:top w:val="nil"/>
              <w:left w:val="nil"/>
              <w:bottom w:val="nil"/>
              <w:right w:val="nil"/>
            </w:tcBorders>
            <w:shd w:val="clear" w:color="auto" w:fill="auto"/>
            <w:noWrap/>
            <w:vAlign w:val="bottom"/>
          </w:tcPr>
          <w:p w:rsidR="00A811A0" w:rsidRPr="00C34885" w:rsidRDefault="00A811A0"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w:t>
            </w:r>
          </w:p>
        </w:tc>
        <w:tc>
          <w:tcPr>
            <w:tcW w:w="1800" w:type="dxa"/>
            <w:tcBorders>
              <w:top w:val="nil"/>
              <w:left w:val="nil"/>
              <w:bottom w:val="nil"/>
              <w:right w:val="nil"/>
            </w:tcBorders>
            <w:shd w:val="clear" w:color="auto" w:fill="auto"/>
            <w:noWrap/>
            <w:vAlign w:val="bottom"/>
          </w:tcPr>
          <w:p w:rsidR="00A811A0" w:rsidRPr="00C34885" w:rsidRDefault="00A811A0"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(-1.02)</w:t>
            </w:r>
          </w:p>
        </w:tc>
      </w:tr>
      <w:tr w:rsidR="00A811A0"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A811A0" w:rsidRDefault="00A811A0" w:rsidP="00482839">
            <w:pPr>
              <w:spacing w:after="0" w:line="240" w:lineRule="auto"/>
              <w:rPr>
                <w:rFonts w:ascii="Times New Roman" w:eastAsia="Times New Roman" w:hAnsi="Times New Roman"/>
                <w:color w:val="000000"/>
                <w:sz w:val="17"/>
                <w:szCs w:val="17"/>
              </w:rPr>
            </w:pPr>
          </w:p>
        </w:tc>
        <w:tc>
          <w:tcPr>
            <w:tcW w:w="1939" w:type="dxa"/>
            <w:gridSpan w:val="2"/>
            <w:tcBorders>
              <w:top w:val="nil"/>
              <w:left w:val="nil"/>
              <w:bottom w:val="nil"/>
              <w:right w:val="nil"/>
            </w:tcBorders>
            <w:shd w:val="clear" w:color="auto" w:fill="auto"/>
            <w:noWrap/>
            <w:vAlign w:val="bottom"/>
          </w:tcPr>
          <w:p w:rsidR="00A811A0" w:rsidRDefault="00A811A0"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A811A0" w:rsidRDefault="00A811A0"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A811A0" w:rsidRDefault="00A811A0"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A811A0" w:rsidRDefault="00A811A0"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CA6DF6" w:rsidP="007E098A">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w:t>
            </w:r>
            <w:r w:rsidR="004942E7" w:rsidRPr="00C34885">
              <w:rPr>
                <w:rFonts w:ascii="Times New Roman" w:eastAsia="Times New Roman" w:hAnsi="Times New Roman"/>
                <w:color w:val="000000"/>
                <w:sz w:val="17"/>
                <w:szCs w:val="17"/>
              </w:rPr>
              <w:t>ebt</w:t>
            </w:r>
            <w:r>
              <w:rPr>
                <w:rFonts w:ascii="Times New Roman" w:eastAsia="Times New Roman" w:hAnsi="Times New Roman"/>
                <w:color w:val="000000"/>
                <w:sz w:val="17"/>
                <w:szCs w:val="17"/>
              </w:rPr>
              <w:t>/</w:t>
            </w:r>
            <w:r w:rsidR="007E098A">
              <w:rPr>
                <w:rFonts w:ascii="Times New Roman" w:eastAsia="Times New Roman" w:hAnsi="Times New Roman"/>
                <w:color w:val="000000"/>
                <w:sz w:val="17"/>
                <w:szCs w:val="17"/>
              </w:rPr>
              <w:t>e</w:t>
            </w:r>
            <w:r w:rsidR="004942E7" w:rsidRPr="00C34885">
              <w:rPr>
                <w:rFonts w:ascii="Times New Roman" w:eastAsia="Times New Roman" w:hAnsi="Times New Roman"/>
                <w:color w:val="000000"/>
                <w:sz w:val="17"/>
                <w:szCs w:val="17"/>
              </w:rPr>
              <w:t>quity</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-0.0224***</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-0.0022**</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-0.2310</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-0.5281</w:t>
            </w:r>
            <w:r w:rsidRPr="00C34885">
              <w:rPr>
                <w:rFonts w:ascii="Times New Roman" w:eastAsia="Times New Roman" w:hAnsi="Times New Roman"/>
                <w:sz w:val="17"/>
                <w:szCs w:val="17"/>
              </w:rPr>
              <w:t>**</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(-4.23)</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(-2.51)</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-1.56</w:t>
            </w:r>
            <w:r w:rsidRPr="00C34885">
              <w:rPr>
                <w:rFonts w:ascii="Times New Roman" w:eastAsia="Times New Roman" w:hAnsi="Times New Roman"/>
                <w:sz w:val="17"/>
                <w:szCs w:val="17"/>
              </w:rPr>
              <w:t>)</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-2.88</w:t>
            </w:r>
            <w:r w:rsidRPr="00C34885">
              <w:rPr>
                <w:rFonts w:ascii="Times New Roman" w:eastAsia="Times New Roman" w:hAnsi="Times New Roman"/>
                <w:sz w:val="17"/>
                <w:szCs w:val="17"/>
              </w:rPr>
              <w:t>)</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r>
      <w:tr w:rsidR="007E098A"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Pr="00CF0E95" w:rsidRDefault="007E098A" w:rsidP="007E098A">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939" w:type="dxa"/>
            <w:gridSpan w:val="2"/>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c>
          <w:tcPr>
            <w:tcW w:w="1692" w:type="dxa"/>
            <w:tcBorders>
              <w:top w:val="nil"/>
              <w:left w:val="nil"/>
              <w:bottom w:val="nil"/>
              <w:right w:val="nil"/>
            </w:tcBorders>
            <w:shd w:val="clear" w:color="auto" w:fill="auto"/>
            <w:noWrap/>
            <w:vAlign w:val="bottom"/>
            <w:hideMark/>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2012"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-0.0005</w:t>
            </w:r>
          </w:p>
        </w:tc>
        <w:tc>
          <w:tcPr>
            <w:tcW w:w="1800"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-0.0004</w:t>
            </w:r>
          </w:p>
        </w:tc>
      </w:tr>
      <w:tr w:rsidR="007E098A"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Pr="00042AF2" w:rsidRDefault="007E098A" w:rsidP="00F609C2">
            <w:pPr>
              <w:spacing w:after="0" w:line="240" w:lineRule="auto"/>
              <w:rPr>
                <w:rFonts w:ascii="Times New Roman" w:eastAsia="Times New Roman" w:hAnsi="Times New Roman"/>
                <w:color w:val="000000"/>
                <w:sz w:val="17"/>
                <w:szCs w:val="17"/>
              </w:rPr>
            </w:pPr>
          </w:p>
        </w:tc>
        <w:tc>
          <w:tcPr>
            <w:tcW w:w="1939" w:type="dxa"/>
            <w:gridSpan w:val="2"/>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(-1.89)</w:t>
            </w:r>
          </w:p>
        </w:tc>
        <w:tc>
          <w:tcPr>
            <w:tcW w:w="1692" w:type="dxa"/>
            <w:tcBorders>
              <w:top w:val="nil"/>
              <w:left w:val="nil"/>
              <w:bottom w:val="nil"/>
              <w:right w:val="nil"/>
            </w:tcBorders>
            <w:shd w:val="clear" w:color="auto" w:fill="auto"/>
            <w:noWrap/>
            <w:vAlign w:val="bottom"/>
            <w:hideMark/>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(-1.84)</w:t>
            </w:r>
          </w:p>
        </w:tc>
        <w:tc>
          <w:tcPr>
            <w:tcW w:w="2012"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(-1.39)</w:t>
            </w:r>
          </w:p>
        </w:tc>
        <w:tc>
          <w:tcPr>
            <w:tcW w:w="1800"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(-1.65)</w:t>
            </w:r>
          </w:p>
        </w:tc>
      </w:tr>
      <w:tr w:rsidR="007E098A"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Default="007E098A" w:rsidP="00482839">
            <w:pPr>
              <w:spacing w:after="0" w:line="240" w:lineRule="auto"/>
              <w:rPr>
                <w:rFonts w:ascii="Times New Roman" w:eastAsia="Times New Roman" w:hAnsi="Times New Roman"/>
                <w:color w:val="000000"/>
                <w:sz w:val="17"/>
                <w:szCs w:val="17"/>
              </w:rPr>
            </w:pPr>
          </w:p>
        </w:tc>
        <w:tc>
          <w:tcPr>
            <w:tcW w:w="1939" w:type="dxa"/>
            <w:gridSpan w:val="2"/>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7E098A" w:rsidRDefault="007E098A"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r>
      <w:tr w:rsidR="007E098A"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Pr="00042AF2" w:rsidRDefault="007E098A" w:rsidP="007E098A">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939" w:type="dxa"/>
            <w:gridSpan w:val="2"/>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1692" w:type="dxa"/>
            <w:tcBorders>
              <w:top w:val="nil"/>
              <w:left w:val="nil"/>
              <w:bottom w:val="nil"/>
              <w:right w:val="nil"/>
            </w:tcBorders>
            <w:shd w:val="clear" w:color="auto" w:fill="auto"/>
            <w:noWrap/>
            <w:vAlign w:val="bottom"/>
            <w:hideMark/>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0.0007</w:t>
            </w:r>
          </w:p>
        </w:tc>
        <w:tc>
          <w:tcPr>
            <w:tcW w:w="2012"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800"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-0.0009</w:t>
            </w:r>
          </w:p>
        </w:tc>
      </w:tr>
      <w:tr w:rsidR="007E098A"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Pr="00042AF2" w:rsidRDefault="007E098A" w:rsidP="00F609C2">
            <w:pPr>
              <w:spacing w:after="0" w:line="240" w:lineRule="auto"/>
              <w:rPr>
                <w:rFonts w:ascii="Times New Roman" w:eastAsia="Times New Roman" w:hAnsi="Times New Roman"/>
                <w:color w:val="000000"/>
                <w:sz w:val="17"/>
                <w:szCs w:val="17"/>
              </w:rPr>
            </w:pPr>
          </w:p>
        </w:tc>
        <w:tc>
          <w:tcPr>
            <w:tcW w:w="1939" w:type="dxa"/>
            <w:gridSpan w:val="2"/>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(1.87)</w:t>
            </w:r>
          </w:p>
        </w:tc>
        <w:tc>
          <w:tcPr>
            <w:tcW w:w="1692" w:type="dxa"/>
            <w:tcBorders>
              <w:top w:val="nil"/>
              <w:left w:val="nil"/>
              <w:bottom w:val="nil"/>
              <w:right w:val="nil"/>
            </w:tcBorders>
            <w:shd w:val="clear" w:color="auto" w:fill="auto"/>
            <w:noWrap/>
            <w:vAlign w:val="bottom"/>
            <w:hideMark/>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(0.78)</w:t>
            </w:r>
          </w:p>
        </w:tc>
        <w:tc>
          <w:tcPr>
            <w:tcW w:w="2012"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(0.77)</w:t>
            </w:r>
          </w:p>
        </w:tc>
        <w:tc>
          <w:tcPr>
            <w:tcW w:w="1800"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(-0.07)</w:t>
            </w:r>
          </w:p>
        </w:tc>
      </w:tr>
      <w:tr w:rsidR="007E098A"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Default="007E098A" w:rsidP="00482839">
            <w:pPr>
              <w:spacing w:after="0" w:line="240" w:lineRule="auto"/>
              <w:rPr>
                <w:rFonts w:ascii="Times New Roman" w:eastAsia="Times New Roman" w:hAnsi="Times New Roman"/>
                <w:color w:val="000000"/>
                <w:sz w:val="17"/>
                <w:szCs w:val="17"/>
              </w:rPr>
            </w:pPr>
          </w:p>
        </w:tc>
        <w:tc>
          <w:tcPr>
            <w:tcW w:w="1939" w:type="dxa"/>
            <w:gridSpan w:val="2"/>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7E098A" w:rsidRDefault="007E098A"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A84317" w:rsidP="00482839">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Distance-to-</w:t>
            </w:r>
            <w:r w:rsidR="00CA6DF6">
              <w:rPr>
                <w:rFonts w:ascii="Times New Roman" w:eastAsia="Times New Roman" w:hAnsi="Times New Roman"/>
                <w:color w:val="000000"/>
                <w:sz w:val="17"/>
                <w:szCs w:val="17"/>
              </w:rPr>
              <w:t>default</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-0.2635***</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-0.2643***</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-0.2668</w:t>
            </w:r>
            <w:r w:rsidRPr="00C34885">
              <w:rPr>
                <w:rFonts w:ascii="Times New Roman" w:eastAsia="Times New Roman" w:hAnsi="Times New Roman"/>
                <w:sz w:val="17"/>
                <w:szCs w:val="17"/>
              </w:rPr>
              <w:t>***</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-0.2888</w:t>
            </w:r>
            <w:r w:rsidRPr="00C34885">
              <w:rPr>
                <w:rFonts w:ascii="Times New Roman" w:eastAsia="Times New Roman" w:hAnsi="Times New Roman"/>
                <w:sz w:val="17"/>
                <w:szCs w:val="17"/>
              </w:rPr>
              <w:t>***</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(-5.86)</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(-4.93)</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-8.00</w:t>
            </w:r>
            <w:r w:rsidRPr="00C34885">
              <w:rPr>
                <w:rFonts w:ascii="Times New Roman" w:eastAsia="Times New Roman" w:hAnsi="Times New Roman"/>
                <w:sz w:val="17"/>
                <w:szCs w:val="17"/>
              </w:rPr>
              <w:t>)</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-7.88</w:t>
            </w:r>
            <w:r w:rsidRPr="00C34885">
              <w:rPr>
                <w:rFonts w:ascii="Times New Roman" w:eastAsia="Times New Roman" w:hAnsi="Times New Roman"/>
                <w:sz w:val="17"/>
                <w:szCs w:val="17"/>
              </w:rPr>
              <w:t>)</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CA6DF6" w:rsidP="00482839">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Firm age</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-0.0021</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-0.0027</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-0.0018*</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-0.0021</w:t>
            </w:r>
            <w:r w:rsidRPr="00C34885">
              <w:rPr>
                <w:rFonts w:ascii="Times New Roman" w:eastAsia="Times New Roman" w:hAnsi="Times New Roman"/>
                <w:sz w:val="17"/>
                <w:szCs w:val="17"/>
              </w:rPr>
              <w:t>*</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(-1.75)</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(-1.81)</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-2.07</w:t>
            </w:r>
            <w:r w:rsidRPr="00C34885">
              <w:rPr>
                <w:rFonts w:ascii="Times New Roman" w:eastAsia="Times New Roman" w:hAnsi="Times New Roman"/>
                <w:sz w:val="17"/>
                <w:szCs w:val="17"/>
              </w:rPr>
              <w:t>)</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-1.94</w:t>
            </w:r>
            <w:r w:rsidRPr="00C34885">
              <w:rPr>
                <w:rFonts w:ascii="Times New Roman" w:eastAsia="Times New Roman" w:hAnsi="Times New Roman"/>
                <w:sz w:val="17"/>
                <w:szCs w:val="17"/>
              </w:rPr>
              <w:t>)</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r>
      <w:tr w:rsidR="007E098A"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Pr="00042AF2" w:rsidRDefault="007E098A"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939" w:type="dxa"/>
            <w:gridSpan w:val="2"/>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0.5143*</w:t>
            </w:r>
          </w:p>
        </w:tc>
        <w:tc>
          <w:tcPr>
            <w:tcW w:w="1692" w:type="dxa"/>
            <w:tcBorders>
              <w:top w:val="nil"/>
              <w:left w:val="nil"/>
              <w:bottom w:val="nil"/>
              <w:right w:val="nil"/>
            </w:tcBorders>
            <w:shd w:val="clear" w:color="auto" w:fill="auto"/>
            <w:noWrap/>
            <w:vAlign w:val="bottom"/>
            <w:hideMark/>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0.7136*</w:t>
            </w:r>
          </w:p>
        </w:tc>
        <w:tc>
          <w:tcPr>
            <w:tcW w:w="2012"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0.5696***</w:t>
            </w:r>
          </w:p>
        </w:tc>
        <w:tc>
          <w:tcPr>
            <w:tcW w:w="1800"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0.7694***</w:t>
            </w:r>
          </w:p>
        </w:tc>
      </w:tr>
      <w:tr w:rsidR="007E098A"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Pr="00042AF2" w:rsidRDefault="007E098A" w:rsidP="00F609C2">
            <w:pPr>
              <w:spacing w:after="0" w:line="240" w:lineRule="auto"/>
              <w:rPr>
                <w:rFonts w:ascii="Times New Roman" w:eastAsia="Times New Roman" w:hAnsi="Times New Roman"/>
                <w:color w:val="000000"/>
                <w:sz w:val="17"/>
                <w:szCs w:val="17"/>
              </w:rPr>
            </w:pPr>
          </w:p>
        </w:tc>
        <w:tc>
          <w:tcPr>
            <w:tcW w:w="1939" w:type="dxa"/>
            <w:gridSpan w:val="2"/>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(1.98)</w:t>
            </w:r>
          </w:p>
        </w:tc>
        <w:tc>
          <w:tcPr>
            <w:tcW w:w="1692" w:type="dxa"/>
            <w:tcBorders>
              <w:top w:val="nil"/>
              <w:left w:val="nil"/>
              <w:bottom w:val="nil"/>
              <w:right w:val="nil"/>
            </w:tcBorders>
            <w:shd w:val="clear" w:color="auto" w:fill="auto"/>
            <w:noWrap/>
            <w:vAlign w:val="bottom"/>
            <w:hideMark/>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(1.92)</w:t>
            </w:r>
          </w:p>
        </w:tc>
        <w:tc>
          <w:tcPr>
            <w:tcW w:w="2012"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(3.81)</w:t>
            </w:r>
          </w:p>
        </w:tc>
        <w:tc>
          <w:tcPr>
            <w:tcW w:w="1800" w:type="dxa"/>
            <w:tcBorders>
              <w:top w:val="nil"/>
              <w:left w:val="nil"/>
              <w:bottom w:val="nil"/>
              <w:right w:val="nil"/>
            </w:tcBorders>
            <w:shd w:val="clear" w:color="auto" w:fill="auto"/>
            <w:noWrap/>
            <w:vAlign w:val="bottom"/>
          </w:tcPr>
          <w:p w:rsidR="007E098A" w:rsidRPr="00C34885" w:rsidRDefault="007E098A"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(4.00)</w:t>
            </w:r>
          </w:p>
        </w:tc>
      </w:tr>
      <w:tr w:rsidR="007E098A"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7E098A" w:rsidRDefault="007E098A" w:rsidP="00482839">
            <w:pPr>
              <w:spacing w:after="0" w:line="240" w:lineRule="auto"/>
              <w:rPr>
                <w:rFonts w:ascii="Times New Roman" w:eastAsia="Times New Roman" w:hAnsi="Times New Roman"/>
                <w:color w:val="000000"/>
                <w:sz w:val="17"/>
                <w:szCs w:val="17"/>
              </w:rPr>
            </w:pPr>
          </w:p>
        </w:tc>
        <w:tc>
          <w:tcPr>
            <w:tcW w:w="1939" w:type="dxa"/>
            <w:gridSpan w:val="2"/>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7E098A" w:rsidRDefault="007E098A"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7E098A" w:rsidRDefault="007E098A"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CA6DF6" w:rsidP="00482839">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w:t>
            </w:r>
            <w:r w:rsidR="004942E7" w:rsidRPr="00C34885">
              <w:rPr>
                <w:rFonts w:ascii="Times New Roman" w:eastAsia="Times New Roman" w:hAnsi="Times New Roman"/>
                <w:color w:val="000000"/>
                <w:sz w:val="17"/>
                <w:szCs w:val="17"/>
              </w:rPr>
              <w:t>iq</w:t>
            </w:r>
            <w:r>
              <w:rPr>
                <w:rFonts w:ascii="Times New Roman" w:eastAsia="Times New Roman" w:hAnsi="Times New Roman"/>
                <w:color w:val="000000"/>
                <w:sz w:val="17"/>
                <w:szCs w:val="17"/>
              </w:rPr>
              <w:t>uidity c</w:t>
            </w:r>
            <w:r w:rsidR="004942E7" w:rsidRPr="00C34885">
              <w:rPr>
                <w:rFonts w:ascii="Times New Roman" w:eastAsia="Times New Roman" w:hAnsi="Times New Roman"/>
                <w:color w:val="000000"/>
                <w:sz w:val="17"/>
                <w:szCs w:val="17"/>
              </w:rPr>
              <w:t>ons</w:t>
            </w:r>
            <w:r>
              <w:rPr>
                <w:rFonts w:ascii="Times New Roman" w:eastAsia="Times New Roman" w:hAnsi="Times New Roman"/>
                <w:color w:val="000000"/>
                <w:sz w:val="17"/>
                <w:szCs w:val="17"/>
              </w:rPr>
              <w:t>traint</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0.8210***</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-0.4531**</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0.8040</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0.2639</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(3.71)</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(3.05)</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(1.79)</w:t>
            </w:r>
            <w:r w:rsidRPr="00C34885">
              <w:rPr>
                <w:rFonts w:ascii="Times New Roman" w:eastAsia="Times New Roman" w:hAnsi="Times New Roman"/>
                <w:sz w:val="17"/>
                <w:szCs w:val="17"/>
              </w:rPr>
              <w:t xml:space="preserve"> </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(0.51)</w:t>
            </w:r>
            <w:r w:rsidRPr="00C34885">
              <w:rPr>
                <w:rFonts w:ascii="Times New Roman" w:eastAsia="Times New Roman" w:hAnsi="Times New Roman"/>
                <w:sz w:val="17"/>
                <w:szCs w:val="17"/>
              </w:rPr>
              <w:t xml:space="preserve"> </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CA6DF6" w:rsidP="00482839">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sidR="004942E7" w:rsidRPr="00C34885">
              <w:rPr>
                <w:rFonts w:ascii="Times New Roman" w:eastAsia="Times New Roman" w:hAnsi="Times New Roman"/>
                <w:color w:val="000000"/>
                <w:sz w:val="17"/>
                <w:szCs w:val="17"/>
              </w:rPr>
              <w:t>ax</w:t>
            </w:r>
            <w:r>
              <w:rPr>
                <w:rFonts w:ascii="Times New Roman" w:eastAsia="Times New Roman" w:hAnsi="Times New Roman"/>
                <w:color w:val="000000"/>
                <w:sz w:val="17"/>
                <w:szCs w:val="17"/>
              </w:rPr>
              <w:t xml:space="preserve"> loss</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0.0201</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0.1799</w:t>
            </w:r>
            <w:r w:rsidRPr="00C34885">
              <w:rPr>
                <w:rFonts w:ascii="Times New Roman" w:eastAsia="Times New Roman" w:hAnsi="Times New Roman"/>
                <w:sz w:val="17"/>
                <w:szCs w:val="17"/>
              </w:rPr>
              <w:t>**</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0.2066</w:t>
            </w:r>
            <w:r w:rsidRPr="00C34885">
              <w:rPr>
                <w:rFonts w:ascii="Times New Roman" w:eastAsia="Times New Roman" w:hAnsi="Times New Roman"/>
                <w:sz w:val="17"/>
                <w:szCs w:val="17"/>
              </w:rPr>
              <w:t>**</w:t>
            </w: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(0.53)</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(2.30)</w:t>
            </w:r>
            <w:r w:rsidRPr="00C34885">
              <w:rPr>
                <w:rFonts w:ascii="Times New Roman" w:eastAsia="Times New Roman" w:hAnsi="Times New Roman"/>
                <w:sz w:val="17"/>
                <w:szCs w:val="17"/>
              </w:rPr>
              <w:t xml:space="preserve"> </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(2.54)</w:t>
            </w:r>
            <w:r w:rsidRPr="00C34885">
              <w:rPr>
                <w:rFonts w:ascii="Times New Roman" w:eastAsia="Times New Roman" w:hAnsi="Times New Roman"/>
                <w:sz w:val="17"/>
                <w:szCs w:val="17"/>
              </w:rPr>
              <w:t xml:space="preserve"> </w:t>
            </w:r>
          </w:p>
        </w:tc>
      </w:tr>
      <w:tr w:rsidR="00CA6DF6"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r>
      <w:tr w:rsidR="004942E7" w:rsidRPr="00C34885" w:rsidTr="000034CA">
        <w:trPr>
          <w:trHeight w:hRule="exact" w:val="72"/>
          <w:jc w:val="center"/>
        </w:trPr>
        <w:tc>
          <w:tcPr>
            <w:tcW w:w="2119" w:type="dxa"/>
            <w:tcBorders>
              <w:top w:val="nil"/>
              <w:left w:val="nil"/>
              <w:bottom w:val="nil"/>
              <w:right w:val="nil"/>
            </w:tcBorders>
            <w:shd w:val="clear" w:color="auto" w:fill="auto"/>
            <w:noWrap/>
            <w:tcMar>
              <w:left w:w="0" w:type="dxa"/>
              <w:right w:w="0" w:type="dxa"/>
            </w:tcMar>
            <w:vAlign w:val="bottom"/>
          </w:tcPr>
          <w:p w:rsidR="004942E7" w:rsidRPr="00C34885" w:rsidRDefault="004942E7"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nil"/>
              <w:right w:val="nil"/>
            </w:tcBorders>
            <w:shd w:val="clear" w:color="auto" w:fill="auto"/>
            <w:noWrap/>
            <w:vAlign w:val="bottom"/>
          </w:tcPr>
          <w:p w:rsidR="004942E7" w:rsidRDefault="004942E7"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nil"/>
              <w:right w:val="nil"/>
            </w:tcBorders>
            <w:shd w:val="clear" w:color="auto" w:fill="auto"/>
            <w:noWrap/>
            <w:vAlign w:val="bottom"/>
          </w:tcPr>
          <w:p w:rsidR="004942E7" w:rsidRDefault="004942E7"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p>
        </w:tc>
      </w:tr>
      <w:tr w:rsidR="004942E7" w:rsidRPr="00C34885" w:rsidTr="000034CA">
        <w:trPr>
          <w:trHeight w:val="144"/>
          <w:jc w:val="center"/>
        </w:trPr>
        <w:tc>
          <w:tcPr>
            <w:tcW w:w="2119" w:type="dxa"/>
            <w:tcBorders>
              <w:top w:val="nil"/>
              <w:left w:val="nil"/>
              <w:bottom w:val="nil"/>
              <w:right w:val="nil"/>
            </w:tcBorders>
            <w:shd w:val="clear" w:color="auto" w:fill="auto"/>
            <w:noWrap/>
            <w:tcMar>
              <w:left w:w="0" w:type="dxa"/>
              <w:right w:w="0" w:type="dxa"/>
            </w:tcMar>
            <w:vAlign w:val="bottom"/>
            <w:hideMark/>
          </w:tcPr>
          <w:p w:rsidR="004942E7" w:rsidRPr="00C34885" w:rsidRDefault="00575A5A" w:rsidP="00482839">
            <w:pPr>
              <w:spacing w:after="0" w:line="240" w:lineRule="auto"/>
              <w:rPr>
                <w:rFonts w:ascii="Times New Roman" w:eastAsia="Times New Roman" w:hAnsi="Times New Roman"/>
                <w:sz w:val="17"/>
                <w:szCs w:val="17"/>
              </w:rPr>
            </w:pPr>
            <w:r>
              <w:rPr>
                <w:rFonts w:ascii="Times New Roman" w:eastAsia="Times New Roman" w:hAnsi="Times New Roman"/>
                <w:sz w:val="17"/>
                <w:szCs w:val="17"/>
              </w:rPr>
              <w:t>R-</w:t>
            </w:r>
            <w:r w:rsidR="004942E7" w:rsidRPr="00C34885">
              <w:rPr>
                <w:rFonts w:ascii="Times New Roman" w:eastAsia="Times New Roman" w:hAnsi="Times New Roman"/>
                <w:sz w:val="17"/>
                <w:szCs w:val="17"/>
              </w:rPr>
              <w:t>Squared</w:t>
            </w:r>
          </w:p>
        </w:tc>
        <w:tc>
          <w:tcPr>
            <w:tcW w:w="1939" w:type="dxa"/>
            <w:gridSpan w:val="2"/>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0.2168</w:t>
            </w:r>
          </w:p>
        </w:tc>
        <w:tc>
          <w:tcPr>
            <w:tcW w:w="1692" w:type="dxa"/>
            <w:tcBorders>
              <w:top w:val="nil"/>
              <w:left w:val="nil"/>
              <w:bottom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0.1284</w:t>
            </w:r>
          </w:p>
        </w:tc>
        <w:tc>
          <w:tcPr>
            <w:tcW w:w="2012"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0.2</w:t>
            </w:r>
            <w:r>
              <w:rPr>
                <w:rFonts w:ascii="Times New Roman" w:eastAsia="Times New Roman" w:hAnsi="Times New Roman"/>
                <w:sz w:val="17"/>
                <w:szCs w:val="17"/>
              </w:rPr>
              <w:t>540</w:t>
            </w:r>
          </w:p>
        </w:tc>
        <w:tc>
          <w:tcPr>
            <w:tcW w:w="1800" w:type="dxa"/>
            <w:tcBorders>
              <w:top w:val="nil"/>
              <w:left w:val="nil"/>
              <w:bottom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0.1</w:t>
            </w:r>
            <w:r>
              <w:rPr>
                <w:rFonts w:ascii="Times New Roman" w:eastAsia="Times New Roman" w:hAnsi="Times New Roman"/>
                <w:sz w:val="17"/>
                <w:szCs w:val="17"/>
              </w:rPr>
              <w:t>649</w:t>
            </w:r>
          </w:p>
        </w:tc>
      </w:tr>
      <w:tr w:rsidR="004942E7" w:rsidRPr="00C34885" w:rsidTr="000034CA">
        <w:trPr>
          <w:trHeight w:val="144"/>
          <w:jc w:val="center"/>
        </w:trPr>
        <w:tc>
          <w:tcPr>
            <w:tcW w:w="2119" w:type="dxa"/>
            <w:tcBorders>
              <w:top w:val="nil"/>
              <w:left w:val="nil"/>
              <w:right w:val="nil"/>
            </w:tcBorders>
            <w:shd w:val="clear" w:color="auto" w:fill="auto"/>
            <w:noWrap/>
            <w:tcMar>
              <w:left w:w="0" w:type="dxa"/>
              <w:right w:w="0" w:type="dxa"/>
            </w:tcMar>
            <w:vAlign w:val="bottom"/>
            <w:hideMark/>
          </w:tcPr>
          <w:p w:rsidR="004942E7" w:rsidRPr="00C34885" w:rsidRDefault="004942E7" w:rsidP="00482839">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Observations</w:t>
            </w:r>
          </w:p>
        </w:tc>
        <w:tc>
          <w:tcPr>
            <w:tcW w:w="1939" w:type="dxa"/>
            <w:gridSpan w:val="2"/>
            <w:tcBorders>
              <w:top w:val="nil"/>
              <w:left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611</w:t>
            </w:r>
          </w:p>
        </w:tc>
        <w:tc>
          <w:tcPr>
            <w:tcW w:w="1692" w:type="dxa"/>
            <w:tcBorders>
              <w:top w:val="nil"/>
              <w:left w:val="nil"/>
              <w:right w:val="nil"/>
            </w:tcBorders>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518</w:t>
            </w:r>
          </w:p>
        </w:tc>
        <w:tc>
          <w:tcPr>
            <w:tcW w:w="2012" w:type="dxa"/>
            <w:tcBorders>
              <w:top w:val="nil"/>
              <w:left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1</w:t>
            </w:r>
            <w:r w:rsidR="000034CA">
              <w:rPr>
                <w:rFonts w:ascii="Times New Roman" w:eastAsia="Times New Roman" w:hAnsi="Times New Roman"/>
                <w:sz w:val="17"/>
                <w:szCs w:val="17"/>
              </w:rPr>
              <w:t>,</w:t>
            </w:r>
            <w:r w:rsidRPr="00C34885">
              <w:rPr>
                <w:rFonts w:ascii="Times New Roman" w:eastAsia="Times New Roman" w:hAnsi="Times New Roman"/>
                <w:sz w:val="17"/>
                <w:szCs w:val="17"/>
              </w:rPr>
              <w:t>5</w:t>
            </w:r>
            <w:r>
              <w:rPr>
                <w:rFonts w:ascii="Times New Roman" w:eastAsia="Times New Roman" w:hAnsi="Times New Roman"/>
                <w:sz w:val="17"/>
                <w:szCs w:val="17"/>
              </w:rPr>
              <w:t>35</w:t>
            </w:r>
          </w:p>
        </w:tc>
        <w:tc>
          <w:tcPr>
            <w:tcW w:w="1800" w:type="dxa"/>
            <w:tcBorders>
              <w:top w:val="nil"/>
              <w:left w:val="nil"/>
              <w:right w:val="nil"/>
            </w:tcBorders>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448</w:t>
            </w:r>
          </w:p>
        </w:tc>
      </w:tr>
      <w:tr w:rsidR="00CA6DF6" w:rsidRPr="00C34885" w:rsidTr="000034CA">
        <w:trPr>
          <w:trHeight w:hRule="exact" w:val="72"/>
          <w:jc w:val="center"/>
        </w:trPr>
        <w:tc>
          <w:tcPr>
            <w:tcW w:w="2119" w:type="dxa"/>
            <w:tcBorders>
              <w:top w:val="nil"/>
              <w:left w:val="nil"/>
              <w:bottom w:val="single" w:sz="4" w:space="0" w:color="auto"/>
              <w:right w:val="nil"/>
            </w:tcBorders>
            <w:shd w:val="clear" w:color="auto" w:fill="auto"/>
            <w:noWrap/>
            <w:tcMar>
              <w:left w:w="0" w:type="dxa"/>
              <w:right w:w="0" w:type="dxa"/>
            </w:tcMar>
            <w:vAlign w:val="bottom"/>
            <w:hideMark/>
          </w:tcPr>
          <w:p w:rsidR="00CA6DF6" w:rsidRPr="00C34885" w:rsidRDefault="00CA6DF6" w:rsidP="00482839">
            <w:pPr>
              <w:spacing w:after="0" w:line="240" w:lineRule="auto"/>
              <w:rPr>
                <w:rFonts w:ascii="Times New Roman" w:eastAsia="Times New Roman" w:hAnsi="Times New Roman"/>
                <w:sz w:val="17"/>
                <w:szCs w:val="17"/>
              </w:rPr>
            </w:pPr>
          </w:p>
        </w:tc>
        <w:tc>
          <w:tcPr>
            <w:tcW w:w="1939" w:type="dxa"/>
            <w:gridSpan w:val="2"/>
            <w:tcBorders>
              <w:top w:val="nil"/>
              <w:left w:val="nil"/>
              <w:bottom w:val="single" w:sz="4" w:space="0" w:color="auto"/>
              <w:right w:val="nil"/>
            </w:tcBorders>
            <w:shd w:val="clear" w:color="auto" w:fill="auto"/>
            <w:noWrap/>
            <w:vAlign w:val="bottom"/>
          </w:tcPr>
          <w:p w:rsidR="00CA6DF6" w:rsidRDefault="00CA6DF6" w:rsidP="00482839">
            <w:pPr>
              <w:spacing w:after="0" w:line="240" w:lineRule="auto"/>
              <w:jc w:val="center"/>
              <w:rPr>
                <w:rFonts w:ascii="Times New Roman" w:eastAsia="Times New Roman" w:hAnsi="Times New Roman"/>
                <w:sz w:val="17"/>
                <w:szCs w:val="17"/>
              </w:rPr>
            </w:pPr>
          </w:p>
        </w:tc>
        <w:tc>
          <w:tcPr>
            <w:tcW w:w="1692" w:type="dxa"/>
            <w:tcBorders>
              <w:top w:val="nil"/>
              <w:left w:val="nil"/>
              <w:bottom w:val="single" w:sz="4" w:space="0" w:color="auto"/>
              <w:right w:val="nil"/>
            </w:tcBorders>
            <w:shd w:val="clear" w:color="auto" w:fill="auto"/>
            <w:noWrap/>
            <w:vAlign w:val="bottom"/>
            <w:hideMark/>
          </w:tcPr>
          <w:p w:rsidR="00CA6DF6" w:rsidRDefault="00CA6DF6" w:rsidP="00482839">
            <w:pPr>
              <w:spacing w:after="0" w:line="240" w:lineRule="auto"/>
              <w:jc w:val="center"/>
              <w:rPr>
                <w:rFonts w:ascii="Times New Roman" w:eastAsia="Times New Roman" w:hAnsi="Times New Roman"/>
                <w:sz w:val="17"/>
                <w:szCs w:val="17"/>
              </w:rPr>
            </w:pPr>
          </w:p>
        </w:tc>
        <w:tc>
          <w:tcPr>
            <w:tcW w:w="2012" w:type="dxa"/>
            <w:tcBorders>
              <w:top w:val="nil"/>
              <w:left w:val="nil"/>
              <w:bottom w:val="single" w:sz="4" w:space="0" w:color="auto"/>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c>
          <w:tcPr>
            <w:tcW w:w="1800" w:type="dxa"/>
            <w:tcBorders>
              <w:top w:val="nil"/>
              <w:left w:val="nil"/>
              <w:bottom w:val="single" w:sz="4" w:space="0" w:color="auto"/>
              <w:right w:val="nil"/>
            </w:tcBorders>
            <w:shd w:val="clear" w:color="auto" w:fill="auto"/>
            <w:noWrap/>
            <w:vAlign w:val="bottom"/>
          </w:tcPr>
          <w:p w:rsidR="00CA6DF6" w:rsidRPr="00C34885" w:rsidRDefault="00CA6DF6" w:rsidP="00482839">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pPr>
    </w:p>
    <w:p w:rsidR="004942E7" w:rsidRDefault="004942E7" w:rsidP="004942E7">
      <w:r>
        <w:br w:type="page"/>
      </w:r>
    </w:p>
    <w:p w:rsidR="004942E7" w:rsidRDefault="004942E7" w:rsidP="004942E7">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4: 2SLS regressions of firm dividend yield on compensation leverage and inside debt</w:t>
      </w:r>
    </w:p>
    <w:p w:rsidR="00E24DDD" w:rsidRDefault="004942E7" w:rsidP="00E24DDD">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The table replicate</w:t>
      </w:r>
      <w:r w:rsidR="00FC3B15">
        <w:rPr>
          <w:rFonts w:ascii="Times New Roman" w:eastAsia="Times New Roman" w:hAnsi="Times New Roman"/>
          <w:bCs/>
          <w:sz w:val="18"/>
          <w:szCs w:val="18"/>
        </w:rPr>
        <w:t>s</w:t>
      </w:r>
      <w:r>
        <w:rPr>
          <w:rFonts w:ascii="Times New Roman" w:eastAsia="Times New Roman" w:hAnsi="Times New Roman"/>
          <w:bCs/>
          <w:sz w:val="18"/>
          <w:szCs w:val="18"/>
        </w:rPr>
        <w:t xml:space="preserve"> the results in Table 3 using a 2SLS procedure with two instrumental variables for the pension measures: executive age and the multiplier factor, ‘M’.</w:t>
      </w:r>
      <w:r w:rsidR="00E24DDD">
        <w:rPr>
          <w:rFonts w:ascii="Times New Roman" w:eastAsia="Times New Roman" w:hAnsi="Times New Roman"/>
          <w:bCs/>
          <w:sz w:val="18"/>
          <w:szCs w:val="18"/>
        </w:rPr>
        <w:t xml:space="preserve"> </w:t>
      </w:r>
      <w:r w:rsidR="00E24DDD">
        <w:rPr>
          <w:rFonts w:ascii="Times New Roman" w:hAnsi="Times New Roman" w:cs="Times New Roman"/>
          <w:sz w:val="18"/>
          <w:szCs w:val="18"/>
        </w:rPr>
        <w:t>*, **, *** indicate significance at the 0.1, 0.05, and 0.01 levels, respectively.</w:t>
      </w:r>
    </w:p>
    <w:p w:rsidR="004942E7" w:rsidRDefault="004942E7" w:rsidP="004942E7">
      <w:pPr>
        <w:spacing w:after="0" w:line="240" w:lineRule="auto"/>
        <w:jc w:val="both"/>
        <w:rPr>
          <w:rFonts w:ascii="Times New Roman" w:eastAsia="Times New Roman" w:hAnsi="Times New Roman"/>
          <w:bCs/>
          <w:sz w:val="18"/>
          <w:szCs w:val="18"/>
        </w:rPr>
      </w:pPr>
    </w:p>
    <w:tbl>
      <w:tblPr>
        <w:tblW w:w="9592" w:type="dxa"/>
        <w:jc w:val="center"/>
        <w:tblLook w:val="04A0" w:firstRow="1" w:lastRow="0" w:firstColumn="1" w:lastColumn="0" w:noHBand="0" w:noVBand="1"/>
      </w:tblPr>
      <w:tblGrid>
        <w:gridCol w:w="2322"/>
        <w:gridCol w:w="1884"/>
        <w:gridCol w:w="15"/>
        <w:gridCol w:w="1653"/>
        <w:gridCol w:w="1973"/>
        <w:gridCol w:w="1761"/>
      </w:tblGrid>
      <w:tr w:rsidR="00546618" w:rsidRPr="00C34885" w:rsidTr="000034CA">
        <w:trPr>
          <w:trHeight w:val="144"/>
          <w:jc w:val="center"/>
        </w:trPr>
        <w:tc>
          <w:tcPr>
            <w:tcW w:w="2306" w:type="dxa"/>
            <w:tcBorders>
              <w:top w:val="single" w:sz="4" w:space="0" w:color="auto"/>
              <w:left w:val="nil"/>
              <w:bottom w:val="nil"/>
              <w:right w:val="nil"/>
            </w:tcBorders>
            <w:shd w:val="clear" w:color="auto" w:fill="auto"/>
            <w:noWrap/>
            <w:vAlign w:val="bottom"/>
            <w:hideMark/>
          </w:tcPr>
          <w:p w:rsidR="00546618" w:rsidRPr="00114204" w:rsidRDefault="00546618"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7286" w:type="dxa"/>
            <w:gridSpan w:val="5"/>
            <w:tcBorders>
              <w:top w:val="single" w:sz="4" w:space="0" w:color="auto"/>
              <w:left w:val="nil"/>
              <w:bottom w:val="nil"/>
              <w:right w:val="nil"/>
            </w:tcBorders>
            <w:shd w:val="clear" w:color="auto" w:fill="auto"/>
            <w:noWrap/>
            <w:vAlign w:val="bottom"/>
            <w:hideMark/>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Dividend yield </w:t>
            </w:r>
          </w:p>
        </w:tc>
      </w:tr>
      <w:tr w:rsidR="00546618" w:rsidRPr="00C34885" w:rsidTr="000034CA">
        <w:trPr>
          <w:trHeight w:val="144"/>
          <w:jc w:val="center"/>
        </w:trPr>
        <w:tc>
          <w:tcPr>
            <w:tcW w:w="2306" w:type="dxa"/>
            <w:tcBorders>
              <w:top w:val="nil"/>
              <w:left w:val="nil"/>
              <w:bottom w:val="single" w:sz="4" w:space="0" w:color="auto"/>
              <w:right w:val="nil"/>
            </w:tcBorders>
            <w:shd w:val="clear" w:color="auto" w:fill="auto"/>
            <w:noWrap/>
            <w:vAlign w:val="bottom"/>
          </w:tcPr>
          <w:p w:rsidR="00546618" w:rsidRPr="00114204" w:rsidRDefault="00546618" w:rsidP="00F609C2">
            <w:pPr>
              <w:spacing w:after="0" w:line="240" w:lineRule="auto"/>
              <w:rPr>
                <w:rFonts w:ascii="Times New Roman" w:eastAsia="Times New Roman" w:hAnsi="Times New Roman"/>
                <w:sz w:val="17"/>
                <w:szCs w:val="17"/>
              </w:rPr>
            </w:pPr>
          </w:p>
        </w:tc>
        <w:tc>
          <w:tcPr>
            <w:tcW w:w="3552" w:type="dxa"/>
            <w:gridSpan w:val="3"/>
            <w:tcBorders>
              <w:top w:val="nil"/>
              <w:left w:val="nil"/>
              <w:bottom w:val="single" w:sz="4" w:space="0" w:color="auto"/>
              <w:right w:val="nil"/>
            </w:tcBorders>
            <w:shd w:val="clear" w:color="auto" w:fill="auto"/>
            <w:noWrap/>
            <w:vAlign w:val="bottom"/>
          </w:tcPr>
          <w:p w:rsidR="00546618" w:rsidRPr="00114204" w:rsidRDefault="00546618" w:rsidP="00EA213D">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CEO</w:t>
            </w:r>
            <w:r w:rsidR="004F2482">
              <w:rPr>
                <w:rFonts w:ascii="Times New Roman" w:eastAsia="Times New Roman" w:hAnsi="Times New Roman"/>
                <w:sz w:val="17"/>
                <w:szCs w:val="17"/>
              </w:rPr>
              <w:t xml:space="preserve"> </w:t>
            </w:r>
            <w:r w:rsidR="00EA213D">
              <w:rPr>
                <w:rFonts w:ascii="Times New Roman" w:eastAsia="Times New Roman" w:hAnsi="Times New Roman"/>
                <w:sz w:val="17"/>
                <w:szCs w:val="17"/>
              </w:rPr>
              <w:t>only</w:t>
            </w:r>
          </w:p>
        </w:tc>
        <w:tc>
          <w:tcPr>
            <w:tcW w:w="3734" w:type="dxa"/>
            <w:gridSpan w:val="2"/>
            <w:tcBorders>
              <w:top w:val="nil"/>
              <w:left w:val="nil"/>
              <w:bottom w:val="single" w:sz="4" w:space="0" w:color="auto"/>
              <w:right w:val="nil"/>
            </w:tcBorders>
            <w:shd w:val="clear" w:color="auto" w:fill="auto"/>
            <w:noWrap/>
            <w:vAlign w:val="bottom"/>
          </w:tcPr>
          <w:p w:rsidR="00546618" w:rsidRPr="00114204" w:rsidRDefault="0097633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All executives</w:t>
            </w:r>
          </w:p>
        </w:tc>
      </w:tr>
      <w:tr w:rsidR="00546618" w:rsidRPr="00C34885" w:rsidTr="000034CA">
        <w:trPr>
          <w:trHeight w:val="144"/>
          <w:jc w:val="center"/>
        </w:trPr>
        <w:tc>
          <w:tcPr>
            <w:tcW w:w="2306" w:type="dxa"/>
            <w:tcBorders>
              <w:top w:val="nil"/>
              <w:left w:val="nil"/>
              <w:bottom w:val="single" w:sz="4" w:space="0" w:color="auto"/>
              <w:right w:val="nil"/>
            </w:tcBorders>
            <w:shd w:val="clear" w:color="auto" w:fill="auto"/>
            <w:noWrap/>
            <w:vAlign w:val="bottom"/>
            <w:hideMark/>
          </w:tcPr>
          <w:p w:rsidR="00546618" w:rsidRPr="00114204" w:rsidRDefault="00546618"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1884" w:type="dxa"/>
            <w:tcBorders>
              <w:top w:val="nil"/>
              <w:left w:val="nil"/>
              <w:bottom w:val="single" w:sz="4" w:space="0" w:color="auto"/>
              <w:right w:val="nil"/>
            </w:tcBorders>
            <w:shd w:val="clear" w:color="auto" w:fill="auto"/>
            <w:noWrap/>
            <w:vAlign w:val="bottom"/>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Compensation leverage </w:t>
            </w:r>
          </w:p>
        </w:tc>
        <w:tc>
          <w:tcPr>
            <w:tcW w:w="1668" w:type="dxa"/>
            <w:gridSpan w:val="2"/>
            <w:tcBorders>
              <w:top w:val="nil"/>
              <w:left w:val="nil"/>
              <w:bottom w:val="single" w:sz="4" w:space="0" w:color="auto"/>
              <w:right w:val="nil"/>
            </w:tcBorders>
            <w:shd w:val="clear" w:color="auto" w:fill="auto"/>
            <w:noWrap/>
            <w:vAlign w:val="bottom"/>
            <w:hideMark/>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c>
          <w:tcPr>
            <w:tcW w:w="1973" w:type="dxa"/>
            <w:tcBorders>
              <w:top w:val="nil"/>
              <w:left w:val="nil"/>
              <w:bottom w:val="single" w:sz="4" w:space="0" w:color="auto"/>
              <w:right w:val="nil"/>
            </w:tcBorders>
            <w:shd w:val="clear" w:color="auto" w:fill="auto"/>
            <w:noWrap/>
            <w:vAlign w:val="bottom"/>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Compensation leverage</w:t>
            </w:r>
          </w:p>
        </w:tc>
        <w:tc>
          <w:tcPr>
            <w:tcW w:w="1761" w:type="dxa"/>
            <w:tcBorders>
              <w:top w:val="nil"/>
              <w:left w:val="nil"/>
              <w:bottom w:val="single" w:sz="4" w:space="0" w:color="auto"/>
              <w:right w:val="nil"/>
            </w:tcBorders>
            <w:shd w:val="clear" w:color="auto" w:fill="auto"/>
            <w:noWrap/>
            <w:vAlign w:val="bottom"/>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vAlign w:val="bottom"/>
            <w:hideMark/>
          </w:tcPr>
          <w:p w:rsidR="00546618" w:rsidRPr="00C34885" w:rsidRDefault="00546618" w:rsidP="00F609C2">
            <w:pPr>
              <w:spacing w:after="0" w:line="240" w:lineRule="auto"/>
              <w:rPr>
                <w:rFonts w:ascii="Times New Roman" w:eastAsia="Times New Roman" w:hAnsi="Times New Roman"/>
                <w:i/>
                <w:iCs/>
                <w:color w:val="000000"/>
                <w:sz w:val="17"/>
                <w:szCs w:val="17"/>
              </w:rPr>
            </w:pPr>
          </w:p>
        </w:tc>
        <w:tc>
          <w:tcPr>
            <w:tcW w:w="1899" w:type="dxa"/>
            <w:gridSpan w:val="2"/>
            <w:tcBorders>
              <w:top w:val="nil"/>
              <w:left w:val="nil"/>
              <w:bottom w:val="nil"/>
              <w:right w:val="nil"/>
            </w:tcBorders>
            <w:shd w:val="clear" w:color="auto" w:fill="auto"/>
            <w:noWrap/>
            <w:vAlign w:val="bottom"/>
          </w:tcPr>
          <w:p w:rsidR="00546618" w:rsidRPr="00C34885" w:rsidRDefault="00546618" w:rsidP="00F609C2">
            <w:pPr>
              <w:spacing w:after="0" w:line="240" w:lineRule="auto"/>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-3.3797***</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-3.8465*</w:t>
            </w:r>
            <w:r w:rsidRPr="00042AF2">
              <w:rPr>
                <w:rFonts w:ascii="Times New Roman" w:eastAsia="Times New Roman" w:hAnsi="Times New Roman"/>
                <w:sz w:val="17"/>
                <w:szCs w:val="17"/>
              </w:rPr>
              <w:t>**</w:t>
            </w: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(-3.53)</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sidRPr="00042AF2">
              <w:rPr>
                <w:rFonts w:ascii="Times New Roman" w:eastAsia="Times New Roman" w:hAnsi="Times New Roman"/>
                <w:sz w:val="17"/>
                <w:szCs w:val="17"/>
              </w:rPr>
              <w:t>(</w:t>
            </w:r>
            <w:r>
              <w:rPr>
                <w:rFonts w:ascii="Times New Roman" w:eastAsia="Times New Roman" w:hAnsi="Times New Roman"/>
                <w:sz w:val="17"/>
                <w:szCs w:val="17"/>
              </w:rPr>
              <w:t>-4.40)</w:t>
            </w: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899" w:type="dxa"/>
            <w:gridSpan w:val="2"/>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-0.3466***</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-1.1143***</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(-3.12)</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(-3.99</w:t>
            </w:r>
            <w:r w:rsidRPr="00042AF2">
              <w:rPr>
                <w:rFonts w:ascii="Times New Roman" w:eastAsia="Times New Roman" w:hAnsi="Times New Roman"/>
                <w:sz w:val="17"/>
                <w:szCs w:val="17"/>
              </w:rPr>
              <w:t>)</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-0.0019</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0.0146***</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-0.0472***</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0.0367**</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(-1.31)</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(4.53)</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(-2.80)</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(2.20)</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0.0153**</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0.0285*</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0.01536**</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0.03314</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(2.07)</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(1.80)</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(2.32)</w:t>
            </w:r>
            <w:r w:rsidRPr="00042AF2">
              <w:rPr>
                <w:rFonts w:ascii="Times New Roman" w:eastAsia="Times New Roman" w:hAnsi="Times New Roman"/>
                <w:sz w:val="17"/>
                <w:szCs w:val="17"/>
              </w:rPr>
              <w:t xml:space="preserve"> </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(1.26)</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-0.1175</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-0.1744</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-0.12082</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-0.3401**</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(-0.15)</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(-0.10)</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(-0.51)</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(-2.35)</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899" w:type="dxa"/>
            <w:gridSpan w:val="2"/>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653" w:type="dxa"/>
            <w:tcBorders>
              <w:top w:val="nil"/>
              <w:left w:val="nil"/>
              <w:bottom w:val="nil"/>
              <w:right w:val="nil"/>
            </w:tcBorders>
            <w:shd w:val="clear" w:color="auto" w:fill="auto"/>
            <w:noWrap/>
            <w:vAlign w:val="bottom"/>
            <w:hideMark/>
          </w:tcPr>
          <w:p w:rsidR="00546618" w:rsidRPr="00C34885"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(0.29)</w:t>
            </w:r>
          </w:p>
        </w:tc>
        <w:tc>
          <w:tcPr>
            <w:tcW w:w="1653" w:type="dxa"/>
            <w:tcBorders>
              <w:top w:val="nil"/>
              <w:left w:val="nil"/>
              <w:bottom w:val="nil"/>
              <w:right w:val="nil"/>
            </w:tcBorders>
            <w:shd w:val="clear" w:color="auto" w:fill="auto"/>
            <w:noWrap/>
            <w:vAlign w:val="bottom"/>
            <w:hideMark/>
          </w:tcPr>
          <w:p w:rsidR="00546618" w:rsidRPr="00C34885"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(-0.55)</w:t>
            </w: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w:t>
            </w: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(-1.02)</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w:t>
            </w:r>
            <w:r w:rsidRPr="00C34885">
              <w:rPr>
                <w:rFonts w:ascii="Times New Roman" w:eastAsia="Times New Roman" w:hAnsi="Times New Roman"/>
                <w:color w:val="000000"/>
                <w:sz w:val="17"/>
                <w:szCs w:val="17"/>
              </w:rPr>
              <w:t>ebt</w:t>
            </w:r>
            <w:r>
              <w:rPr>
                <w:rFonts w:ascii="Times New Roman" w:eastAsia="Times New Roman" w:hAnsi="Times New Roman"/>
                <w:color w:val="000000"/>
                <w:sz w:val="17"/>
                <w:szCs w:val="17"/>
              </w:rPr>
              <w:t>/e</w:t>
            </w:r>
            <w:r w:rsidRPr="00C34885">
              <w:rPr>
                <w:rFonts w:ascii="Times New Roman" w:eastAsia="Times New Roman" w:hAnsi="Times New Roman"/>
                <w:color w:val="000000"/>
                <w:sz w:val="17"/>
                <w:szCs w:val="17"/>
              </w:rPr>
              <w:t>quity</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-0.0329</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-0.0466</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-0.22617</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-0.2784</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(-1.33)</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(-1.38)</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(-0.97)</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(-1.03</w:t>
            </w:r>
            <w:r w:rsidRPr="00042AF2">
              <w:rPr>
                <w:rFonts w:ascii="Times New Roman" w:eastAsia="Times New Roman" w:hAnsi="Times New Roman"/>
                <w:sz w:val="17"/>
                <w:szCs w:val="17"/>
              </w:rPr>
              <w:t>)</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F0E95" w:rsidRDefault="00546618" w:rsidP="00F609C2">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(-1.69)</w:t>
            </w: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(-2.54)</w:t>
            </w: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(0.10)</w:t>
            </w: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(-0.23)</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-0.0004</w:t>
            </w: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(1.67)</w:t>
            </w: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(-0.58)</w:t>
            </w: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(-0.48)</w:t>
            </w: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(-1.74)</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A84317"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Distance-to-</w:t>
            </w:r>
            <w:r w:rsidR="00546618">
              <w:rPr>
                <w:rFonts w:ascii="Times New Roman" w:eastAsia="Times New Roman" w:hAnsi="Times New Roman"/>
                <w:color w:val="000000"/>
                <w:sz w:val="17"/>
                <w:szCs w:val="17"/>
              </w:rPr>
              <w:t>default</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-0.2252***</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-0.2068**</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-0.19753</w:t>
            </w:r>
            <w:r w:rsidRPr="00042AF2">
              <w:rPr>
                <w:rFonts w:ascii="Times New Roman" w:eastAsia="Times New Roman" w:hAnsi="Times New Roman"/>
                <w:sz w:val="17"/>
                <w:szCs w:val="17"/>
              </w:rPr>
              <w:t>***</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sidRPr="00042AF2">
              <w:rPr>
                <w:rFonts w:ascii="Times New Roman" w:eastAsia="Times New Roman" w:hAnsi="Times New Roman"/>
                <w:sz w:val="17"/>
                <w:szCs w:val="17"/>
              </w:rPr>
              <w:t>-</w:t>
            </w:r>
            <w:r>
              <w:rPr>
                <w:rFonts w:ascii="Times New Roman" w:eastAsia="Times New Roman" w:hAnsi="Times New Roman"/>
                <w:sz w:val="17"/>
                <w:szCs w:val="17"/>
              </w:rPr>
              <w:t>0.1746***</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(-3.96)</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(-2.36)</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(-4.40</w:t>
            </w:r>
            <w:r w:rsidRPr="00042AF2">
              <w:rPr>
                <w:rFonts w:ascii="Times New Roman" w:eastAsia="Times New Roman" w:hAnsi="Times New Roman"/>
                <w:sz w:val="17"/>
                <w:szCs w:val="17"/>
              </w:rPr>
              <w:t>)</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(-2.73)</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Firm age</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-0.0017</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-0.0024</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-0.00226</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0.0057</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(-0.45)</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(-0.91)</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(-0.14</w:t>
            </w:r>
            <w:r w:rsidRPr="00042AF2">
              <w:rPr>
                <w:rFonts w:ascii="Times New Roman" w:eastAsia="Times New Roman" w:hAnsi="Times New Roman"/>
                <w:sz w:val="17"/>
                <w:szCs w:val="17"/>
              </w:rPr>
              <w:t>)</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(0.46)</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0.6343**</w:t>
            </w: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0.7797*</w:t>
            </w: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0.8471***</w:t>
            </w: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0.8021***</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(1.97)</w:t>
            </w: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(1.67)</w:t>
            </w: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(3.67)</w:t>
            </w: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(4.35)</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w:t>
            </w:r>
            <w:r w:rsidRPr="00C34885">
              <w:rPr>
                <w:rFonts w:ascii="Times New Roman" w:eastAsia="Times New Roman" w:hAnsi="Times New Roman"/>
                <w:color w:val="000000"/>
                <w:sz w:val="17"/>
                <w:szCs w:val="17"/>
              </w:rPr>
              <w:t>iq</w:t>
            </w:r>
            <w:r>
              <w:rPr>
                <w:rFonts w:ascii="Times New Roman" w:eastAsia="Times New Roman" w:hAnsi="Times New Roman"/>
                <w:color w:val="000000"/>
                <w:sz w:val="17"/>
                <w:szCs w:val="17"/>
              </w:rPr>
              <w:t>uidity c</w:t>
            </w:r>
            <w:r w:rsidRPr="00C34885">
              <w:rPr>
                <w:rFonts w:ascii="Times New Roman" w:eastAsia="Times New Roman" w:hAnsi="Times New Roman"/>
                <w:color w:val="000000"/>
                <w:sz w:val="17"/>
                <w:szCs w:val="17"/>
              </w:rPr>
              <w:t>ons</w:t>
            </w:r>
            <w:r>
              <w:rPr>
                <w:rFonts w:ascii="Times New Roman" w:eastAsia="Times New Roman" w:hAnsi="Times New Roman"/>
                <w:color w:val="000000"/>
                <w:sz w:val="17"/>
                <w:szCs w:val="17"/>
              </w:rPr>
              <w:t>traint</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0.9894***</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0.7886***</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1.00457</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0.2981</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(2.81)</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(3.47)</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(1.41)</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(0.40)</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sidRPr="00C34885">
              <w:rPr>
                <w:rFonts w:ascii="Times New Roman" w:eastAsia="Times New Roman" w:hAnsi="Times New Roman"/>
                <w:color w:val="000000"/>
                <w:sz w:val="17"/>
                <w:szCs w:val="17"/>
              </w:rPr>
              <w:t>ax</w:t>
            </w:r>
            <w:r>
              <w:rPr>
                <w:rFonts w:ascii="Times New Roman" w:eastAsia="Times New Roman" w:hAnsi="Times New Roman"/>
                <w:color w:val="000000"/>
                <w:sz w:val="17"/>
                <w:szCs w:val="17"/>
              </w:rPr>
              <w:t xml:space="preserve"> loss</w:t>
            </w: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-0.0035</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-0.1408</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sidRPr="00042AF2">
              <w:rPr>
                <w:rFonts w:ascii="Times New Roman" w:eastAsia="Times New Roman" w:hAnsi="Times New Roman"/>
                <w:sz w:val="17"/>
                <w:szCs w:val="17"/>
              </w:rPr>
              <w:t>0</w:t>
            </w:r>
            <w:r>
              <w:rPr>
                <w:rFonts w:ascii="Times New Roman" w:eastAsia="Times New Roman" w:hAnsi="Times New Roman"/>
                <w:sz w:val="17"/>
                <w:szCs w:val="17"/>
              </w:rPr>
              <w:t>.13158</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w:t>
            </w:r>
            <w:r w:rsidRPr="00042AF2">
              <w:rPr>
                <w:rFonts w:ascii="Times New Roman" w:eastAsia="Times New Roman" w:hAnsi="Times New Roman"/>
                <w:sz w:val="17"/>
                <w:szCs w:val="17"/>
              </w:rPr>
              <w:t>0.</w:t>
            </w:r>
            <w:r>
              <w:rPr>
                <w:rFonts w:ascii="Times New Roman" w:eastAsia="Times New Roman" w:hAnsi="Times New Roman"/>
                <w:sz w:val="17"/>
                <w:szCs w:val="17"/>
              </w:rPr>
              <w:t>0656</w:t>
            </w: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(-0.51)</w:t>
            </w:r>
          </w:p>
        </w:tc>
        <w:tc>
          <w:tcPr>
            <w:tcW w:w="1653" w:type="dxa"/>
            <w:tcBorders>
              <w:top w:val="nil"/>
              <w:left w:val="nil"/>
              <w:bottom w:val="nil"/>
              <w:right w:val="nil"/>
            </w:tcBorders>
            <w:shd w:val="clear" w:color="auto" w:fill="auto"/>
            <w:noWrap/>
            <w:vAlign w:val="bottom"/>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(-0.13)</w:t>
            </w:r>
          </w:p>
        </w:tc>
        <w:tc>
          <w:tcPr>
            <w:tcW w:w="1973"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(0.86)</w:t>
            </w:r>
          </w:p>
        </w:tc>
        <w:tc>
          <w:tcPr>
            <w:tcW w:w="1761" w:type="dxa"/>
            <w:tcBorders>
              <w:top w:val="nil"/>
              <w:left w:val="nil"/>
              <w:bottom w:val="nil"/>
              <w:right w:val="nil"/>
            </w:tcBorders>
            <w:shd w:val="clear" w:color="auto" w:fill="auto"/>
            <w:noWrap/>
            <w:vAlign w:val="bottom"/>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(-0.62)</w:t>
            </w: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Instrumental variables</w:t>
            </w:r>
          </w:p>
        </w:tc>
        <w:tc>
          <w:tcPr>
            <w:tcW w:w="1899" w:type="dxa"/>
            <w:gridSpan w:val="2"/>
            <w:tcBorders>
              <w:top w:val="nil"/>
              <w:left w:val="nil"/>
              <w:bottom w:val="nil"/>
              <w:right w:val="nil"/>
            </w:tcBorders>
            <w:shd w:val="clear" w:color="auto" w:fill="auto"/>
            <w:noWrap/>
            <w:vAlign w:val="center"/>
          </w:tcPr>
          <w:p w:rsidR="00546618" w:rsidRPr="00042AF2" w:rsidRDefault="00546618" w:rsidP="002E546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 xml:space="preserve">Executive </w:t>
            </w:r>
            <w:r w:rsidR="002E5461">
              <w:rPr>
                <w:rFonts w:ascii="Times New Roman" w:eastAsia="Times New Roman" w:hAnsi="Times New Roman"/>
                <w:sz w:val="17"/>
                <w:szCs w:val="17"/>
              </w:rPr>
              <w:t>a</w:t>
            </w:r>
            <w:r>
              <w:rPr>
                <w:rFonts w:ascii="Times New Roman" w:eastAsia="Times New Roman" w:hAnsi="Times New Roman"/>
                <w:sz w:val="17"/>
                <w:szCs w:val="17"/>
              </w:rPr>
              <w:t>ge; M</w:t>
            </w:r>
          </w:p>
        </w:tc>
        <w:tc>
          <w:tcPr>
            <w:tcW w:w="1653" w:type="dxa"/>
            <w:tcBorders>
              <w:top w:val="nil"/>
              <w:left w:val="nil"/>
              <w:bottom w:val="nil"/>
              <w:right w:val="nil"/>
            </w:tcBorders>
            <w:shd w:val="clear" w:color="auto" w:fill="auto"/>
            <w:noWrap/>
            <w:vAlign w:val="center"/>
            <w:hideMark/>
          </w:tcPr>
          <w:p w:rsidR="00546618" w:rsidRPr="00042AF2" w:rsidRDefault="00546618" w:rsidP="002E546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 xml:space="preserve">Executive </w:t>
            </w:r>
            <w:r w:rsidR="002E5461">
              <w:rPr>
                <w:rFonts w:ascii="Times New Roman" w:eastAsia="Times New Roman" w:hAnsi="Times New Roman"/>
                <w:sz w:val="17"/>
                <w:szCs w:val="17"/>
              </w:rPr>
              <w:t>a</w:t>
            </w:r>
            <w:r>
              <w:rPr>
                <w:rFonts w:ascii="Times New Roman" w:eastAsia="Times New Roman" w:hAnsi="Times New Roman"/>
                <w:sz w:val="17"/>
                <w:szCs w:val="17"/>
              </w:rPr>
              <w:t>ge; M</w:t>
            </w:r>
          </w:p>
        </w:tc>
        <w:tc>
          <w:tcPr>
            <w:tcW w:w="1973" w:type="dxa"/>
            <w:tcBorders>
              <w:top w:val="nil"/>
              <w:left w:val="nil"/>
              <w:bottom w:val="nil"/>
              <w:right w:val="nil"/>
            </w:tcBorders>
            <w:shd w:val="clear" w:color="auto" w:fill="auto"/>
            <w:noWrap/>
            <w:vAlign w:val="center"/>
          </w:tcPr>
          <w:p w:rsidR="00546618" w:rsidRPr="00042AF2" w:rsidRDefault="00546618" w:rsidP="002E546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 xml:space="preserve">Executive </w:t>
            </w:r>
            <w:r w:rsidR="002E5461">
              <w:rPr>
                <w:rFonts w:ascii="Times New Roman" w:eastAsia="Times New Roman" w:hAnsi="Times New Roman"/>
                <w:sz w:val="17"/>
                <w:szCs w:val="17"/>
              </w:rPr>
              <w:t>a</w:t>
            </w:r>
            <w:r>
              <w:rPr>
                <w:rFonts w:ascii="Times New Roman" w:eastAsia="Times New Roman" w:hAnsi="Times New Roman"/>
                <w:sz w:val="17"/>
                <w:szCs w:val="17"/>
              </w:rPr>
              <w:t>ge; M</w:t>
            </w:r>
          </w:p>
        </w:tc>
        <w:tc>
          <w:tcPr>
            <w:tcW w:w="1761" w:type="dxa"/>
            <w:tcBorders>
              <w:top w:val="nil"/>
              <w:left w:val="nil"/>
              <w:bottom w:val="nil"/>
              <w:right w:val="nil"/>
            </w:tcBorders>
            <w:shd w:val="clear" w:color="auto" w:fill="auto"/>
            <w:noWrap/>
            <w:vAlign w:val="center"/>
          </w:tcPr>
          <w:p w:rsidR="00546618" w:rsidRPr="00042AF2" w:rsidRDefault="00546618" w:rsidP="002E546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 xml:space="preserve">Executive </w:t>
            </w:r>
            <w:r w:rsidR="002E5461">
              <w:rPr>
                <w:rFonts w:ascii="Times New Roman" w:eastAsia="Times New Roman" w:hAnsi="Times New Roman"/>
                <w:sz w:val="17"/>
                <w:szCs w:val="17"/>
              </w:rPr>
              <w:t>a</w:t>
            </w:r>
            <w:r>
              <w:rPr>
                <w:rFonts w:ascii="Times New Roman" w:eastAsia="Times New Roman" w:hAnsi="Times New Roman"/>
                <w:sz w:val="17"/>
                <w:szCs w:val="17"/>
              </w:rPr>
              <w:t>ge; M</w:t>
            </w:r>
          </w:p>
        </w:tc>
      </w:tr>
      <w:tr w:rsidR="00546618" w:rsidRPr="00C34885" w:rsidTr="000034CA">
        <w:trPr>
          <w:trHeight w:val="144"/>
          <w:jc w:val="center"/>
        </w:trPr>
        <w:tc>
          <w:tcPr>
            <w:tcW w:w="2306" w:type="dxa"/>
            <w:tcBorders>
              <w:top w:val="nil"/>
              <w:left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Observations</w:t>
            </w:r>
          </w:p>
        </w:tc>
        <w:tc>
          <w:tcPr>
            <w:tcW w:w="1899" w:type="dxa"/>
            <w:gridSpan w:val="2"/>
            <w:tcBorders>
              <w:top w:val="nil"/>
              <w:left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062</w:t>
            </w:r>
          </w:p>
        </w:tc>
        <w:tc>
          <w:tcPr>
            <w:tcW w:w="1653" w:type="dxa"/>
            <w:tcBorders>
              <w:top w:val="nil"/>
              <w:left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062</w:t>
            </w:r>
          </w:p>
        </w:tc>
        <w:tc>
          <w:tcPr>
            <w:tcW w:w="1973" w:type="dxa"/>
            <w:tcBorders>
              <w:top w:val="nil"/>
              <w:left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995</w:t>
            </w:r>
          </w:p>
        </w:tc>
        <w:tc>
          <w:tcPr>
            <w:tcW w:w="1761" w:type="dxa"/>
            <w:tcBorders>
              <w:top w:val="nil"/>
              <w:left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991</w:t>
            </w:r>
          </w:p>
        </w:tc>
      </w:tr>
      <w:tr w:rsidR="00546618" w:rsidRPr="00C34885" w:rsidTr="000034CA">
        <w:trPr>
          <w:trHeight w:hRule="exact" w:val="72"/>
          <w:jc w:val="center"/>
        </w:trPr>
        <w:tc>
          <w:tcPr>
            <w:tcW w:w="2306" w:type="dxa"/>
            <w:tcBorders>
              <w:top w:val="nil"/>
              <w:left w:val="nil"/>
              <w:bottom w:val="single" w:sz="4" w:space="0" w:color="auto"/>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single" w:sz="4" w:space="0" w:color="auto"/>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single" w:sz="4" w:space="0" w:color="auto"/>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single" w:sz="4" w:space="0" w:color="auto"/>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single" w:sz="4" w:space="0" w:color="auto"/>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pPr>
    </w:p>
    <w:p w:rsidR="004942E7" w:rsidRDefault="004942E7" w:rsidP="004942E7">
      <w:r>
        <w:br w:type="page"/>
      </w:r>
    </w:p>
    <w:p w:rsidR="004942E7" w:rsidRDefault="004942E7" w:rsidP="004942E7">
      <w:pPr>
        <w:spacing w:after="0" w:line="240" w:lineRule="auto"/>
        <w:jc w:val="both"/>
        <w:rPr>
          <w:rFonts w:ascii="Times New Roman" w:eastAsia="Times New Roman" w:hAnsi="Times New Roman"/>
          <w:b/>
          <w:bCs/>
          <w:color w:val="000000"/>
          <w:sz w:val="24"/>
          <w:szCs w:val="24"/>
        </w:rPr>
      </w:pPr>
      <w:r w:rsidRPr="00A76E05">
        <w:rPr>
          <w:rFonts w:ascii="Times New Roman" w:eastAsia="Times New Roman" w:hAnsi="Times New Roman"/>
          <w:b/>
          <w:bCs/>
          <w:color w:val="000000"/>
          <w:sz w:val="24"/>
          <w:szCs w:val="24"/>
        </w:rPr>
        <w:lastRenderedPageBreak/>
        <w:t xml:space="preserve">Table 5: Regressions of firm </w:t>
      </w:r>
      <w:r w:rsidR="00E367EF">
        <w:rPr>
          <w:rFonts w:ascii="Times New Roman" w:eastAsia="Times New Roman" w:hAnsi="Times New Roman"/>
          <w:b/>
          <w:bCs/>
          <w:color w:val="000000"/>
          <w:sz w:val="24"/>
          <w:szCs w:val="24"/>
        </w:rPr>
        <w:t xml:space="preserve">dividend </w:t>
      </w:r>
      <w:r w:rsidRPr="00A76E05">
        <w:rPr>
          <w:rFonts w:ascii="Times New Roman" w:eastAsia="Times New Roman" w:hAnsi="Times New Roman"/>
          <w:b/>
          <w:bCs/>
          <w:color w:val="000000"/>
          <w:sz w:val="24"/>
          <w:szCs w:val="24"/>
        </w:rPr>
        <w:t>payout ratio on compensation leverage and inside debt</w:t>
      </w:r>
    </w:p>
    <w:p w:rsidR="004942E7" w:rsidRDefault="004942E7" w:rsidP="004942E7">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 xml:space="preserve">The table shows pooled </w:t>
      </w:r>
      <w:proofErr w:type="spellStart"/>
      <w:r w:rsidR="00E8767A">
        <w:rPr>
          <w:rFonts w:ascii="Times New Roman" w:eastAsia="Times New Roman" w:hAnsi="Times New Roman"/>
          <w:bCs/>
          <w:sz w:val="18"/>
          <w:szCs w:val="18"/>
        </w:rPr>
        <w:t>Tobit</w:t>
      </w:r>
      <w:proofErr w:type="spellEnd"/>
      <w:r>
        <w:rPr>
          <w:rFonts w:ascii="Times New Roman" w:eastAsia="Times New Roman" w:hAnsi="Times New Roman"/>
          <w:bCs/>
          <w:sz w:val="18"/>
          <w:szCs w:val="18"/>
        </w:rPr>
        <w:t xml:space="preserve"> regressions of a firm’s dividend payout ratio on compensation leverage, inside debt, </w:t>
      </w:r>
      <w:r w:rsidR="00F43F1A">
        <w:rPr>
          <w:rFonts w:ascii="Times New Roman" w:eastAsia="Times New Roman" w:hAnsi="Times New Roman"/>
          <w:bCs/>
          <w:sz w:val="18"/>
          <w:szCs w:val="18"/>
        </w:rPr>
        <w:t xml:space="preserve">and </w:t>
      </w:r>
      <w:r>
        <w:rPr>
          <w:rFonts w:ascii="Times New Roman" w:eastAsia="Times New Roman" w:hAnsi="Times New Roman"/>
          <w:bCs/>
          <w:sz w:val="18"/>
          <w:szCs w:val="18"/>
        </w:rPr>
        <w:t xml:space="preserve">a set of control variables (as defined in Table 1). </w:t>
      </w:r>
      <w:r w:rsidRPr="007736B5">
        <w:rPr>
          <w:rFonts w:ascii="Times New Roman" w:hAnsi="Times New Roman" w:cs="Times New Roman"/>
          <w:sz w:val="18"/>
          <w:szCs w:val="18"/>
        </w:rPr>
        <w:t>The sample represent</w:t>
      </w:r>
      <w:r>
        <w:rPr>
          <w:rFonts w:ascii="Times New Roman" w:hAnsi="Times New Roman" w:cs="Times New Roman"/>
          <w:sz w:val="18"/>
          <w:szCs w:val="18"/>
        </w:rPr>
        <w:t>s</w:t>
      </w:r>
      <w:r w:rsidRPr="007736B5">
        <w:rPr>
          <w:rFonts w:ascii="Times New Roman" w:hAnsi="Times New Roman" w:cs="Times New Roman"/>
          <w:sz w:val="18"/>
          <w:szCs w:val="18"/>
        </w:rPr>
        <w:t xml:space="preserve"> data on 272 firms over the period 2000-2009.</w:t>
      </w:r>
      <w:r>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Pr>
          <w:rFonts w:ascii="Times New Roman" w:hAnsi="Times New Roman" w:cs="Times New Roman"/>
          <w:sz w:val="18"/>
          <w:szCs w:val="18"/>
        </w:rPr>
        <w:t xml:space="preserve"> regression coefficients and </w:t>
      </w:r>
      <w:r w:rsidR="00773E03" w:rsidRPr="00773E03">
        <w:rPr>
          <w:rFonts w:ascii="Times New Roman" w:hAnsi="Times New Roman" w:cs="Times New Roman"/>
          <w:i/>
          <w:sz w:val="18"/>
          <w:szCs w:val="18"/>
        </w:rPr>
        <w:t>t</w:t>
      </w:r>
      <w:r w:rsidR="00773E03">
        <w:rPr>
          <w:rFonts w:ascii="Times New Roman" w:hAnsi="Times New Roman" w:cs="Times New Roman"/>
          <w:sz w:val="18"/>
          <w:szCs w:val="18"/>
        </w:rPr>
        <w:t>-statistics</w:t>
      </w:r>
      <w:r>
        <w:rPr>
          <w:rFonts w:ascii="Times New Roman" w:hAnsi="Times New Roman" w:cs="Times New Roman"/>
          <w:sz w:val="18"/>
          <w:szCs w:val="18"/>
        </w:rPr>
        <w:t xml:space="preserve">, based on standard errors adjusted for </w:t>
      </w:r>
      <w:proofErr w:type="spellStart"/>
      <w:r>
        <w:rPr>
          <w:rFonts w:ascii="Times New Roman" w:hAnsi="Times New Roman" w:cs="Times New Roman"/>
          <w:sz w:val="18"/>
          <w:szCs w:val="18"/>
        </w:rPr>
        <w:t>heteroskedasticity</w:t>
      </w:r>
      <w:proofErr w:type="spellEnd"/>
      <w:r>
        <w:rPr>
          <w:rFonts w:ascii="Times New Roman" w:hAnsi="Times New Roman" w:cs="Times New Roman"/>
          <w:sz w:val="18"/>
          <w:szCs w:val="18"/>
        </w:rPr>
        <w:t xml:space="preserve"> and autocorr</w:t>
      </w:r>
      <w:r w:rsidR="00F43F1A">
        <w:rPr>
          <w:rFonts w:ascii="Times New Roman" w:hAnsi="Times New Roman" w:cs="Times New Roman"/>
          <w:sz w:val="18"/>
          <w:szCs w:val="18"/>
        </w:rPr>
        <w:t>elation following Rogers (1993), with year fixed effects.</w:t>
      </w:r>
      <w:r w:rsidR="00824FB6">
        <w:rPr>
          <w:rFonts w:ascii="Times New Roman" w:hAnsi="Times New Roman" w:cs="Times New Roman"/>
          <w:sz w:val="18"/>
          <w:szCs w:val="18"/>
        </w:rPr>
        <w:t xml:space="preserve"> *, **, *** indicate significance at the 0.1, 0.05, and 0.01 levels, respectively.</w:t>
      </w:r>
    </w:p>
    <w:p w:rsidR="004942E7" w:rsidRDefault="004942E7" w:rsidP="004942E7">
      <w:pPr>
        <w:spacing w:after="0" w:line="240" w:lineRule="auto"/>
        <w:jc w:val="both"/>
        <w:rPr>
          <w:rFonts w:ascii="Times New Roman" w:hAnsi="Times New Roman" w:cs="Times New Roman"/>
          <w:sz w:val="18"/>
          <w:szCs w:val="18"/>
        </w:rPr>
      </w:pPr>
    </w:p>
    <w:tbl>
      <w:tblPr>
        <w:tblW w:w="9608" w:type="dxa"/>
        <w:jc w:val="center"/>
        <w:tblLook w:val="04A0" w:firstRow="1" w:lastRow="0" w:firstColumn="1" w:lastColumn="0" w:noHBand="0" w:noVBand="1"/>
      </w:tblPr>
      <w:tblGrid>
        <w:gridCol w:w="2530"/>
        <w:gridCol w:w="1836"/>
        <w:gridCol w:w="15"/>
        <w:gridCol w:w="1605"/>
        <w:gridCol w:w="1925"/>
        <w:gridCol w:w="1713"/>
      </w:tblGrid>
      <w:tr w:rsidR="00546618" w:rsidRPr="00C34885" w:rsidTr="00432DEF">
        <w:trPr>
          <w:trHeight w:val="144"/>
          <w:jc w:val="center"/>
        </w:trPr>
        <w:tc>
          <w:tcPr>
            <w:tcW w:w="2514" w:type="dxa"/>
            <w:tcBorders>
              <w:top w:val="single" w:sz="4" w:space="0" w:color="auto"/>
              <w:left w:val="nil"/>
              <w:bottom w:val="nil"/>
              <w:right w:val="nil"/>
            </w:tcBorders>
            <w:shd w:val="clear" w:color="auto" w:fill="auto"/>
            <w:noWrap/>
            <w:vAlign w:val="bottom"/>
            <w:hideMark/>
          </w:tcPr>
          <w:p w:rsidR="00546618" w:rsidRPr="00114204" w:rsidRDefault="00546618"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7094" w:type="dxa"/>
            <w:gridSpan w:val="5"/>
            <w:tcBorders>
              <w:top w:val="single" w:sz="4" w:space="0" w:color="auto"/>
              <w:left w:val="nil"/>
              <w:bottom w:val="nil"/>
              <w:right w:val="nil"/>
            </w:tcBorders>
            <w:shd w:val="clear" w:color="auto" w:fill="auto"/>
            <w:noWrap/>
            <w:vAlign w:val="bottom"/>
            <w:hideMark/>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Dividend </w:t>
            </w:r>
            <w:r>
              <w:rPr>
                <w:rFonts w:ascii="Times New Roman" w:eastAsia="Times New Roman" w:hAnsi="Times New Roman"/>
                <w:sz w:val="17"/>
                <w:szCs w:val="17"/>
              </w:rPr>
              <w:t>payout ratio</w:t>
            </w:r>
            <w:r w:rsidRPr="00114204">
              <w:rPr>
                <w:rFonts w:ascii="Times New Roman" w:eastAsia="Times New Roman" w:hAnsi="Times New Roman"/>
                <w:sz w:val="17"/>
                <w:szCs w:val="17"/>
              </w:rPr>
              <w:t xml:space="preserve"> </w:t>
            </w:r>
          </w:p>
        </w:tc>
      </w:tr>
      <w:tr w:rsidR="00546618" w:rsidRPr="00C34885" w:rsidTr="00432DEF">
        <w:trPr>
          <w:trHeight w:val="144"/>
          <w:jc w:val="center"/>
        </w:trPr>
        <w:tc>
          <w:tcPr>
            <w:tcW w:w="2514" w:type="dxa"/>
            <w:tcBorders>
              <w:top w:val="nil"/>
              <w:left w:val="nil"/>
              <w:bottom w:val="single" w:sz="4" w:space="0" w:color="auto"/>
              <w:right w:val="nil"/>
            </w:tcBorders>
            <w:shd w:val="clear" w:color="auto" w:fill="auto"/>
            <w:noWrap/>
            <w:vAlign w:val="bottom"/>
          </w:tcPr>
          <w:p w:rsidR="00546618" w:rsidRPr="00114204" w:rsidRDefault="00546618" w:rsidP="00F609C2">
            <w:pPr>
              <w:spacing w:after="0" w:line="240" w:lineRule="auto"/>
              <w:rPr>
                <w:rFonts w:ascii="Times New Roman" w:eastAsia="Times New Roman" w:hAnsi="Times New Roman"/>
                <w:sz w:val="17"/>
                <w:szCs w:val="17"/>
              </w:rPr>
            </w:pPr>
          </w:p>
        </w:tc>
        <w:tc>
          <w:tcPr>
            <w:tcW w:w="3456" w:type="dxa"/>
            <w:gridSpan w:val="3"/>
            <w:tcBorders>
              <w:top w:val="nil"/>
              <w:left w:val="nil"/>
              <w:bottom w:val="single" w:sz="4" w:space="0" w:color="auto"/>
              <w:right w:val="nil"/>
            </w:tcBorders>
            <w:shd w:val="clear" w:color="auto" w:fill="auto"/>
            <w:noWrap/>
            <w:vAlign w:val="bottom"/>
          </w:tcPr>
          <w:p w:rsidR="00546618" w:rsidRPr="00114204" w:rsidRDefault="00546618" w:rsidP="00EA213D">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CEO</w:t>
            </w:r>
            <w:r w:rsidR="004F2482">
              <w:rPr>
                <w:rFonts w:ascii="Times New Roman" w:eastAsia="Times New Roman" w:hAnsi="Times New Roman"/>
                <w:sz w:val="17"/>
                <w:szCs w:val="17"/>
              </w:rPr>
              <w:t xml:space="preserve"> </w:t>
            </w:r>
            <w:r w:rsidR="00EA213D">
              <w:rPr>
                <w:rFonts w:ascii="Times New Roman" w:eastAsia="Times New Roman" w:hAnsi="Times New Roman"/>
                <w:sz w:val="17"/>
                <w:szCs w:val="17"/>
              </w:rPr>
              <w:t>only</w:t>
            </w:r>
          </w:p>
        </w:tc>
        <w:tc>
          <w:tcPr>
            <w:tcW w:w="3638" w:type="dxa"/>
            <w:gridSpan w:val="2"/>
            <w:tcBorders>
              <w:top w:val="nil"/>
              <w:left w:val="nil"/>
              <w:bottom w:val="single" w:sz="4" w:space="0" w:color="auto"/>
              <w:right w:val="nil"/>
            </w:tcBorders>
            <w:shd w:val="clear" w:color="auto" w:fill="auto"/>
            <w:noWrap/>
            <w:vAlign w:val="bottom"/>
          </w:tcPr>
          <w:p w:rsidR="00546618" w:rsidRPr="00114204" w:rsidRDefault="0097633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All executives</w:t>
            </w:r>
          </w:p>
        </w:tc>
      </w:tr>
      <w:tr w:rsidR="00546618" w:rsidRPr="00C34885" w:rsidTr="00432DEF">
        <w:trPr>
          <w:trHeight w:val="144"/>
          <w:jc w:val="center"/>
        </w:trPr>
        <w:tc>
          <w:tcPr>
            <w:tcW w:w="2514" w:type="dxa"/>
            <w:tcBorders>
              <w:top w:val="nil"/>
              <w:left w:val="nil"/>
              <w:bottom w:val="single" w:sz="4" w:space="0" w:color="auto"/>
              <w:right w:val="nil"/>
            </w:tcBorders>
            <w:shd w:val="clear" w:color="auto" w:fill="auto"/>
            <w:noWrap/>
            <w:vAlign w:val="bottom"/>
            <w:hideMark/>
          </w:tcPr>
          <w:p w:rsidR="00546618" w:rsidRPr="00114204" w:rsidRDefault="00546618"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1836" w:type="dxa"/>
            <w:tcBorders>
              <w:top w:val="nil"/>
              <w:left w:val="nil"/>
              <w:bottom w:val="single" w:sz="4" w:space="0" w:color="auto"/>
              <w:right w:val="nil"/>
            </w:tcBorders>
            <w:shd w:val="clear" w:color="auto" w:fill="auto"/>
            <w:noWrap/>
            <w:vAlign w:val="bottom"/>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Compensation leverage </w:t>
            </w:r>
          </w:p>
        </w:tc>
        <w:tc>
          <w:tcPr>
            <w:tcW w:w="1620" w:type="dxa"/>
            <w:gridSpan w:val="2"/>
            <w:tcBorders>
              <w:top w:val="nil"/>
              <w:left w:val="nil"/>
              <w:bottom w:val="single" w:sz="4" w:space="0" w:color="auto"/>
              <w:right w:val="nil"/>
            </w:tcBorders>
            <w:shd w:val="clear" w:color="auto" w:fill="auto"/>
            <w:noWrap/>
            <w:vAlign w:val="bottom"/>
            <w:hideMark/>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c>
          <w:tcPr>
            <w:tcW w:w="1925" w:type="dxa"/>
            <w:tcBorders>
              <w:top w:val="nil"/>
              <w:left w:val="nil"/>
              <w:bottom w:val="single" w:sz="4" w:space="0" w:color="auto"/>
              <w:right w:val="nil"/>
            </w:tcBorders>
            <w:shd w:val="clear" w:color="auto" w:fill="auto"/>
            <w:noWrap/>
            <w:vAlign w:val="bottom"/>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Compensation leverage</w:t>
            </w:r>
          </w:p>
        </w:tc>
        <w:tc>
          <w:tcPr>
            <w:tcW w:w="1713" w:type="dxa"/>
            <w:tcBorders>
              <w:top w:val="nil"/>
              <w:left w:val="nil"/>
              <w:bottom w:val="single" w:sz="4" w:space="0" w:color="auto"/>
              <w:right w:val="nil"/>
            </w:tcBorders>
            <w:shd w:val="clear" w:color="auto" w:fill="auto"/>
            <w:noWrap/>
            <w:vAlign w:val="bottom"/>
          </w:tcPr>
          <w:p w:rsidR="00546618" w:rsidRPr="00114204" w:rsidRDefault="00546618"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vAlign w:val="bottom"/>
            <w:hideMark/>
          </w:tcPr>
          <w:p w:rsidR="00546618" w:rsidRPr="00C34885" w:rsidRDefault="00546618" w:rsidP="00F609C2">
            <w:pPr>
              <w:spacing w:after="0" w:line="240" w:lineRule="auto"/>
              <w:rPr>
                <w:rFonts w:ascii="Times New Roman" w:eastAsia="Times New Roman" w:hAnsi="Times New Roman"/>
                <w:i/>
                <w:iCs/>
                <w:color w:val="000000"/>
                <w:sz w:val="17"/>
                <w:szCs w:val="17"/>
              </w:rPr>
            </w:pPr>
          </w:p>
        </w:tc>
        <w:tc>
          <w:tcPr>
            <w:tcW w:w="1851" w:type="dxa"/>
            <w:gridSpan w:val="2"/>
            <w:tcBorders>
              <w:top w:val="nil"/>
              <w:left w:val="nil"/>
              <w:bottom w:val="nil"/>
              <w:right w:val="nil"/>
            </w:tcBorders>
            <w:shd w:val="clear" w:color="auto" w:fill="auto"/>
            <w:noWrap/>
            <w:vAlign w:val="bottom"/>
          </w:tcPr>
          <w:p w:rsidR="00546618" w:rsidRPr="00C34885" w:rsidRDefault="00546618" w:rsidP="00F609C2">
            <w:pPr>
              <w:spacing w:after="0" w:line="240" w:lineRule="auto"/>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546618" w:rsidRPr="00C34885" w:rsidRDefault="00546618" w:rsidP="00F609C2">
            <w:pPr>
              <w:spacing w:after="0" w:line="240" w:lineRule="auto"/>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546618" w:rsidRPr="00C34885" w:rsidRDefault="00546618" w:rsidP="00F609C2">
            <w:pPr>
              <w:spacing w:after="0" w:line="240" w:lineRule="auto"/>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851" w:type="dxa"/>
            <w:gridSpan w:val="2"/>
            <w:tcBorders>
              <w:top w:val="nil"/>
              <w:left w:val="nil"/>
              <w:bottom w:val="nil"/>
              <w:right w:val="nil"/>
            </w:tcBorders>
            <w:shd w:val="clear" w:color="auto" w:fill="auto"/>
            <w:noWrap/>
            <w:vAlign w:val="center"/>
          </w:tcPr>
          <w:p w:rsidR="00546618" w:rsidRPr="00CF0E95" w:rsidRDefault="00546618" w:rsidP="00F609C2">
            <w:pPr>
              <w:spacing w:after="0" w:line="240" w:lineRule="auto"/>
              <w:jc w:val="center"/>
              <w:rPr>
                <w:rFonts w:ascii="Times New Roman" w:eastAsia="Times New Roman" w:hAnsi="Times New Roman"/>
                <w:color w:val="000000"/>
                <w:sz w:val="17"/>
                <w:szCs w:val="17"/>
                <w:vertAlign w:val="subscript"/>
              </w:rPr>
            </w:pPr>
            <w:r>
              <w:rPr>
                <w:rFonts w:ascii="Times New Roman" w:eastAsia="Times New Roman" w:hAnsi="Times New Roman"/>
                <w:color w:val="000000"/>
                <w:sz w:val="17"/>
                <w:szCs w:val="17"/>
              </w:rPr>
              <w:t>-3.742</w:t>
            </w:r>
            <w:r w:rsidR="00882208">
              <w:rPr>
                <w:rFonts w:ascii="Times New Roman" w:eastAsia="Times New Roman" w:hAnsi="Times New Roman"/>
                <w:color w:val="000000"/>
                <w:sz w:val="17"/>
                <w:szCs w:val="17"/>
              </w:rPr>
              <w:t>0</w:t>
            </w:r>
            <w:r>
              <w:rPr>
                <w:rFonts w:ascii="Times New Roman" w:eastAsia="Times New Roman" w:hAnsi="Times New Roman"/>
                <w:color w:val="000000"/>
                <w:sz w:val="17"/>
                <w:szCs w:val="17"/>
              </w:rPr>
              <w:t>***</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p>
        </w:tc>
        <w:tc>
          <w:tcPr>
            <w:tcW w:w="1925" w:type="dxa"/>
            <w:tcBorders>
              <w:top w:val="nil"/>
              <w:left w:val="nil"/>
              <w:bottom w:val="nil"/>
              <w:right w:val="nil"/>
            </w:tcBorders>
            <w:shd w:val="clear" w:color="auto" w:fill="auto"/>
            <w:noWrap/>
            <w:vAlign w:val="center"/>
          </w:tcPr>
          <w:p w:rsidR="00546618" w:rsidRPr="00042AF2" w:rsidRDefault="00546618" w:rsidP="0088220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-2.3947</w:t>
            </w:r>
            <w:r w:rsidRPr="00042AF2">
              <w:rPr>
                <w:rFonts w:ascii="Times New Roman" w:eastAsia="Times New Roman" w:hAnsi="Times New Roman"/>
                <w:color w:val="000000"/>
                <w:sz w:val="17"/>
                <w:szCs w:val="17"/>
              </w:rPr>
              <w:t>***</w:t>
            </w:r>
          </w:p>
        </w:tc>
        <w:tc>
          <w:tcPr>
            <w:tcW w:w="1713"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(-8.37)</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(-7.91)</w:t>
            </w:r>
          </w:p>
        </w:tc>
        <w:tc>
          <w:tcPr>
            <w:tcW w:w="1713"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851" w:type="dxa"/>
            <w:gridSpan w:val="2"/>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-0.2878***</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-0.2804***</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(-6.20)</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(-4.32)</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851" w:type="dxa"/>
            <w:gridSpan w:val="2"/>
            <w:tcBorders>
              <w:top w:val="nil"/>
              <w:left w:val="nil"/>
              <w:bottom w:val="nil"/>
              <w:right w:val="nil"/>
            </w:tcBorders>
            <w:shd w:val="clear" w:color="auto" w:fill="auto"/>
            <w:noWrap/>
            <w:vAlign w:val="center"/>
          </w:tcPr>
          <w:p w:rsidR="00546618" w:rsidRPr="00042AF2" w:rsidRDefault="00546618" w:rsidP="00882208">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-0.0129***</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-0.0058*</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-0.0027*</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-0.0026</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(-8.06)</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(-1.87)</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(-1.75)</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(-0.82)</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0.0254***</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0.0260***</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0.0102</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0.0222**</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(3.61)</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(3.77)</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1.52)</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(2.37)</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r w:rsidRPr="00A526D7">
              <w:rPr>
                <w:rFonts w:ascii="Times New Roman" w:eastAsia="Times New Roman" w:hAnsi="Times New Roman"/>
                <w:color w:val="000000"/>
                <w:sz w:val="17"/>
                <w:szCs w:val="17"/>
              </w:rPr>
              <w:t>Log(income)</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-3.4808***</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-3.4485</w:t>
            </w:r>
            <w:r w:rsidRPr="00042AF2">
              <w:rPr>
                <w:rFonts w:ascii="Times New Roman" w:eastAsia="Times New Roman" w:hAnsi="Times New Roman"/>
                <w:color w:val="000000"/>
                <w:sz w:val="17"/>
                <w:szCs w:val="17"/>
              </w:rPr>
              <w:t>***</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-3.0938***</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-3.1824</w:t>
            </w:r>
            <w:r w:rsidRPr="00042AF2">
              <w:rPr>
                <w:rFonts w:ascii="Times New Roman" w:eastAsia="Times New Roman" w:hAnsi="Times New Roman"/>
                <w:color w:val="000000"/>
                <w:sz w:val="17"/>
                <w:szCs w:val="17"/>
              </w:rPr>
              <w:t>***</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(-16.76)</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(-16.02)</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(-16.83)</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(-16.66)</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color w:val="000000"/>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color w:val="000000"/>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color w:val="000000"/>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color w:val="000000"/>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C91DF3" w:rsidP="00943C2D">
            <w:pPr>
              <w:spacing w:after="0" w:line="240" w:lineRule="auto"/>
              <w:rPr>
                <w:rFonts w:ascii="Times New Roman" w:eastAsia="Times New Roman" w:hAnsi="Times New Roman"/>
                <w:color w:val="000000"/>
                <w:sz w:val="17"/>
                <w:szCs w:val="17"/>
              </w:rPr>
            </w:pPr>
            <w:r w:rsidRPr="00C91DF3">
              <w:rPr>
                <w:rFonts w:ascii="Times New Roman" w:eastAsia="Times New Roman" w:hAnsi="Times New Roman"/>
                <w:color w:val="000000"/>
                <w:sz w:val="17"/>
                <w:szCs w:val="17"/>
              </w:rPr>
              <w:t>C</w:t>
            </w:r>
            <w:r w:rsidR="00943C2D" w:rsidRPr="00C91DF3">
              <w:rPr>
                <w:rFonts w:ascii="Times New Roman" w:eastAsia="Times New Roman" w:hAnsi="Times New Roman"/>
                <w:color w:val="000000"/>
                <w:sz w:val="17"/>
                <w:szCs w:val="17"/>
              </w:rPr>
              <w:t>ash d</w:t>
            </w:r>
            <w:r w:rsidR="00546618" w:rsidRPr="00C91DF3">
              <w:rPr>
                <w:rFonts w:ascii="Times New Roman" w:eastAsia="Times New Roman" w:hAnsi="Times New Roman"/>
                <w:color w:val="000000"/>
                <w:sz w:val="17"/>
                <w:szCs w:val="17"/>
              </w:rPr>
              <w:t>ividend</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0.0007***</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0.0007</w:t>
            </w:r>
            <w:r w:rsidRPr="00042AF2">
              <w:rPr>
                <w:rFonts w:ascii="Times New Roman" w:eastAsia="Times New Roman" w:hAnsi="Times New Roman"/>
                <w:color w:val="000000"/>
                <w:sz w:val="17"/>
                <w:szCs w:val="17"/>
              </w:rPr>
              <w:t>***</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0.0007***</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0.0007***</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(5.05)</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(4.90)</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5.49)</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5.12)</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4.247</w:t>
            </w:r>
            <w:r w:rsidR="00882208">
              <w:rPr>
                <w:rFonts w:ascii="Times New Roman" w:eastAsia="Times New Roman" w:hAnsi="Times New Roman"/>
                <w:color w:val="000000"/>
                <w:sz w:val="17"/>
                <w:szCs w:val="17"/>
              </w:rPr>
              <w:t>0</w:t>
            </w:r>
            <w:r>
              <w:rPr>
                <w:rFonts w:ascii="Times New Roman" w:eastAsia="Times New Roman" w:hAnsi="Times New Roman"/>
                <w:color w:val="000000"/>
                <w:sz w:val="17"/>
                <w:szCs w:val="17"/>
              </w:rPr>
              <w:t>***</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4.0052***</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3.8689***</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3.8129***</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(12.62)</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(10.22)</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(13.16)</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(11.83)</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0.0002***</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0.0002***</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0.0193*</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0.0186*</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(-4.40)</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(-3.37)</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(1.81)</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1.68</w:t>
            </w:r>
            <w:r w:rsidRPr="00042AF2">
              <w:rPr>
                <w:rFonts w:ascii="Times New Roman" w:eastAsia="Times New Roman" w:hAnsi="Times New Roman"/>
                <w:color w:val="000000"/>
                <w:sz w:val="17"/>
                <w:szCs w:val="17"/>
              </w:rPr>
              <w:t>)</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1769BD">
            <w:pPr>
              <w:spacing w:after="0" w:line="240" w:lineRule="auto"/>
              <w:rPr>
                <w:rFonts w:ascii="Times New Roman" w:eastAsia="Times New Roman" w:hAnsi="Times New Roman"/>
                <w:color w:val="000000"/>
                <w:sz w:val="17"/>
                <w:szCs w:val="17"/>
              </w:rPr>
            </w:pPr>
            <w:r w:rsidRPr="001769BD">
              <w:rPr>
                <w:rFonts w:ascii="Times New Roman" w:eastAsia="Times New Roman" w:hAnsi="Times New Roman"/>
                <w:color w:val="000000"/>
                <w:sz w:val="17"/>
                <w:szCs w:val="17"/>
              </w:rPr>
              <w:t xml:space="preserve">Debt/equity </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-0.0010</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-0.0016</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-0.0296*</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-0.0289*</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(-0.66)</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(-1.34)</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(-1.82)</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-1.74</w:t>
            </w:r>
            <w:r w:rsidRPr="00042AF2">
              <w:rPr>
                <w:rFonts w:ascii="Times New Roman" w:eastAsia="Times New Roman" w:hAnsi="Times New Roman"/>
                <w:color w:val="000000"/>
                <w:sz w:val="17"/>
                <w:szCs w:val="17"/>
              </w:rPr>
              <w:t>)</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F0E95" w:rsidRDefault="00546618" w:rsidP="00F609C2">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0.0002</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0.0009</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0.0008</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(1.64)</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(1.59)</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1.23)</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1.11)</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0.0004</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0.0005*</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0.0003</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-0.0004</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(1.47)</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(1.71)</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(1.39)</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(1.64)</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943C2D" w:rsidP="00943C2D">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Market b</w:t>
            </w:r>
            <w:r w:rsidR="00546618">
              <w:rPr>
                <w:rFonts w:ascii="Times New Roman" w:eastAsia="Times New Roman" w:hAnsi="Times New Roman"/>
                <w:color w:val="000000"/>
                <w:sz w:val="17"/>
                <w:szCs w:val="17"/>
              </w:rPr>
              <w:t>eta</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0.4132</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0.4168</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-0.1553</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-0.2168</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(1.53)</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(1.62)</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-0.99)</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(-1.36)</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color w:val="000000"/>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color w:val="000000"/>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color w:val="000000"/>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color w:val="000000"/>
                <w:sz w:val="17"/>
                <w:szCs w:val="17"/>
              </w:rPr>
            </w:pP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-0.8916**</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-0.7652**</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-0.0708***</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-0.0621***</w:t>
            </w:r>
          </w:p>
        </w:tc>
      </w:tr>
      <w:tr w:rsidR="00546618" w:rsidRPr="00C34885" w:rsidTr="00432DEF">
        <w:trPr>
          <w:trHeight w:val="144"/>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042AF2" w:rsidRDefault="00546618"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(-2.61)</w:t>
            </w:r>
          </w:p>
        </w:tc>
        <w:tc>
          <w:tcPr>
            <w:tcW w:w="1605" w:type="dxa"/>
            <w:tcBorders>
              <w:top w:val="nil"/>
              <w:left w:val="nil"/>
              <w:bottom w:val="nil"/>
              <w:right w:val="nil"/>
            </w:tcBorders>
            <w:shd w:val="clear" w:color="auto" w:fill="auto"/>
            <w:noWrap/>
            <w:vAlign w:val="center"/>
            <w:hideMark/>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(-2.16)</w:t>
            </w:r>
          </w:p>
        </w:tc>
        <w:tc>
          <w:tcPr>
            <w:tcW w:w="1925"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(-5.29)</w:t>
            </w:r>
          </w:p>
        </w:tc>
        <w:tc>
          <w:tcPr>
            <w:tcW w:w="1713" w:type="dxa"/>
            <w:tcBorders>
              <w:top w:val="nil"/>
              <w:left w:val="nil"/>
              <w:bottom w:val="nil"/>
              <w:right w:val="nil"/>
            </w:tcBorders>
            <w:shd w:val="clear" w:color="auto" w:fill="auto"/>
            <w:noWrap/>
            <w:vAlign w:val="center"/>
          </w:tcPr>
          <w:p w:rsidR="00546618" w:rsidRPr="00042AF2"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(-8.26)</w:t>
            </w: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hRule="exact" w:val="72"/>
          <w:jc w:val="center"/>
        </w:trPr>
        <w:tc>
          <w:tcPr>
            <w:tcW w:w="2514" w:type="dxa"/>
            <w:tcBorders>
              <w:top w:val="nil"/>
              <w:left w:val="nil"/>
              <w:bottom w:val="nil"/>
              <w:right w:val="nil"/>
            </w:tcBorders>
            <w:shd w:val="clear" w:color="auto" w:fill="auto"/>
            <w:noWrap/>
            <w:tcMar>
              <w:left w:w="0" w:type="dxa"/>
              <w:right w:w="0" w:type="dxa"/>
            </w:tcMar>
            <w:vAlign w:val="bottom"/>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center"/>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center"/>
          </w:tcPr>
          <w:p w:rsidR="00546618" w:rsidRPr="00C34885" w:rsidRDefault="00546618" w:rsidP="00F609C2">
            <w:pPr>
              <w:spacing w:after="0" w:line="240" w:lineRule="auto"/>
              <w:jc w:val="center"/>
              <w:rPr>
                <w:rFonts w:ascii="Times New Roman" w:eastAsia="Times New Roman" w:hAnsi="Times New Roman"/>
                <w:sz w:val="17"/>
                <w:szCs w:val="17"/>
              </w:rPr>
            </w:pPr>
          </w:p>
        </w:tc>
      </w:tr>
      <w:tr w:rsidR="00546618" w:rsidRPr="00C34885" w:rsidTr="00432DEF">
        <w:trPr>
          <w:trHeight w:val="144"/>
          <w:jc w:val="center"/>
        </w:trPr>
        <w:tc>
          <w:tcPr>
            <w:tcW w:w="2514" w:type="dxa"/>
            <w:tcBorders>
              <w:top w:val="nil"/>
              <w:left w:val="nil"/>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Observations</w:t>
            </w:r>
          </w:p>
        </w:tc>
        <w:tc>
          <w:tcPr>
            <w:tcW w:w="1851" w:type="dxa"/>
            <w:gridSpan w:val="2"/>
            <w:tcBorders>
              <w:top w:val="nil"/>
              <w:left w:val="nil"/>
              <w:right w:val="nil"/>
            </w:tcBorders>
            <w:shd w:val="clear" w:color="auto" w:fill="auto"/>
            <w:noWrap/>
            <w:vAlign w:val="center"/>
          </w:tcPr>
          <w:p w:rsidR="00546618" w:rsidRPr="0040175C"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0034CA">
              <w:rPr>
                <w:rFonts w:ascii="Times New Roman" w:eastAsia="Times New Roman" w:hAnsi="Times New Roman"/>
                <w:color w:val="000000"/>
                <w:sz w:val="17"/>
                <w:szCs w:val="17"/>
              </w:rPr>
              <w:t>,</w:t>
            </w:r>
            <w:r>
              <w:rPr>
                <w:rFonts w:ascii="Times New Roman" w:eastAsia="Times New Roman" w:hAnsi="Times New Roman"/>
                <w:color w:val="000000"/>
                <w:sz w:val="17"/>
                <w:szCs w:val="17"/>
              </w:rPr>
              <w:t>502</w:t>
            </w:r>
          </w:p>
        </w:tc>
        <w:tc>
          <w:tcPr>
            <w:tcW w:w="1605" w:type="dxa"/>
            <w:tcBorders>
              <w:top w:val="nil"/>
              <w:left w:val="nil"/>
              <w:right w:val="nil"/>
            </w:tcBorders>
            <w:shd w:val="clear" w:color="auto" w:fill="auto"/>
            <w:noWrap/>
            <w:vAlign w:val="center"/>
            <w:hideMark/>
          </w:tcPr>
          <w:p w:rsidR="00546618" w:rsidRPr="0040175C" w:rsidRDefault="00546618"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0034CA">
              <w:rPr>
                <w:rFonts w:ascii="Times New Roman" w:eastAsia="Times New Roman" w:hAnsi="Times New Roman"/>
                <w:color w:val="000000"/>
                <w:sz w:val="17"/>
                <w:szCs w:val="17"/>
              </w:rPr>
              <w:t>,</w:t>
            </w:r>
            <w:r>
              <w:rPr>
                <w:rFonts w:ascii="Times New Roman" w:eastAsia="Times New Roman" w:hAnsi="Times New Roman"/>
                <w:color w:val="000000"/>
                <w:sz w:val="17"/>
                <w:szCs w:val="17"/>
              </w:rPr>
              <w:t>430</w:t>
            </w:r>
          </w:p>
        </w:tc>
        <w:tc>
          <w:tcPr>
            <w:tcW w:w="1925" w:type="dxa"/>
            <w:tcBorders>
              <w:top w:val="nil"/>
              <w:left w:val="nil"/>
              <w:right w:val="nil"/>
            </w:tcBorders>
            <w:shd w:val="clear" w:color="auto" w:fill="auto"/>
            <w:noWrap/>
            <w:vAlign w:val="center"/>
          </w:tcPr>
          <w:p w:rsidR="00546618" w:rsidRPr="0040175C" w:rsidRDefault="00546618" w:rsidP="00F609C2">
            <w:pPr>
              <w:spacing w:after="0" w:line="240" w:lineRule="auto"/>
              <w:jc w:val="center"/>
              <w:rPr>
                <w:rFonts w:ascii="Times New Roman" w:eastAsia="Times New Roman" w:hAnsi="Times New Roman"/>
                <w:color w:val="000000"/>
                <w:sz w:val="17"/>
                <w:szCs w:val="17"/>
              </w:rPr>
            </w:pPr>
            <w:r w:rsidRPr="0040175C">
              <w:rPr>
                <w:rFonts w:ascii="Times New Roman" w:eastAsia="Times New Roman" w:hAnsi="Times New Roman"/>
                <w:color w:val="000000"/>
                <w:sz w:val="17"/>
                <w:szCs w:val="17"/>
              </w:rPr>
              <w:t>1</w:t>
            </w:r>
            <w:r w:rsidR="000034CA">
              <w:rPr>
                <w:rFonts w:ascii="Times New Roman" w:eastAsia="Times New Roman" w:hAnsi="Times New Roman"/>
                <w:color w:val="000000"/>
                <w:sz w:val="17"/>
                <w:szCs w:val="17"/>
              </w:rPr>
              <w:t>,</w:t>
            </w:r>
            <w:r>
              <w:rPr>
                <w:rFonts w:ascii="Times New Roman" w:eastAsia="Times New Roman" w:hAnsi="Times New Roman"/>
                <w:color w:val="000000"/>
                <w:sz w:val="17"/>
                <w:szCs w:val="17"/>
              </w:rPr>
              <w:t>644</w:t>
            </w:r>
          </w:p>
        </w:tc>
        <w:tc>
          <w:tcPr>
            <w:tcW w:w="1713" w:type="dxa"/>
            <w:tcBorders>
              <w:top w:val="nil"/>
              <w:left w:val="nil"/>
              <w:right w:val="nil"/>
            </w:tcBorders>
            <w:shd w:val="clear" w:color="auto" w:fill="auto"/>
            <w:noWrap/>
            <w:vAlign w:val="center"/>
          </w:tcPr>
          <w:p w:rsidR="00546618" w:rsidRPr="0040175C" w:rsidRDefault="00546618" w:rsidP="00F609C2">
            <w:pPr>
              <w:spacing w:after="0" w:line="240" w:lineRule="auto"/>
              <w:jc w:val="center"/>
              <w:rPr>
                <w:rFonts w:ascii="Times New Roman" w:eastAsia="Times New Roman" w:hAnsi="Times New Roman"/>
                <w:color w:val="000000"/>
                <w:sz w:val="17"/>
                <w:szCs w:val="17"/>
              </w:rPr>
            </w:pPr>
            <w:r w:rsidRPr="0040175C">
              <w:rPr>
                <w:rFonts w:ascii="Times New Roman" w:eastAsia="Times New Roman" w:hAnsi="Times New Roman"/>
                <w:color w:val="000000"/>
                <w:sz w:val="17"/>
                <w:szCs w:val="17"/>
              </w:rPr>
              <w:t>1</w:t>
            </w:r>
            <w:r w:rsidR="000034CA">
              <w:rPr>
                <w:rFonts w:ascii="Times New Roman" w:eastAsia="Times New Roman" w:hAnsi="Times New Roman"/>
                <w:color w:val="000000"/>
                <w:sz w:val="17"/>
                <w:szCs w:val="17"/>
              </w:rPr>
              <w:t>,</w:t>
            </w:r>
            <w:r>
              <w:rPr>
                <w:rFonts w:ascii="Times New Roman" w:eastAsia="Times New Roman" w:hAnsi="Times New Roman"/>
                <w:color w:val="000000"/>
                <w:sz w:val="17"/>
                <w:szCs w:val="17"/>
              </w:rPr>
              <w:t>544</w:t>
            </w:r>
          </w:p>
        </w:tc>
      </w:tr>
      <w:tr w:rsidR="00546618" w:rsidRPr="00C34885" w:rsidTr="00432DEF">
        <w:trPr>
          <w:trHeight w:hRule="exact" w:val="72"/>
          <w:jc w:val="center"/>
        </w:trPr>
        <w:tc>
          <w:tcPr>
            <w:tcW w:w="2514" w:type="dxa"/>
            <w:tcBorders>
              <w:top w:val="nil"/>
              <w:left w:val="nil"/>
              <w:bottom w:val="single" w:sz="4" w:space="0" w:color="auto"/>
              <w:right w:val="nil"/>
            </w:tcBorders>
            <w:shd w:val="clear" w:color="auto" w:fill="auto"/>
            <w:noWrap/>
            <w:tcMar>
              <w:left w:w="0" w:type="dxa"/>
              <w:right w:w="0" w:type="dxa"/>
            </w:tcMar>
            <w:vAlign w:val="bottom"/>
            <w:hideMark/>
          </w:tcPr>
          <w:p w:rsidR="00546618" w:rsidRPr="00C34885" w:rsidRDefault="00546618"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single" w:sz="4" w:space="0" w:color="auto"/>
              <w:right w:val="nil"/>
            </w:tcBorders>
            <w:shd w:val="clear" w:color="auto" w:fill="auto"/>
            <w:noWrap/>
            <w:vAlign w:val="bottom"/>
          </w:tcPr>
          <w:p w:rsidR="00546618" w:rsidRDefault="00546618"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single" w:sz="4" w:space="0" w:color="auto"/>
              <w:right w:val="nil"/>
            </w:tcBorders>
            <w:shd w:val="clear" w:color="auto" w:fill="auto"/>
            <w:noWrap/>
            <w:vAlign w:val="bottom"/>
            <w:hideMark/>
          </w:tcPr>
          <w:p w:rsidR="00546618" w:rsidRDefault="00546618"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single" w:sz="4" w:space="0" w:color="auto"/>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single" w:sz="4" w:space="0" w:color="auto"/>
              <w:right w:val="nil"/>
            </w:tcBorders>
            <w:shd w:val="clear" w:color="auto" w:fill="auto"/>
            <w:noWrap/>
            <w:vAlign w:val="bottom"/>
          </w:tcPr>
          <w:p w:rsidR="00546618" w:rsidRPr="00C34885" w:rsidRDefault="00546618" w:rsidP="00F609C2">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pPr>
    </w:p>
    <w:p w:rsidR="004942E7" w:rsidRDefault="004942E7" w:rsidP="004942E7">
      <w:r>
        <w:br w:type="page"/>
      </w:r>
    </w:p>
    <w:p w:rsidR="004942E7" w:rsidRDefault="004942E7" w:rsidP="004942E7">
      <w:pPr>
        <w:spacing w:after="0" w:line="240" w:lineRule="auto"/>
        <w:jc w:val="both"/>
        <w:rPr>
          <w:rFonts w:ascii="Times New Roman" w:eastAsia="Times New Roman" w:hAnsi="Times New Roman"/>
          <w:b/>
          <w:bCs/>
          <w:color w:val="000000"/>
          <w:sz w:val="24"/>
          <w:szCs w:val="24"/>
        </w:rPr>
      </w:pPr>
      <w:r w:rsidRPr="00A76E05">
        <w:rPr>
          <w:rFonts w:ascii="Times New Roman" w:eastAsia="Times New Roman" w:hAnsi="Times New Roman"/>
          <w:b/>
          <w:bCs/>
          <w:color w:val="000000"/>
          <w:sz w:val="24"/>
          <w:szCs w:val="24"/>
        </w:rPr>
        <w:lastRenderedPageBreak/>
        <w:t xml:space="preserve">Table 6: 2SLS regressions of firm </w:t>
      </w:r>
      <w:r w:rsidR="00E367EF">
        <w:rPr>
          <w:rFonts w:ascii="Times New Roman" w:eastAsia="Times New Roman" w:hAnsi="Times New Roman"/>
          <w:b/>
          <w:bCs/>
          <w:color w:val="000000"/>
          <w:sz w:val="24"/>
          <w:szCs w:val="24"/>
        </w:rPr>
        <w:t xml:space="preserve">dividend </w:t>
      </w:r>
      <w:r w:rsidRPr="00A76E05">
        <w:rPr>
          <w:rFonts w:ascii="Times New Roman" w:eastAsia="Times New Roman" w:hAnsi="Times New Roman"/>
          <w:b/>
          <w:bCs/>
          <w:color w:val="000000"/>
          <w:sz w:val="24"/>
          <w:szCs w:val="24"/>
        </w:rPr>
        <w:t>payout ratio on compensation leverage and inside debt</w:t>
      </w:r>
    </w:p>
    <w:p w:rsidR="00E24DDD" w:rsidRDefault="004942E7" w:rsidP="00E24DDD">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The table replicate</w:t>
      </w:r>
      <w:r w:rsidR="00FC3B15">
        <w:rPr>
          <w:rFonts w:ascii="Times New Roman" w:eastAsia="Times New Roman" w:hAnsi="Times New Roman"/>
          <w:bCs/>
          <w:sz w:val="18"/>
          <w:szCs w:val="18"/>
        </w:rPr>
        <w:t>s</w:t>
      </w:r>
      <w:r>
        <w:rPr>
          <w:rFonts w:ascii="Times New Roman" w:eastAsia="Times New Roman" w:hAnsi="Times New Roman"/>
          <w:bCs/>
          <w:sz w:val="18"/>
          <w:szCs w:val="18"/>
        </w:rPr>
        <w:t xml:space="preserve"> the results in Table </w:t>
      </w:r>
      <w:r w:rsidR="00FC3B15">
        <w:rPr>
          <w:rFonts w:ascii="Times New Roman" w:eastAsia="Times New Roman" w:hAnsi="Times New Roman"/>
          <w:bCs/>
          <w:sz w:val="18"/>
          <w:szCs w:val="18"/>
        </w:rPr>
        <w:t>5</w:t>
      </w:r>
      <w:r>
        <w:rPr>
          <w:rFonts w:ascii="Times New Roman" w:eastAsia="Times New Roman" w:hAnsi="Times New Roman"/>
          <w:bCs/>
          <w:sz w:val="18"/>
          <w:szCs w:val="18"/>
        </w:rPr>
        <w:t xml:space="preserve"> using a 2SLS procedure with two instrumental variables for the pension measures: executive </w:t>
      </w:r>
      <w:r w:rsidR="00F43F1A">
        <w:rPr>
          <w:rFonts w:ascii="Times New Roman" w:eastAsia="Times New Roman" w:hAnsi="Times New Roman"/>
          <w:bCs/>
          <w:sz w:val="18"/>
          <w:szCs w:val="18"/>
        </w:rPr>
        <w:t>age</w:t>
      </w:r>
      <w:r>
        <w:rPr>
          <w:rFonts w:ascii="Times New Roman" w:eastAsia="Times New Roman" w:hAnsi="Times New Roman"/>
          <w:bCs/>
          <w:sz w:val="18"/>
          <w:szCs w:val="18"/>
        </w:rPr>
        <w:t xml:space="preserve"> and the multiplier factor, ‘M’.</w:t>
      </w:r>
      <w:r w:rsidR="00E24DDD">
        <w:rPr>
          <w:rFonts w:ascii="Times New Roman" w:eastAsia="Times New Roman" w:hAnsi="Times New Roman"/>
          <w:bCs/>
          <w:sz w:val="18"/>
          <w:szCs w:val="18"/>
        </w:rPr>
        <w:t xml:space="preserve"> </w:t>
      </w:r>
      <w:r w:rsidR="00E24DDD">
        <w:rPr>
          <w:rFonts w:ascii="Times New Roman" w:hAnsi="Times New Roman" w:cs="Times New Roman"/>
          <w:sz w:val="18"/>
          <w:szCs w:val="18"/>
        </w:rPr>
        <w:t>*, **, *** indicate significance at the 0.1, 0.05, and 0.01 levels, respectively.</w:t>
      </w:r>
    </w:p>
    <w:p w:rsidR="004942E7" w:rsidRDefault="004942E7" w:rsidP="004942E7">
      <w:pPr>
        <w:spacing w:after="0" w:line="240" w:lineRule="auto"/>
        <w:jc w:val="both"/>
        <w:rPr>
          <w:rFonts w:ascii="Times New Roman" w:eastAsia="Times New Roman" w:hAnsi="Times New Roman"/>
          <w:bCs/>
          <w:sz w:val="18"/>
          <w:szCs w:val="18"/>
        </w:rPr>
      </w:pPr>
    </w:p>
    <w:tbl>
      <w:tblPr>
        <w:tblW w:w="9603" w:type="dxa"/>
        <w:jc w:val="center"/>
        <w:tblLook w:val="04A0" w:firstRow="1" w:lastRow="0" w:firstColumn="1" w:lastColumn="0" w:noHBand="0" w:noVBand="1"/>
      </w:tblPr>
      <w:tblGrid>
        <w:gridCol w:w="2674"/>
        <w:gridCol w:w="1797"/>
        <w:gridCol w:w="216"/>
        <w:gridCol w:w="1372"/>
        <w:gridCol w:w="1886"/>
        <w:gridCol w:w="1674"/>
      </w:tblGrid>
      <w:tr w:rsidR="002E5461" w:rsidRPr="00C34885" w:rsidTr="000034CA">
        <w:trPr>
          <w:trHeight w:val="144"/>
          <w:jc w:val="center"/>
        </w:trPr>
        <w:tc>
          <w:tcPr>
            <w:tcW w:w="2658" w:type="dxa"/>
            <w:tcBorders>
              <w:top w:val="single" w:sz="4" w:space="0" w:color="auto"/>
              <w:left w:val="nil"/>
              <w:bottom w:val="nil"/>
              <w:right w:val="nil"/>
            </w:tcBorders>
            <w:shd w:val="clear" w:color="auto" w:fill="auto"/>
            <w:noWrap/>
            <w:vAlign w:val="bottom"/>
            <w:hideMark/>
          </w:tcPr>
          <w:p w:rsidR="002E5461" w:rsidRPr="00114204" w:rsidRDefault="002E5461"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6945" w:type="dxa"/>
            <w:gridSpan w:val="5"/>
            <w:tcBorders>
              <w:top w:val="single" w:sz="4" w:space="0" w:color="auto"/>
              <w:left w:val="nil"/>
              <w:bottom w:val="nil"/>
              <w:right w:val="nil"/>
            </w:tcBorders>
            <w:shd w:val="clear" w:color="auto" w:fill="auto"/>
            <w:noWrap/>
            <w:vAlign w:val="bottom"/>
            <w:hideMark/>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Dividend </w:t>
            </w:r>
            <w:r>
              <w:rPr>
                <w:rFonts w:ascii="Times New Roman" w:eastAsia="Times New Roman" w:hAnsi="Times New Roman"/>
                <w:sz w:val="17"/>
                <w:szCs w:val="17"/>
              </w:rPr>
              <w:t>payout ratio</w:t>
            </w:r>
            <w:r w:rsidRPr="00114204">
              <w:rPr>
                <w:rFonts w:ascii="Times New Roman" w:eastAsia="Times New Roman" w:hAnsi="Times New Roman"/>
                <w:sz w:val="17"/>
                <w:szCs w:val="17"/>
              </w:rPr>
              <w:t xml:space="preserve"> </w:t>
            </w:r>
          </w:p>
        </w:tc>
      </w:tr>
      <w:tr w:rsidR="002E5461" w:rsidRPr="00C34885" w:rsidTr="000034CA">
        <w:trPr>
          <w:trHeight w:val="144"/>
          <w:jc w:val="center"/>
        </w:trPr>
        <w:tc>
          <w:tcPr>
            <w:tcW w:w="2658" w:type="dxa"/>
            <w:tcBorders>
              <w:top w:val="nil"/>
              <w:left w:val="nil"/>
              <w:bottom w:val="single" w:sz="4" w:space="0" w:color="auto"/>
              <w:right w:val="nil"/>
            </w:tcBorders>
            <w:shd w:val="clear" w:color="auto" w:fill="auto"/>
            <w:noWrap/>
            <w:vAlign w:val="bottom"/>
          </w:tcPr>
          <w:p w:rsidR="002E5461" w:rsidRPr="00114204" w:rsidRDefault="002E5461" w:rsidP="00F609C2">
            <w:pPr>
              <w:spacing w:after="0" w:line="240" w:lineRule="auto"/>
              <w:rPr>
                <w:rFonts w:ascii="Times New Roman" w:eastAsia="Times New Roman" w:hAnsi="Times New Roman"/>
                <w:sz w:val="17"/>
                <w:szCs w:val="17"/>
              </w:rPr>
            </w:pPr>
          </w:p>
        </w:tc>
        <w:tc>
          <w:tcPr>
            <w:tcW w:w="3385" w:type="dxa"/>
            <w:gridSpan w:val="3"/>
            <w:tcBorders>
              <w:top w:val="nil"/>
              <w:left w:val="nil"/>
              <w:bottom w:val="single" w:sz="4" w:space="0" w:color="auto"/>
              <w:right w:val="nil"/>
            </w:tcBorders>
            <w:shd w:val="clear" w:color="auto" w:fill="auto"/>
            <w:noWrap/>
            <w:vAlign w:val="bottom"/>
          </w:tcPr>
          <w:p w:rsidR="002E5461" w:rsidRPr="00114204" w:rsidRDefault="002E5461" w:rsidP="00EA213D">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CEO</w:t>
            </w:r>
            <w:r w:rsidR="004F2482">
              <w:rPr>
                <w:rFonts w:ascii="Times New Roman" w:eastAsia="Times New Roman" w:hAnsi="Times New Roman"/>
                <w:sz w:val="17"/>
                <w:szCs w:val="17"/>
              </w:rPr>
              <w:t xml:space="preserve"> </w:t>
            </w:r>
            <w:r w:rsidR="00EA213D">
              <w:rPr>
                <w:rFonts w:ascii="Times New Roman" w:eastAsia="Times New Roman" w:hAnsi="Times New Roman"/>
                <w:sz w:val="17"/>
                <w:szCs w:val="17"/>
              </w:rPr>
              <w:t>only</w:t>
            </w:r>
          </w:p>
        </w:tc>
        <w:tc>
          <w:tcPr>
            <w:tcW w:w="3560" w:type="dxa"/>
            <w:gridSpan w:val="2"/>
            <w:tcBorders>
              <w:top w:val="nil"/>
              <w:left w:val="nil"/>
              <w:bottom w:val="single" w:sz="4" w:space="0" w:color="auto"/>
              <w:right w:val="nil"/>
            </w:tcBorders>
            <w:shd w:val="clear" w:color="auto" w:fill="auto"/>
            <w:noWrap/>
            <w:vAlign w:val="bottom"/>
          </w:tcPr>
          <w:p w:rsidR="002E5461" w:rsidRPr="00114204" w:rsidRDefault="0097633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All executives</w:t>
            </w:r>
          </w:p>
        </w:tc>
      </w:tr>
      <w:tr w:rsidR="002E5461" w:rsidRPr="00C34885" w:rsidTr="000034CA">
        <w:trPr>
          <w:trHeight w:val="144"/>
          <w:jc w:val="center"/>
        </w:trPr>
        <w:tc>
          <w:tcPr>
            <w:tcW w:w="2658" w:type="dxa"/>
            <w:tcBorders>
              <w:top w:val="nil"/>
              <w:left w:val="nil"/>
              <w:bottom w:val="single" w:sz="4" w:space="0" w:color="auto"/>
              <w:right w:val="nil"/>
            </w:tcBorders>
            <w:shd w:val="clear" w:color="auto" w:fill="auto"/>
            <w:noWrap/>
            <w:vAlign w:val="bottom"/>
            <w:hideMark/>
          </w:tcPr>
          <w:p w:rsidR="002E5461" w:rsidRPr="00114204" w:rsidRDefault="002E5461"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1797" w:type="dxa"/>
            <w:tcBorders>
              <w:top w:val="nil"/>
              <w:left w:val="nil"/>
              <w:bottom w:val="single" w:sz="4" w:space="0" w:color="auto"/>
              <w:right w:val="nil"/>
            </w:tcBorders>
            <w:shd w:val="clear" w:color="auto" w:fill="auto"/>
            <w:noWrap/>
            <w:tcMar>
              <w:left w:w="29" w:type="dxa"/>
              <w:right w:w="29" w:type="dxa"/>
            </w:tcMar>
            <w:vAlign w:val="bottom"/>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Compensation leverage </w:t>
            </w:r>
          </w:p>
        </w:tc>
        <w:tc>
          <w:tcPr>
            <w:tcW w:w="1588" w:type="dxa"/>
            <w:gridSpan w:val="2"/>
            <w:tcBorders>
              <w:top w:val="nil"/>
              <w:left w:val="nil"/>
              <w:bottom w:val="single" w:sz="4" w:space="0" w:color="auto"/>
              <w:right w:val="nil"/>
            </w:tcBorders>
            <w:shd w:val="clear" w:color="auto" w:fill="auto"/>
            <w:noWrap/>
            <w:tcMar>
              <w:left w:w="29" w:type="dxa"/>
              <w:right w:w="29" w:type="dxa"/>
            </w:tcMar>
            <w:vAlign w:val="bottom"/>
            <w:hideMark/>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c>
          <w:tcPr>
            <w:tcW w:w="1886" w:type="dxa"/>
            <w:tcBorders>
              <w:top w:val="nil"/>
              <w:left w:val="nil"/>
              <w:bottom w:val="single" w:sz="4" w:space="0" w:color="auto"/>
              <w:right w:val="nil"/>
            </w:tcBorders>
            <w:shd w:val="clear" w:color="auto" w:fill="auto"/>
            <w:noWrap/>
            <w:tcMar>
              <w:left w:w="29" w:type="dxa"/>
              <w:right w:w="29" w:type="dxa"/>
            </w:tcMar>
            <w:vAlign w:val="bottom"/>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Compensation leverage</w:t>
            </w:r>
          </w:p>
        </w:tc>
        <w:tc>
          <w:tcPr>
            <w:tcW w:w="1674" w:type="dxa"/>
            <w:tcBorders>
              <w:top w:val="nil"/>
              <w:left w:val="nil"/>
              <w:bottom w:val="single" w:sz="4" w:space="0" w:color="auto"/>
              <w:right w:val="nil"/>
            </w:tcBorders>
            <w:shd w:val="clear" w:color="auto" w:fill="auto"/>
            <w:noWrap/>
            <w:tcMar>
              <w:left w:w="29" w:type="dxa"/>
              <w:right w:w="29" w:type="dxa"/>
            </w:tcMar>
            <w:vAlign w:val="bottom"/>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rPr>
                <w:rFonts w:ascii="Times New Roman" w:eastAsia="Times New Roman" w:hAnsi="Times New Roman"/>
                <w:i/>
                <w:iCs/>
                <w:color w:val="000000"/>
                <w:sz w:val="17"/>
                <w:szCs w:val="17"/>
              </w:rPr>
            </w:pPr>
          </w:p>
        </w:tc>
        <w:tc>
          <w:tcPr>
            <w:tcW w:w="2013"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bottom"/>
          </w:tcPr>
          <w:p w:rsidR="002E5461" w:rsidRPr="00C34885" w:rsidRDefault="002E5461" w:rsidP="00F609C2">
            <w:pPr>
              <w:spacing w:after="0" w:line="240" w:lineRule="auto"/>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bottom"/>
          </w:tcPr>
          <w:p w:rsidR="002E5461" w:rsidRPr="00C34885" w:rsidRDefault="002E5461" w:rsidP="00F609C2">
            <w:pPr>
              <w:spacing w:after="0" w:line="240" w:lineRule="auto"/>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2013"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sz w:val="17"/>
                <w:szCs w:val="17"/>
              </w:rPr>
              <w:t>-5.5174***</w:t>
            </w:r>
          </w:p>
        </w:tc>
        <w:tc>
          <w:tcPr>
            <w:tcW w:w="1372"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color w:val="000000"/>
                <w:sz w:val="17"/>
                <w:szCs w:val="17"/>
              </w:rPr>
            </w:pPr>
          </w:p>
        </w:tc>
        <w:tc>
          <w:tcPr>
            <w:tcW w:w="1886"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sz w:val="17"/>
                <w:szCs w:val="17"/>
              </w:rPr>
              <w:t>-7.1505</w:t>
            </w:r>
          </w:p>
        </w:tc>
        <w:tc>
          <w:tcPr>
            <w:tcW w:w="1674"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(-3.24)</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(-1.08)</w:t>
            </w:r>
          </w:p>
        </w:tc>
        <w:tc>
          <w:tcPr>
            <w:tcW w:w="1674"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2013" w:type="dxa"/>
            <w:gridSpan w:val="2"/>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-0.5817*</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-0.4870</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(-1.77)</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(-1.18)</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-0.2533***</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-0.0538</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-0.0963</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0.1003</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(-4.70)</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(0.97)</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(-1.13)</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(1.11)</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0.1209***</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0.1917</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-0.0436</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0.1038</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(3.20)</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(1.21</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(-0.40)</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(0.87)</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r w:rsidRPr="00A526D7">
              <w:rPr>
                <w:rFonts w:ascii="Times New Roman" w:eastAsia="Times New Roman" w:hAnsi="Times New Roman"/>
                <w:color w:val="000000"/>
                <w:sz w:val="17"/>
                <w:szCs w:val="17"/>
              </w:rPr>
              <w:t>Log(income)</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-7.1791*</w:t>
            </w:r>
            <w:r w:rsidRPr="00045D5B">
              <w:rPr>
                <w:rFonts w:ascii="Times New Roman" w:eastAsia="Times New Roman" w:hAnsi="Times New Roman"/>
                <w:sz w:val="17"/>
                <w:szCs w:val="17"/>
              </w:rPr>
              <w:t>*</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-5.4134**</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-6.3727</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-5.3005</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(-2.48)</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(-2.42</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(-1.61)</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(-1.56)</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color w:val="000000"/>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color w:val="000000"/>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color w:val="000000"/>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color w:val="000000"/>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C91DF3" w:rsidP="00943C2D">
            <w:pPr>
              <w:spacing w:after="0" w:line="240" w:lineRule="auto"/>
              <w:rPr>
                <w:rFonts w:ascii="Times New Roman" w:eastAsia="Times New Roman" w:hAnsi="Times New Roman"/>
                <w:color w:val="000000"/>
                <w:sz w:val="17"/>
                <w:szCs w:val="17"/>
              </w:rPr>
            </w:pPr>
            <w:r w:rsidRPr="00C91DF3">
              <w:rPr>
                <w:rFonts w:ascii="Times New Roman" w:eastAsia="Times New Roman" w:hAnsi="Times New Roman"/>
                <w:color w:val="000000"/>
                <w:sz w:val="17"/>
                <w:szCs w:val="17"/>
              </w:rPr>
              <w:t>C</w:t>
            </w:r>
            <w:r w:rsidR="00943C2D" w:rsidRPr="00C91DF3">
              <w:rPr>
                <w:rFonts w:ascii="Times New Roman" w:eastAsia="Times New Roman" w:hAnsi="Times New Roman"/>
                <w:color w:val="000000"/>
                <w:sz w:val="17"/>
                <w:szCs w:val="17"/>
              </w:rPr>
              <w:t>ash d</w:t>
            </w:r>
            <w:r w:rsidR="002E5461" w:rsidRPr="00C91DF3">
              <w:rPr>
                <w:rFonts w:ascii="Times New Roman" w:eastAsia="Times New Roman" w:hAnsi="Times New Roman"/>
                <w:color w:val="000000"/>
                <w:sz w:val="17"/>
                <w:szCs w:val="17"/>
              </w:rPr>
              <w:t>ividend</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0.0025</w:t>
            </w:r>
            <w:r w:rsidRPr="00045D5B">
              <w:rPr>
                <w:rFonts w:ascii="Times New Roman" w:eastAsia="Times New Roman" w:hAnsi="Times New Roman"/>
                <w:sz w:val="17"/>
                <w:szCs w:val="17"/>
              </w:rPr>
              <w:t>***</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0.0016</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0.0033</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0.0014</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(2.98)</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(1.73</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(1.34)</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(1.43)</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6.5197</w:t>
            </w:r>
            <w:r w:rsidRPr="00045D5B">
              <w:rPr>
                <w:rFonts w:ascii="Times New Roman" w:eastAsia="Times New Roman" w:hAnsi="Times New Roman"/>
                <w:sz w:val="17"/>
                <w:szCs w:val="17"/>
              </w:rPr>
              <w:t>*</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2.7233**</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0.8021*</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3.8984*</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(1.79)</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(2.54)</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(1.82)</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(1.74)</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-0.0004***</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sidRPr="00045D5B">
              <w:rPr>
                <w:rFonts w:ascii="Times New Roman" w:eastAsia="Times New Roman" w:hAnsi="Times New Roman"/>
                <w:sz w:val="17"/>
                <w:szCs w:val="17"/>
              </w:rPr>
              <w:t>(</w:t>
            </w:r>
            <w:r>
              <w:rPr>
                <w:rFonts w:ascii="Times New Roman" w:eastAsia="Times New Roman" w:hAnsi="Times New Roman"/>
                <w:sz w:val="17"/>
                <w:szCs w:val="17"/>
              </w:rPr>
              <w:t>-3.68)</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(2.07</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(-0.24)</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(-0.09)</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1769BD">
            <w:pPr>
              <w:spacing w:after="0" w:line="240" w:lineRule="auto"/>
              <w:rPr>
                <w:rFonts w:ascii="Times New Roman" w:eastAsia="Times New Roman" w:hAnsi="Times New Roman"/>
                <w:color w:val="000000"/>
                <w:sz w:val="17"/>
                <w:szCs w:val="17"/>
              </w:rPr>
            </w:pPr>
            <w:r w:rsidRPr="001769BD">
              <w:rPr>
                <w:rFonts w:ascii="Times New Roman" w:eastAsia="Times New Roman" w:hAnsi="Times New Roman"/>
                <w:color w:val="000000"/>
                <w:sz w:val="17"/>
                <w:szCs w:val="17"/>
              </w:rPr>
              <w:t xml:space="preserve">Debt/equity </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-0.0638**</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-0.2788***</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-0.0079</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-0.3295</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(-2.20)</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(-8.55</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(-0.32)</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(-1.38)</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F0E95" w:rsidRDefault="002E5461" w:rsidP="00F609C2">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0.0007**</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(2.02)</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(9.19</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(1.25)</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(2.19)</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0.0004</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0.0005</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(-1.45)</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(1.18</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(-0.81)</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(0.86)</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943C2D" w:rsidP="00943C2D">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Market b</w:t>
            </w:r>
            <w:r w:rsidR="002E5461">
              <w:rPr>
                <w:rFonts w:ascii="Times New Roman" w:eastAsia="Times New Roman" w:hAnsi="Times New Roman"/>
                <w:color w:val="000000"/>
                <w:sz w:val="17"/>
                <w:szCs w:val="17"/>
              </w:rPr>
              <w:t>eta</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0.7769***</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1.8321**</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-0.4702</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-0.2741</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(4.16)</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(2.26)</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(0.63)</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(-0.60)</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color w:val="000000"/>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color w:val="000000"/>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color w:val="000000"/>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color w:val="000000"/>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-4.3354*</w:t>
            </w:r>
            <w:r w:rsidRPr="00045D5B">
              <w:rPr>
                <w:rFonts w:ascii="Times New Roman" w:eastAsia="Times New Roman" w:hAnsi="Times New Roman"/>
                <w:sz w:val="17"/>
                <w:szCs w:val="17"/>
              </w:rPr>
              <w:t>**</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-1.6092</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-0.3201</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-1.0830**</w:t>
            </w: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p>
        </w:tc>
        <w:tc>
          <w:tcPr>
            <w:tcW w:w="2013" w:type="dxa"/>
            <w:gridSpan w:val="2"/>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(-3.77)</w:t>
            </w:r>
          </w:p>
        </w:tc>
        <w:tc>
          <w:tcPr>
            <w:tcW w:w="1372" w:type="dxa"/>
            <w:tcBorders>
              <w:top w:val="nil"/>
              <w:left w:val="nil"/>
              <w:bottom w:val="nil"/>
              <w:right w:val="nil"/>
            </w:tcBorders>
            <w:shd w:val="clear" w:color="auto" w:fill="auto"/>
            <w:noWrap/>
            <w:vAlign w:val="bottom"/>
            <w:hideMark/>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(-1.53</w:t>
            </w:r>
            <w:r w:rsidRPr="00045D5B">
              <w:rPr>
                <w:rFonts w:ascii="Times New Roman" w:eastAsia="Times New Roman" w:hAnsi="Times New Roman"/>
                <w:sz w:val="17"/>
                <w:szCs w:val="17"/>
              </w:rPr>
              <w:t>)</w:t>
            </w:r>
          </w:p>
        </w:tc>
        <w:tc>
          <w:tcPr>
            <w:tcW w:w="1886"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(-1.25)</w:t>
            </w:r>
          </w:p>
        </w:tc>
        <w:tc>
          <w:tcPr>
            <w:tcW w:w="1674" w:type="dxa"/>
            <w:tcBorders>
              <w:top w:val="nil"/>
              <w:left w:val="nil"/>
              <w:bottom w:val="nil"/>
              <w:right w:val="nil"/>
            </w:tcBorders>
            <w:shd w:val="clear" w:color="auto" w:fill="auto"/>
            <w:noWrap/>
            <w:vAlign w:val="bottom"/>
          </w:tcPr>
          <w:p w:rsidR="002E5461" w:rsidRPr="00045D5B"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(-2.46)</w:t>
            </w: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hRule="exact" w:val="72"/>
          <w:jc w:val="center"/>
        </w:trPr>
        <w:tc>
          <w:tcPr>
            <w:tcW w:w="2658" w:type="dxa"/>
            <w:tcBorders>
              <w:top w:val="nil"/>
              <w:left w:val="nil"/>
              <w:bottom w:val="nil"/>
              <w:right w:val="nil"/>
            </w:tcBorders>
            <w:shd w:val="clear" w:color="auto" w:fill="auto"/>
            <w:noWrap/>
            <w:tcMar>
              <w:left w:w="0" w:type="dxa"/>
              <w:right w:w="0" w:type="dxa"/>
            </w:tcMar>
            <w:vAlign w:val="bottom"/>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nil"/>
              <w:right w:val="nil"/>
            </w:tcBorders>
            <w:shd w:val="clear" w:color="auto" w:fill="auto"/>
            <w:noWrap/>
            <w:vAlign w:val="center"/>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nil"/>
              <w:right w:val="nil"/>
            </w:tcBorders>
            <w:shd w:val="clear" w:color="auto" w:fill="auto"/>
            <w:noWrap/>
            <w:vAlign w:val="center"/>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658" w:type="dxa"/>
            <w:tcBorders>
              <w:top w:val="nil"/>
              <w:left w:val="nil"/>
              <w:bottom w:val="nil"/>
              <w:right w:val="nil"/>
            </w:tcBorders>
            <w:shd w:val="clear" w:color="auto" w:fill="auto"/>
            <w:noWrap/>
            <w:tcMar>
              <w:left w:w="0" w:type="dxa"/>
              <w:right w:w="0" w:type="dxa"/>
            </w:tcMar>
            <w:vAlign w:val="bottom"/>
            <w:hideMark/>
          </w:tcPr>
          <w:p w:rsidR="002E5461" w:rsidRPr="009B05DE" w:rsidRDefault="002E5461" w:rsidP="00E8767A">
            <w:pPr>
              <w:spacing w:after="0" w:line="240" w:lineRule="auto"/>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Instrument </w:t>
            </w:r>
            <w:r w:rsidR="00E8767A">
              <w:rPr>
                <w:rFonts w:ascii="Times New Roman" w:eastAsia="Times New Roman" w:hAnsi="Times New Roman"/>
                <w:color w:val="000000"/>
                <w:sz w:val="17"/>
                <w:szCs w:val="17"/>
              </w:rPr>
              <w:t>v</w:t>
            </w:r>
            <w:r w:rsidRPr="009B05DE">
              <w:rPr>
                <w:rFonts w:ascii="Times New Roman" w:eastAsia="Times New Roman" w:hAnsi="Times New Roman"/>
                <w:color w:val="000000"/>
                <w:sz w:val="17"/>
                <w:szCs w:val="17"/>
              </w:rPr>
              <w:t>ariables</w:t>
            </w:r>
          </w:p>
        </w:tc>
        <w:tc>
          <w:tcPr>
            <w:tcW w:w="2013" w:type="dxa"/>
            <w:gridSpan w:val="2"/>
            <w:tcBorders>
              <w:top w:val="nil"/>
              <w:left w:val="nil"/>
              <w:bottom w:val="nil"/>
              <w:right w:val="nil"/>
            </w:tcBorders>
            <w:shd w:val="clear" w:color="auto" w:fill="auto"/>
            <w:noWrap/>
            <w:vAlign w:val="bottom"/>
          </w:tcPr>
          <w:p w:rsidR="002E5461" w:rsidRPr="009B05DE" w:rsidRDefault="002E5461" w:rsidP="00F609C2">
            <w:pPr>
              <w:spacing w:after="0" w:line="240" w:lineRule="auto"/>
              <w:jc w:val="center"/>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Executive </w:t>
            </w:r>
            <w:r>
              <w:rPr>
                <w:rFonts w:ascii="Times New Roman" w:eastAsia="Times New Roman" w:hAnsi="Times New Roman"/>
                <w:color w:val="000000"/>
                <w:sz w:val="17"/>
                <w:szCs w:val="17"/>
              </w:rPr>
              <w:t>a</w:t>
            </w:r>
            <w:r w:rsidRPr="009B05DE">
              <w:rPr>
                <w:rFonts w:ascii="Times New Roman" w:eastAsia="Times New Roman" w:hAnsi="Times New Roman"/>
                <w:color w:val="000000"/>
                <w:sz w:val="17"/>
                <w:szCs w:val="17"/>
              </w:rPr>
              <w:t>ge; M</w:t>
            </w:r>
          </w:p>
        </w:tc>
        <w:tc>
          <w:tcPr>
            <w:tcW w:w="1372" w:type="dxa"/>
            <w:tcBorders>
              <w:top w:val="nil"/>
              <w:left w:val="nil"/>
              <w:bottom w:val="nil"/>
              <w:right w:val="nil"/>
            </w:tcBorders>
            <w:shd w:val="clear" w:color="auto" w:fill="auto"/>
            <w:noWrap/>
            <w:tcMar>
              <w:left w:w="29" w:type="dxa"/>
              <w:right w:w="29" w:type="dxa"/>
            </w:tcMar>
            <w:vAlign w:val="bottom"/>
            <w:hideMark/>
          </w:tcPr>
          <w:p w:rsidR="002E5461" w:rsidRPr="009B05DE" w:rsidRDefault="002E5461" w:rsidP="00F609C2">
            <w:pPr>
              <w:spacing w:after="0" w:line="240" w:lineRule="auto"/>
              <w:jc w:val="center"/>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Executive </w:t>
            </w:r>
            <w:r>
              <w:rPr>
                <w:rFonts w:ascii="Times New Roman" w:eastAsia="Times New Roman" w:hAnsi="Times New Roman"/>
                <w:color w:val="000000"/>
                <w:sz w:val="17"/>
                <w:szCs w:val="17"/>
              </w:rPr>
              <w:t>a</w:t>
            </w:r>
            <w:r w:rsidRPr="009B05DE">
              <w:rPr>
                <w:rFonts w:ascii="Times New Roman" w:eastAsia="Times New Roman" w:hAnsi="Times New Roman"/>
                <w:color w:val="000000"/>
                <w:sz w:val="17"/>
                <w:szCs w:val="17"/>
              </w:rPr>
              <w:t>ge; M</w:t>
            </w:r>
          </w:p>
        </w:tc>
        <w:tc>
          <w:tcPr>
            <w:tcW w:w="1886" w:type="dxa"/>
            <w:tcBorders>
              <w:top w:val="nil"/>
              <w:left w:val="nil"/>
              <w:bottom w:val="nil"/>
              <w:right w:val="nil"/>
            </w:tcBorders>
            <w:shd w:val="clear" w:color="auto" w:fill="auto"/>
            <w:noWrap/>
            <w:vAlign w:val="bottom"/>
          </w:tcPr>
          <w:p w:rsidR="002E5461" w:rsidRPr="009B05DE" w:rsidRDefault="002E5461" w:rsidP="00F609C2">
            <w:pPr>
              <w:spacing w:after="0" w:line="240" w:lineRule="auto"/>
              <w:jc w:val="center"/>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Executive </w:t>
            </w:r>
            <w:r>
              <w:rPr>
                <w:rFonts w:ascii="Times New Roman" w:eastAsia="Times New Roman" w:hAnsi="Times New Roman"/>
                <w:color w:val="000000"/>
                <w:sz w:val="17"/>
                <w:szCs w:val="17"/>
              </w:rPr>
              <w:t>a</w:t>
            </w:r>
            <w:r w:rsidRPr="009B05DE">
              <w:rPr>
                <w:rFonts w:ascii="Times New Roman" w:eastAsia="Times New Roman" w:hAnsi="Times New Roman"/>
                <w:color w:val="000000"/>
                <w:sz w:val="17"/>
                <w:szCs w:val="17"/>
              </w:rPr>
              <w:t>ge; M</w:t>
            </w:r>
          </w:p>
        </w:tc>
        <w:tc>
          <w:tcPr>
            <w:tcW w:w="1674" w:type="dxa"/>
            <w:tcBorders>
              <w:top w:val="nil"/>
              <w:left w:val="nil"/>
              <w:bottom w:val="nil"/>
              <w:right w:val="nil"/>
            </w:tcBorders>
            <w:shd w:val="clear" w:color="auto" w:fill="auto"/>
            <w:noWrap/>
            <w:vAlign w:val="bottom"/>
          </w:tcPr>
          <w:p w:rsidR="002E5461" w:rsidRPr="009B05DE" w:rsidRDefault="002E5461" w:rsidP="00F609C2">
            <w:pPr>
              <w:spacing w:after="0" w:line="240" w:lineRule="auto"/>
              <w:jc w:val="center"/>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Executive </w:t>
            </w:r>
            <w:r>
              <w:rPr>
                <w:rFonts w:ascii="Times New Roman" w:eastAsia="Times New Roman" w:hAnsi="Times New Roman"/>
                <w:color w:val="000000"/>
                <w:sz w:val="17"/>
                <w:szCs w:val="17"/>
              </w:rPr>
              <w:t>a</w:t>
            </w:r>
            <w:r w:rsidRPr="009B05DE">
              <w:rPr>
                <w:rFonts w:ascii="Times New Roman" w:eastAsia="Times New Roman" w:hAnsi="Times New Roman"/>
                <w:color w:val="000000"/>
                <w:sz w:val="17"/>
                <w:szCs w:val="17"/>
              </w:rPr>
              <w:t>ge; M</w:t>
            </w:r>
          </w:p>
        </w:tc>
      </w:tr>
      <w:tr w:rsidR="002E5461" w:rsidRPr="00C34885" w:rsidTr="000034CA">
        <w:trPr>
          <w:trHeight w:val="144"/>
          <w:jc w:val="center"/>
        </w:trPr>
        <w:tc>
          <w:tcPr>
            <w:tcW w:w="2658" w:type="dxa"/>
            <w:tcBorders>
              <w:top w:val="nil"/>
              <w:left w:val="nil"/>
              <w:right w:val="nil"/>
            </w:tcBorders>
            <w:shd w:val="clear" w:color="auto" w:fill="auto"/>
            <w:noWrap/>
            <w:tcMar>
              <w:left w:w="0" w:type="dxa"/>
              <w:right w:w="0" w:type="dxa"/>
            </w:tcMar>
            <w:vAlign w:val="bottom"/>
            <w:hideMark/>
          </w:tcPr>
          <w:p w:rsidR="002E5461" w:rsidRPr="009B05DE" w:rsidRDefault="002E5461" w:rsidP="00F609C2">
            <w:pPr>
              <w:spacing w:after="0" w:line="240" w:lineRule="auto"/>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Observations</w:t>
            </w:r>
          </w:p>
        </w:tc>
        <w:tc>
          <w:tcPr>
            <w:tcW w:w="2013" w:type="dxa"/>
            <w:gridSpan w:val="2"/>
            <w:tcBorders>
              <w:top w:val="nil"/>
              <w:left w:val="nil"/>
              <w:right w:val="nil"/>
            </w:tcBorders>
            <w:shd w:val="clear" w:color="auto" w:fill="auto"/>
            <w:noWrap/>
            <w:vAlign w:val="bottom"/>
          </w:tcPr>
          <w:p w:rsidR="002E5461" w:rsidRPr="009B05DE" w:rsidRDefault="002E5461"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913</w:t>
            </w:r>
          </w:p>
        </w:tc>
        <w:tc>
          <w:tcPr>
            <w:tcW w:w="1372" w:type="dxa"/>
            <w:tcBorders>
              <w:top w:val="nil"/>
              <w:left w:val="nil"/>
              <w:right w:val="nil"/>
            </w:tcBorders>
            <w:shd w:val="clear" w:color="auto" w:fill="auto"/>
            <w:noWrap/>
            <w:vAlign w:val="bottom"/>
            <w:hideMark/>
          </w:tcPr>
          <w:p w:rsidR="002E5461" w:rsidRPr="009B05DE" w:rsidRDefault="002E5461"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913</w:t>
            </w:r>
          </w:p>
        </w:tc>
        <w:tc>
          <w:tcPr>
            <w:tcW w:w="1886" w:type="dxa"/>
            <w:tcBorders>
              <w:top w:val="nil"/>
              <w:left w:val="nil"/>
              <w:right w:val="nil"/>
            </w:tcBorders>
            <w:shd w:val="clear" w:color="auto" w:fill="auto"/>
            <w:noWrap/>
            <w:vAlign w:val="bottom"/>
          </w:tcPr>
          <w:p w:rsidR="002E5461" w:rsidRPr="009B05DE" w:rsidRDefault="002E5461"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0034CA">
              <w:rPr>
                <w:rFonts w:ascii="Times New Roman" w:eastAsia="Times New Roman" w:hAnsi="Times New Roman"/>
                <w:color w:val="000000"/>
                <w:sz w:val="17"/>
                <w:szCs w:val="17"/>
              </w:rPr>
              <w:t>,</w:t>
            </w:r>
            <w:r>
              <w:rPr>
                <w:rFonts w:ascii="Times New Roman" w:eastAsia="Times New Roman" w:hAnsi="Times New Roman"/>
                <w:color w:val="000000"/>
                <w:sz w:val="17"/>
                <w:szCs w:val="17"/>
              </w:rPr>
              <w:t>067</w:t>
            </w:r>
          </w:p>
        </w:tc>
        <w:tc>
          <w:tcPr>
            <w:tcW w:w="1674" w:type="dxa"/>
            <w:tcBorders>
              <w:top w:val="nil"/>
              <w:left w:val="nil"/>
              <w:right w:val="nil"/>
            </w:tcBorders>
            <w:shd w:val="clear" w:color="auto" w:fill="auto"/>
            <w:noWrap/>
            <w:vAlign w:val="bottom"/>
          </w:tcPr>
          <w:p w:rsidR="002E5461" w:rsidRPr="009B05DE" w:rsidRDefault="002E5461" w:rsidP="00F609C2">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0034CA">
              <w:rPr>
                <w:rFonts w:ascii="Times New Roman" w:eastAsia="Times New Roman" w:hAnsi="Times New Roman"/>
                <w:color w:val="000000"/>
                <w:sz w:val="17"/>
                <w:szCs w:val="17"/>
              </w:rPr>
              <w:t>,</w:t>
            </w:r>
            <w:r>
              <w:rPr>
                <w:rFonts w:ascii="Times New Roman" w:eastAsia="Times New Roman" w:hAnsi="Times New Roman"/>
                <w:color w:val="000000"/>
                <w:sz w:val="17"/>
                <w:szCs w:val="17"/>
              </w:rPr>
              <w:t>062</w:t>
            </w:r>
          </w:p>
        </w:tc>
      </w:tr>
      <w:tr w:rsidR="002E5461" w:rsidRPr="00C34885" w:rsidTr="000034CA">
        <w:trPr>
          <w:trHeight w:hRule="exact" w:val="72"/>
          <w:jc w:val="center"/>
        </w:trPr>
        <w:tc>
          <w:tcPr>
            <w:tcW w:w="2658" w:type="dxa"/>
            <w:tcBorders>
              <w:top w:val="nil"/>
              <w:left w:val="nil"/>
              <w:bottom w:val="single" w:sz="4" w:space="0" w:color="auto"/>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2013" w:type="dxa"/>
            <w:gridSpan w:val="2"/>
            <w:tcBorders>
              <w:top w:val="nil"/>
              <w:left w:val="nil"/>
              <w:bottom w:val="single" w:sz="4" w:space="0" w:color="auto"/>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372" w:type="dxa"/>
            <w:tcBorders>
              <w:top w:val="nil"/>
              <w:left w:val="nil"/>
              <w:bottom w:val="single" w:sz="4" w:space="0" w:color="auto"/>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886" w:type="dxa"/>
            <w:tcBorders>
              <w:top w:val="nil"/>
              <w:left w:val="nil"/>
              <w:bottom w:val="single" w:sz="4" w:space="0" w:color="auto"/>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74" w:type="dxa"/>
            <w:tcBorders>
              <w:top w:val="nil"/>
              <w:left w:val="nil"/>
              <w:bottom w:val="single" w:sz="4" w:space="0" w:color="auto"/>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r>
        <w:br w:type="page"/>
      </w:r>
    </w:p>
    <w:p w:rsidR="004942E7" w:rsidRDefault="004942E7" w:rsidP="004942E7">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7: Regressions of dividend net of stock repurchase on compensation leverage and inside debt</w:t>
      </w:r>
    </w:p>
    <w:p w:rsidR="004942E7" w:rsidRDefault="004942E7" w:rsidP="004942E7">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The table shows pooled OLS regressions</w:t>
      </w:r>
      <w:r w:rsidR="00FC3B15">
        <w:rPr>
          <w:rFonts w:ascii="Times New Roman" w:eastAsia="Times New Roman" w:hAnsi="Times New Roman"/>
          <w:bCs/>
          <w:sz w:val="18"/>
          <w:szCs w:val="18"/>
        </w:rPr>
        <w:t>.</w:t>
      </w:r>
      <w:r>
        <w:rPr>
          <w:rFonts w:ascii="Times New Roman" w:eastAsia="Times New Roman" w:hAnsi="Times New Roman"/>
          <w:bCs/>
          <w:sz w:val="18"/>
          <w:szCs w:val="18"/>
        </w:rPr>
        <w:t xml:space="preserve"> The dependent variable is the dividend paid in a </w:t>
      </w:r>
      <w:r w:rsidR="00FC3B15">
        <w:rPr>
          <w:rFonts w:ascii="Times New Roman" w:eastAsia="Times New Roman" w:hAnsi="Times New Roman"/>
          <w:bCs/>
          <w:sz w:val="18"/>
          <w:szCs w:val="18"/>
        </w:rPr>
        <w:t xml:space="preserve">given </w:t>
      </w:r>
      <w:r>
        <w:rPr>
          <w:rFonts w:ascii="Times New Roman" w:eastAsia="Times New Roman" w:hAnsi="Times New Roman"/>
          <w:bCs/>
          <w:sz w:val="18"/>
          <w:szCs w:val="18"/>
        </w:rPr>
        <w:t xml:space="preserve">year minus the difference between stock repurchase and stock issuance in that year. The independent variables are compensation leverage, inside debt, </w:t>
      </w:r>
      <w:r w:rsidR="00F43F1A">
        <w:rPr>
          <w:rFonts w:ascii="Times New Roman" w:eastAsia="Times New Roman" w:hAnsi="Times New Roman"/>
          <w:bCs/>
          <w:sz w:val="18"/>
          <w:szCs w:val="18"/>
        </w:rPr>
        <w:t xml:space="preserve">and </w:t>
      </w:r>
      <w:r>
        <w:rPr>
          <w:rFonts w:ascii="Times New Roman" w:eastAsia="Times New Roman" w:hAnsi="Times New Roman"/>
          <w:bCs/>
          <w:sz w:val="18"/>
          <w:szCs w:val="18"/>
        </w:rPr>
        <w:t xml:space="preserve">a set of control variables (as defined in Table 1). </w:t>
      </w:r>
      <w:r w:rsidRPr="007736B5">
        <w:rPr>
          <w:rFonts w:ascii="Times New Roman" w:hAnsi="Times New Roman" w:cs="Times New Roman"/>
          <w:sz w:val="18"/>
          <w:szCs w:val="18"/>
        </w:rPr>
        <w:t>The sample represent</w:t>
      </w:r>
      <w:r>
        <w:rPr>
          <w:rFonts w:ascii="Times New Roman" w:hAnsi="Times New Roman" w:cs="Times New Roman"/>
          <w:sz w:val="18"/>
          <w:szCs w:val="18"/>
        </w:rPr>
        <w:t>s</w:t>
      </w:r>
      <w:r w:rsidRPr="007736B5">
        <w:rPr>
          <w:rFonts w:ascii="Times New Roman" w:hAnsi="Times New Roman" w:cs="Times New Roman"/>
          <w:sz w:val="18"/>
          <w:szCs w:val="18"/>
        </w:rPr>
        <w:t xml:space="preserve"> data on 272 firms over the period 2000-2009.</w:t>
      </w:r>
      <w:r>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Pr>
          <w:rFonts w:ascii="Times New Roman" w:hAnsi="Times New Roman" w:cs="Times New Roman"/>
          <w:sz w:val="18"/>
          <w:szCs w:val="18"/>
        </w:rPr>
        <w:t xml:space="preserve"> regression coefficients and </w:t>
      </w:r>
      <w:r w:rsidR="00773E03" w:rsidRPr="00773E03">
        <w:rPr>
          <w:rFonts w:ascii="Times New Roman" w:hAnsi="Times New Roman" w:cs="Times New Roman"/>
          <w:i/>
          <w:sz w:val="18"/>
          <w:szCs w:val="18"/>
        </w:rPr>
        <w:t>t</w:t>
      </w:r>
      <w:r w:rsidR="00773E03">
        <w:rPr>
          <w:rFonts w:ascii="Times New Roman" w:hAnsi="Times New Roman" w:cs="Times New Roman"/>
          <w:sz w:val="18"/>
          <w:szCs w:val="18"/>
        </w:rPr>
        <w:t>-statistics</w:t>
      </w:r>
      <w:r>
        <w:rPr>
          <w:rFonts w:ascii="Times New Roman" w:hAnsi="Times New Roman" w:cs="Times New Roman"/>
          <w:sz w:val="18"/>
          <w:szCs w:val="18"/>
        </w:rPr>
        <w:t xml:space="preserve">, based on standard errors adjusted for </w:t>
      </w:r>
      <w:proofErr w:type="spellStart"/>
      <w:r>
        <w:rPr>
          <w:rFonts w:ascii="Times New Roman" w:hAnsi="Times New Roman" w:cs="Times New Roman"/>
          <w:sz w:val="18"/>
          <w:szCs w:val="18"/>
        </w:rPr>
        <w:t>heteroskedasticity</w:t>
      </w:r>
      <w:proofErr w:type="spellEnd"/>
      <w:r>
        <w:rPr>
          <w:rFonts w:ascii="Times New Roman" w:hAnsi="Times New Roman" w:cs="Times New Roman"/>
          <w:sz w:val="18"/>
          <w:szCs w:val="18"/>
        </w:rPr>
        <w:t xml:space="preserve"> and autocorr</w:t>
      </w:r>
      <w:r w:rsidR="00F43F1A">
        <w:rPr>
          <w:rFonts w:ascii="Times New Roman" w:hAnsi="Times New Roman" w:cs="Times New Roman"/>
          <w:sz w:val="18"/>
          <w:szCs w:val="18"/>
        </w:rPr>
        <w:t>elation following Rogers (1993), with year fixed effects.</w:t>
      </w:r>
      <w:r w:rsidR="00824FB6">
        <w:rPr>
          <w:rFonts w:ascii="Times New Roman" w:hAnsi="Times New Roman" w:cs="Times New Roman"/>
          <w:sz w:val="18"/>
          <w:szCs w:val="18"/>
        </w:rPr>
        <w:t xml:space="preserve"> *, **, *** indicate significance at the 0.1, 0.05, and 0.01 levels, respectively.</w:t>
      </w:r>
    </w:p>
    <w:p w:rsidR="004942E7" w:rsidRPr="00824FB6" w:rsidRDefault="004942E7" w:rsidP="004942E7">
      <w:pPr>
        <w:spacing w:after="0" w:line="240" w:lineRule="auto"/>
        <w:rPr>
          <w:rFonts w:ascii="Times New Roman" w:hAnsi="Times New Roman" w:cs="Times New Roman"/>
          <w:i/>
          <w:sz w:val="18"/>
          <w:szCs w:val="18"/>
        </w:rPr>
      </w:pPr>
    </w:p>
    <w:tbl>
      <w:tblPr>
        <w:tblW w:w="9592" w:type="dxa"/>
        <w:jc w:val="center"/>
        <w:tblLook w:val="04A0" w:firstRow="1" w:lastRow="0" w:firstColumn="1" w:lastColumn="0" w:noHBand="0" w:noVBand="1"/>
      </w:tblPr>
      <w:tblGrid>
        <w:gridCol w:w="2322"/>
        <w:gridCol w:w="1884"/>
        <w:gridCol w:w="15"/>
        <w:gridCol w:w="1653"/>
        <w:gridCol w:w="1973"/>
        <w:gridCol w:w="1761"/>
      </w:tblGrid>
      <w:tr w:rsidR="002E5461" w:rsidRPr="00C34885" w:rsidTr="000034CA">
        <w:trPr>
          <w:trHeight w:val="144"/>
          <w:jc w:val="center"/>
        </w:trPr>
        <w:tc>
          <w:tcPr>
            <w:tcW w:w="2306" w:type="dxa"/>
            <w:tcBorders>
              <w:top w:val="single" w:sz="4" w:space="0" w:color="auto"/>
              <w:left w:val="nil"/>
              <w:bottom w:val="nil"/>
              <w:right w:val="nil"/>
            </w:tcBorders>
            <w:shd w:val="clear" w:color="auto" w:fill="auto"/>
            <w:noWrap/>
            <w:vAlign w:val="bottom"/>
            <w:hideMark/>
          </w:tcPr>
          <w:p w:rsidR="002E5461" w:rsidRPr="00114204" w:rsidRDefault="002E5461"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7286" w:type="dxa"/>
            <w:gridSpan w:val="5"/>
            <w:tcBorders>
              <w:top w:val="single" w:sz="4" w:space="0" w:color="auto"/>
              <w:left w:val="nil"/>
              <w:bottom w:val="nil"/>
              <w:right w:val="nil"/>
            </w:tcBorders>
            <w:shd w:val="clear" w:color="auto" w:fill="auto"/>
            <w:noWrap/>
            <w:vAlign w:val="bottom"/>
            <w:hideMark/>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w:t>
            </w:r>
            <w:r w:rsidRPr="000873A2">
              <w:rPr>
                <w:rFonts w:ascii="Times New Roman" w:eastAsia="Times New Roman" w:hAnsi="Times New Roman"/>
                <w:sz w:val="17"/>
                <w:szCs w:val="17"/>
              </w:rPr>
              <w:t>[Dividends - (Repurchases – Issuances)]/Assets</w:t>
            </w:r>
          </w:p>
        </w:tc>
      </w:tr>
      <w:tr w:rsidR="002E5461" w:rsidRPr="00C34885" w:rsidTr="000034CA">
        <w:trPr>
          <w:trHeight w:val="144"/>
          <w:jc w:val="center"/>
        </w:trPr>
        <w:tc>
          <w:tcPr>
            <w:tcW w:w="2306" w:type="dxa"/>
            <w:tcBorders>
              <w:top w:val="nil"/>
              <w:left w:val="nil"/>
              <w:bottom w:val="single" w:sz="4" w:space="0" w:color="auto"/>
              <w:right w:val="nil"/>
            </w:tcBorders>
            <w:shd w:val="clear" w:color="auto" w:fill="auto"/>
            <w:noWrap/>
            <w:vAlign w:val="bottom"/>
          </w:tcPr>
          <w:p w:rsidR="002E5461" w:rsidRPr="00114204" w:rsidRDefault="002E5461" w:rsidP="00F609C2">
            <w:pPr>
              <w:spacing w:after="0" w:line="240" w:lineRule="auto"/>
              <w:rPr>
                <w:rFonts w:ascii="Times New Roman" w:eastAsia="Times New Roman" w:hAnsi="Times New Roman"/>
                <w:sz w:val="17"/>
                <w:szCs w:val="17"/>
              </w:rPr>
            </w:pPr>
          </w:p>
        </w:tc>
        <w:tc>
          <w:tcPr>
            <w:tcW w:w="3552" w:type="dxa"/>
            <w:gridSpan w:val="3"/>
            <w:tcBorders>
              <w:top w:val="nil"/>
              <w:left w:val="nil"/>
              <w:bottom w:val="single" w:sz="4" w:space="0" w:color="auto"/>
              <w:right w:val="nil"/>
            </w:tcBorders>
            <w:shd w:val="clear" w:color="auto" w:fill="auto"/>
            <w:noWrap/>
            <w:vAlign w:val="bottom"/>
          </w:tcPr>
          <w:p w:rsidR="002E5461" w:rsidRPr="00114204" w:rsidRDefault="002E5461" w:rsidP="00EA213D">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CEO</w:t>
            </w:r>
            <w:r w:rsidR="004F2482">
              <w:rPr>
                <w:rFonts w:ascii="Times New Roman" w:eastAsia="Times New Roman" w:hAnsi="Times New Roman"/>
                <w:sz w:val="17"/>
                <w:szCs w:val="17"/>
              </w:rPr>
              <w:t xml:space="preserve"> </w:t>
            </w:r>
            <w:r w:rsidR="00EA213D">
              <w:rPr>
                <w:rFonts w:ascii="Times New Roman" w:eastAsia="Times New Roman" w:hAnsi="Times New Roman"/>
                <w:sz w:val="17"/>
                <w:szCs w:val="17"/>
              </w:rPr>
              <w:t>only</w:t>
            </w:r>
          </w:p>
        </w:tc>
        <w:tc>
          <w:tcPr>
            <w:tcW w:w="3734" w:type="dxa"/>
            <w:gridSpan w:val="2"/>
            <w:tcBorders>
              <w:top w:val="nil"/>
              <w:left w:val="nil"/>
              <w:bottom w:val="single" w:sz="4" w:space="0" w:color="auto"/>
              <w:right w:val="nil"/>
            </w:tcBorders>
            <w:shd w:val="clear" w:color="auto" w:fill="auto"/>
            <w:noWrap/>
            <w:vAlign w:val="bottom"/>
          </w:tcPr>
          <w:p w:rsidR="002E5461" w:rsidRPr="00114204" w:rsidRDefault="0097633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All executives</w:t>
            </w:r>
          </w:p>
        </w:tc>
      </w:tr>
      <w:tr w:rsidR="002E5461" w:rsidRPr="00C34885" w:rsidTr="000034CA">
        <w:trPr>
          <w:trHeight w:val="144"/>
          <w:jc w:val="center"/>
        </w:trPr>
        <w:tc>
          <w:tcPr>
            <w:tcW w:w="2306" w:type="dxa"/>
            <w:tcBorders>
              <w:top w:val="nil"/>
              <w:left w:val="nil"/>
              <w:bottom w:val="single" w:sz="4" w:space="0" w:color="auto"/>
              <w:right w:val="nil"/>
            </w:tcBorders>
            <w:shd w:val="clear" w:color="auto" w:fill="auto"/>
            <w:noWrap/>
            <w:vAlign w:val="bottom"/>
            <w:hideMark/>
          </w:tcPr>
          <w:p w:rsidR="002E5461" w:rsidRPr="00114204" w:rsidRDefault="002E5461"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1884" w:type="dxa"/>
            <w:tcBorders>
              <w:top w:val="nil"/>
              <w:left w:val="nil"/>
              <w:bottom w:val="single" w:sz="4" w:space="0" w:color="auto"/>
              <w:right w:val="nil"/>
            </w:tcBorders>
            <w:shd w:val="clear" w:color="auto" w:fill="auto"/>
            <w:noWrap/>
            <w:vAlign w:val="bottom"/>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Compensation leverage </w:t>
            </w:r>
          </w:p>
        </w:tc>
        <w:tc>
          <w:tcPr>
            <w:tcW w:w="1668" w:type="dxa"/>
            <w:gridSpan w:val="2"/>
            <w:tcBorders>
              <w:top w:val="nil"/>
              <w:left w:val="nil"/>
              <w:bottom w:val="single" w:sz="4" w:space="0" w:color="auto"/>
              <w:right w:val="nil"/>
            </w:tcBorders>
            <w:shd w:val="clear" w:color="auto" w:fill="auto"/>
            <w:noWrap/>
            <w:vAlign w:val="bottom"/>
            <w:hideMark/>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c>
          <w:tcPr>
            <w:tcW w:w="1973" w:type="dxa"/>
            <w:tcBorders>
              <w:top w:val="nil"/>
              <w:left w:val="nil"/>
              <w:bottom w:val="single" w:sz="4" w:space="0" w:color="auto"/>
              <w:right w:val="nil"/>
            </w:tcBorders>
            <w:shd w:val="clear" w:color="auto" w:fill="auto"/>
            <w:noWrap/>
            <w:vAlign w:val="bottom"/>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Compensation leverage</w:t>
            </w:r>
          </w:p>
        </w:tc>
        <w:tc>
          <w:tcPr>
            <w:tcW w:w="1761" w:type="dxa"/>
            <w:tcBorders>
              <w:top w:val="nil"/>
              <w:left w:val="nil"/>
              <w:bottom w:val="single" w:sz="4" w:space="0" w:color="auto"/>
              <w:right w:val="nil"/>
            </w:tcBorders>
            <w:shd w:val="clear" w:color="auto" w:fill="auto"/>
            <w:noWrap/>
            <w:vAlign w:val="bottom"/>
          </w:tcPr>
          <w:p w:rsidR="002E5461" w:rsidRPr="00114204" w:rsidRDefault="002E5461"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rPr>
                <w:rFonts w:ascii="Times New Roman" w:eastAsia="Times New Roman" w:hAnsi="Times New Roman"/>
                <w:i/>
                <w:iCs/>
                <w:color w:val="000000"/>
                <w:sz w:val="17"/>
                <w:szCs w:val="17"/>
              </w:rPr>
            </w:pP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0.0449*</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-0.2240**</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sidRPr="00042AF2">
              <w:rPr>
                <w:rFonts w:ascii="Times New Roman" w:eastAsia="Times New Roman" w:hAnsi="Times New Roman"/>
                <w:sz w:val="17"/>
                <w:szCs w:val="17"/>
              </w:rPr>
              <w:t>(</w:t>
            </w:r>
            <w:r>
              <w:rPr>
                <w:rFonts w:ascii="Times New Roman" w:eastAsia="Times New Roman" w:hAnsi="Times New Roman"/>
                <w:sz w:val="17"/>
                <w:szCs w:val="17"/>
              </w:rPr>
              <w:t>-2.02)</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(-2.31)</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-0.0960**</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-0.0825**</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(-2.94)</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(-2.34)</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0.0012**</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0.0017*</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(1.51)</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(2.59)</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(1.94)</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(2.17)</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-0.0150***</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-0.0050***</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-0.0015***</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-0.0213***</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(-5.73)</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(-5.75)</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(-5.89)</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(-6.50)</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0.0088</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-0.0519</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0.0065</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0.0324</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(1.61)</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(1.28)</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(1.11)</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(-0.16)</w:t>
            </w: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(-0.38)</w:t>
            </w: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(-0.46)</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(-0.96)</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w:t>
            </w:r>
            <w:r w:rsidRPr="00C34885">
              <w:rPr>
                <w:rFonts w:ascii="Times New Roman" w:eastAsia="Times New Roman" w:hAnsi="Times New Roman"/>
                <w:color w:val="000000"/>
                <w:sz w:val="17"/>
                <w:szCs w:val="17"/>
              </w:rPr>
              <w:t>ebt</w:t>
            </w:r>
            <w:r>
              <w:rPr>
                <w:rFonts w:ascii="Times New Roman" w:eastAsia="Times New Roman" w:hAnsi="Times New Roman"/>
                <w:color w:val="000000"/>
                <w:sz w:val="17"/>
                <w:szCs w:val="17"/>
              </w:rPr>
              <w:t>/e</w:t>
            </w:r>
            <w:r w:rsidRPr="00C34885">
              <w:rPr>
                <w:rFonts w:ascii="Times New Roman" w:eastAsia="Times New Roman" w:hAnsi="Times New Roman"/>
                <w:color w:val="000000"/>
                <w:sz w:val="17"/>
                <w:szCs w:val="17"/>
              </w:rPr>
              <w:t>quity</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-0.0305</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-0.0374</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-0.0019</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-0.0220</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(-1.43)</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(-1.05)</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(-1.07)</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(-1.20)</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F0E95" w:rsidRDefault="002E5461" w:rsidP="00F609C2">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0.0007**</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(0.96)</w:t>
            </w: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(2.07)</w:t>
            </w: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(1.51)</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(2.68)</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-0.0009**</w:t>
            </w: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(-2.21)</w:t>
            </w: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(-2.98)</w:t>
            </w: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(-2.34)</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(-3.41)</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A84317"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Distance-to-</w:t>
            </w:r>
            <w:r w:rsidR="002E5461">
              <w:rPr>
                <w:rFonts w:ascii="Times New Roman" w:eastAsia="Times New Roman" w:hAnsi="Times New Roman"/>
                <w:color w:val="000000"/>
                <w:sz w:val="17"/>
                <w:szCs w:val="17"/>
              </w:rPr>
              <w:t>default</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-0.0038</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sidRPr="00042AF2">
              <w:rPr>
                <w:rFonts w:ascii="Times New Roman" w:eastAsia="Times New Roman" w:hAnsi="Times New Roman"/>
                <w:sz w:val="17"/>
                <w:szCs w:val="17"/>
              </w:rPr>
              <w:t>-</w:t>
            </w:r>
            <w:r>
              <w:rPr>
                <w:rFonts w:ascii="Times New Roman" w:eastAsia="Times New Roman" w:hAnsi="Times New Roman"/>
                <w:sz w:val="17"/>
                <w:szCs w:val="17"/>
              </w:rPr>
              <w:t>0.0246</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0.0099</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(-0.21)</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(0.92)</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(-0.08)</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(1.20)</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Firm age</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0.0004</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(0.08)</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(2.16)</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(0.32)</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(2.08)</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0.1182</w:t>
            </w: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0.0931</w:t>
            </w: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0.0906</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0.0565</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042AF2" w:rsidRDefault="002E5461"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(1.12)</w:t>
            </w: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(0.65)</w:t>
            </w: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(0.96)</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(1.04)</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Default="002E5461" w:rsidP="00F609C2">
            <w:pPr>
              <w:spacing w:after="0" w:line="240" w:lineRule="auto"/>
              <w:rPr>
                <w:rFonts w:ascii="Times New Roman" w:eastAsia="Times New Roman" w:hAnsi="Times New Roman"/>
                <w:color w:val="000000"/>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w:t>
            </w:r>
            <w:r w:rsidRPr="00C34885">
              <w:rPr>
                <w:rFonts w:ascii="Times New Roman" w:eastAsia="Times New Roman" w:hAnsi="Times New Roman"/>
                <w:color w:val="000000"/>
                <w:sz w:val="17"/>
                <w:szCs w:val="17"/>
              </w:rPr>
              <w:t>iq</w:t>
            </w:r>
            <w:r>
              <w:rPr>
                <w:rFonts w:ascii="Times New Roman" w:eastAsia="Times New Roman" w:hAnsi="Times New Roman"/>
                <w:color w:val="000000"/>
                <w:sz w:val="17"/>
                <w:szCs w:val="17"/>
              </w:rPr>
              <w:t>uidity c</w:t>
            </w:r>
            <w:r w:rsidRPr="00C34885">
              <w:rPr>
                <w:rFonts w:ascii="Times New Roman" w:eastAsia="Times New Roman" w:hAnsi="Times New Roman"/>
                <w:color w:val="000000"/>
                <w:sz w:val="17"/>
                <w:szCs w:val="17"/>
              </w:rPr>
              <w:t>ons</w:t>
            </w:r>
            <w:r>
              <w:rPr>
                <w:rFonts w:ascii="Times New Roman" w:eastAsia="Times New Roman" w:hAnsi="Times New Roman"/>
                <w:color w:val="000000"/>
                <w:sz w:val="17"/>
                <w:szCs w:val="17"/>
              </w:rPr>
              <w:t>traint</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-0.1957**</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0.1240</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0.1030</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0.0803</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(-2.39)</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(0.86)</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(1.41)</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(1.65)</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sidRPr="00C34885">
              <w:rPr>
                <w:rFonts w:ascii="Times New Roman" w:eastAsia="Times New Roman" w:hAnsi="Times New Roman"/>
                <w:color w:val="000000"/>
                <w:sz w:val="17"/>
                <w:szCs w:val="17"/>
              </w:rPr>
              <w:t>ax</w:t>
            </w:r>
            <w:r>
              <w:rPr>
                <w:rFonts w:ascii="Times New Roman" w:eastAsia="Times New Roman" w:hAnsi="Times New Roman"/>
                <w:color w:val="000000"/>
                <w:sz w:val="17"/>
                <w:szCs w:val="17"/>
              </w:rPr>
              <w:t xml:space="preserve"> loss</w:t>
            </w: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sidRPr="00042AF2">
              <w:rPr>
                <w:rFonts w:ascii="Times New Roman" w:eastAsia="Times New Roman" w:hAnsi="Times New Roman"/>
                <w:sz w:val="17"/>
                <w:szCs w:val="17"/>
              </w:rPr>
              <w:t>0</w:t>
            </w:r>
            <w:r>
              <w:rPr>
                <w:rFonts w:ascii="Times New Roman" w:eastAsia="Times New Roman" w:hAnsi="Times New Roman"/>
                <w:sz w:val="17"/>
                <w:szCs w:val="17"/>
              </w:rPr>
              <w:t>.1702***</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0.2717**</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0.1651**</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0.1577**</w:t>
            </w: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(3.01)</w:t>
            </w:r>
          </w:p>
        </w:tc>
        <w:tc>
          <w:tcPr>
            <w:tcW w:w="1653" w:type="dxa"/>
            <w:tcBorders>
              <w:top w:val="nil"/>
              <w:left w:val="nil"/>
              <w:bottom w:val="nil"/>
              <w:right w:val="nil"/>
            </w:tcBorders>
            <w:shd w:val="clear" w:color="auto" w:fill="auto"/>
            <w:noWrap/>
            <w:vAlign w:val="bottom"/>
            <w:hideMark/>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(3.09)</w:t>
            </w:r>
          </w:p>
        </w:tc>
        <w:tc>
          <w:tcPr>
            <w:tcW w:w="1973"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(2.90)</w:t>
            </w:r>
          </w:p>
        </w:tc>
        <w:tc>
          <w:tcPr>
            <w:tcW w:w="1761" w:type="dxa"/>
            <w:tcBorders>
              <w:top w:val="nil"/>
              <w:left w:val="nil"/>
              <w:bottom w:val="nil"/>
              <w:right w:val="nil"/>
            </w:tcBorders>
            <w:shd w:val="clear" w:color="auto" w:fill="auto"/>
            <w:noWrap/>
            <w:vAlign w:val="bottom"/>
          </w:tcPr>
          <w:p w:rsidR="002E5461" w:rsidRPr="00042AF2"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(3.09)</w:t>
            </w: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hRule="exact" w:val="72"/>
          <w:jc w:val="center"/>
        </w:trPr>
        <w:tc>
          <w:tcPr>
            <w:tcW w:w="2306" w:type="dxa"/>
            <w:tcBorders>
              <w:top w:val="nil"/>
              <w:left w:val="nil"/>
              <w:bottom w:val="nil"/>
              <w:right w:val="nil"/>
            </w:tcBorders>
            <w:shd w:val="clear" w:color="auto" w:fill="auto"/>
            <w:noWrap/>
            <w:tcMar>
              <w:left w:w="0" w:type="dxa"/>
              <w:right w:w="0" w:type="dxa"/>
            </w:tcMar>
            <w:vAlign w:val="bottom"/>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r w:rsidR="002E5461" w:rsidRPr="00C34885" w:rsidTr="000034CA">
        <w:trPr>
          <w:trHeight w:val="144"/>
          <w:jc w:val="center"/>
        </w:trPr>
        <w:tc>
          <w:tcPr>
            <w:tcW w:w="2306" w:type="dxa"/>
            <w:tcBorders>
              <w:top w:val="nil"/>
              <w:left w:val="nil"/>
              <w:bottom w:val="nil"/>
              <w:right w:val="nil"/>
            </w:tcBorders>
            <w:shd w:val="clear" w:color="auto" w:fill="auto"/>
            <w:noWrap/>
            <w:tcMar>
              <w:left w:w="0" w:type="dxa"/>
              <w:right w:w="0" w:type="dxa"/>
            </w:tcMar>
            <w:vAlign w:val="bottom"/>
            <w:hideMark/>
          </w:tcPr>
          <w:p w:rsidR="002E5461" w:rsidRPr="00C34885" w:rsidRDefault="00E8767A"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R-</w:t>
            </w:r>
            <w:r w:rsidR="002E5461" w:rsidRPr="00C34885">
              <w:rPr>
                <w:rFonts w:ascii="Times New Roman" w:eastAsia="Times New Roman" w:hAnsi="Times New Roman"/>
                <w:sz w:val="17"/>
                <w:szCs w:val="17"/>
              </w:rPr>
              <w:t>Squared</w:t>
            </w:r>
          </w:p>
        </w:tc>
        <w:tc>
          <w:tcPr>
            <w:tcW w:w="1899" w:type="dxa"/>
            <w:gridSpan w:val="2"/>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0.</w:t>
            </w:r>
            <w:r>
              <w:rPr>
                <w:rFonts w:ascii="Times New Roman" w:eastAsia="Times New Roman" w:hAnsi="Times New Roman"/>
                <w:sz w:val="17"/>
                <w:szCs w:val="17"/>
              </w:rPr>
              <w:t>1370</w:t>
            </w:r>
          </w:p>
        </w:tc>
        <w:tc>
          <w:tcPr>
            <w:tcW w:w="1653" w:type="dxa"/>
            <w:tcBorders>
              <w:top w:val="nil"/>
              <w:left w:val="nil"/>
              <w:bottom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0.1464</w:t>
            </w:r>
          </w:p>
        </w:tc>
        <w:tc>
          <w:tcPr>
            <w:tcW w:w="1973"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0.1302</w:t>
            </w:r>
          </w:p>
        </w:tc>
        <w:tc>
          <w:tcPr>
            <w:tcW w:w="1761" w:type="dxa"/>
            <w:tcBorders>
              <w:top w:val="nil"/>
              <w:left w:val="nil"/>
              <w:bottom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0.1542</w:t>
            </w:r>
          </w:p>
        </w:tc>
      </w:tr>
      <w:tr w:rsidR="002E5461" w:rsidRPr="00C34885" w:rsidTr="000034CA">
        <w:trPr>
          <w:trHeight w:val="144"/>
          <w:jc w:val="center"/>
        </w:trPr>
        <w:tc>
          <w:tcPr>
            <w:tcW w:w="2306" w:type="dxa"/>
            <w:tcBorders>
              <w:top w:val="nil"/>
              <w:left w:val="nil"/>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Observations</w:t>
            </w:r>
          </w:p>
        </w:tc>
        <w:tc>
          <w:tcPr>
            <w:tcW w:w="1899" w:type="dxa"/>
            <w:gridSpan w:val="2"/>
            <w:tcBorders>
              <w:top w:val="nil"/>
              <w:left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193</w:t>
            </w:r>
          </w:p>
        </w:tc>
        <w:tc>
          <w:tcPr>
            <w:tcW w:w="1653" w:type="dxa"/>
            <w:tcBorders>
              <w:top w:val="nil"/>
              <w:left w:val="nil"/>
              <w:right w:val="nil"/>
            </w:tcBorders>
            <w:shd w:val="clear" w:color="auto" w:fill="auto"/>
            <w:noWrap/>
            <w:vAlign w:val="bottom"/>
            <w:hideMark/>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210</w:t>
            </w:r>
          </w:p>
        </w:tc>
        <w:tc>
          <w:tcPr>
            <w:tcW w:w="1973" w:type="dxa"/>
            <w:tcBorders>
              <w:top w:val="nil"/>
              <w:left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272</w:t>
            </w:r>
          </w:p>
        </w:tc>
        <w:tc>
          <w:tcPr>
            <w:tcW w:w="1761" w:type="dxa"/>
            <w:tcBorders>
              <w:top w:val="nil"/>
              <w:left w:val="nil"/>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0034CA">
              <w:rPr>
                <w:rFonts w:ascii="Times New Roman" w:eastAsia="Times New Roman" w:hAnsi="Times New Roman"/>
                <w:sz w:val="17"/>
                <w:szCs w:val="17"/>
              </w:rPr>
              <w:t>,</w:t>
            </w:r>
            <w:r>
              <w:rPr>
                <w:rFonts w:ascii="Times New Roman" w:eastAsia="Times New Roman" w:hAnsi="Times New Roman"/>
                <w:sz w:val="17"/>
                <w:szCs w:val="17"/>
              </w:rPr>
              <w:t>264</w:t>
            </w:r>
          </w:p>
        </w:tc>
      </w:tr>
      <w:tr w:rsidR="002E5461" w:rsidRPr="00C34885" w:rsidTr="000034CA">
        <w:trPr>
          <w:trHeight w:hRule="exact" w:val="72"/>
          <w:jc w:val="center"/>
        </w:trPr>
        <w:tc>
          <w:tcPr>
            <w:tcW w:w="2306" w:type="dxa"/>
            <w:tcBorders>
              <w:top w:val="nil"/>
              <w:left w:val="nil"/>
              <w:bottom w:val="single" w:sz="4" w:space="0" w:color="auto"/>
              <w:right w:val="nil"/>
            </w:tcBorders>
            <w:shd w:val="clear" w:color="auto" w:fill="auto"/>
            <w:noWrap/>
            <w:tcMar>
              <w:left w:w="0" w:type="dxa"/>
              <w:right w:w="0" w:type="dxa"/>
            </w:tcMar>
            <w:vAlign w:val="bottom"/>
            <w:hideMark/>
          </w:tcPr>
          <w:p w:rsidR="002E5461" w:rsidRPr="00C34885" w:rsidRDefault="002E5461" w:rsidP="00F609C2">
            <w:pPr>
              <w:spacing w:after="0" w:line="240" w:lineRule="auto"/>
              <w:rPr>
                <w:rFonts w:ascii="Times New Roman" w:eastAsia="Times New Roman" w:hAnsi="Times New Roman"/>
                <w:sz w:val="17"/>
                <w:szCs w:val="17"/>
              </w:rPr>
            </w:pPr>
          </w:p>
        </w:tc>
        <w:tc>
          <w:tcPr>
            <w:tcW w:w="1899" w:type="dxa"/>
            <w:gridSpan w:val="2"/>
            <w:tcBorders>
              <w:top w:val="nil"/>
              <w:left w:val="nil"/>
              <w:bottom w:val="single" w:sz="4" w:space="0" w:color="auto"/>
              <w:right w:val="nil"/>
            </w:tcBorders>
            <w:shd w:val="clear" w:color="auto" w:fill="auto"/>
            <w:noWrap/>
            <w:vAlign w:val="bottom"/>
          </w:tcPr>
          <w:p w:rsidR="002E5461" w:rsidRDefault="002E5461"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single" w:sz="4" w:space="0" w:color="auto"/>
              <w:right w:val="nil"/>
            </w:tcBorders>
            <w:shd w:val="clear" w:color="auto" w:fill="auto"/>
            <w:noWrap/>
            <w:vAlign w:val="bottom"/>
            <w:hideMark/>
          </w:tcPr>
          <w:p w:rsidR="002E5461" w:rsidRDefault="002E5461" w:rsidP="00F609C2">
            <w:pPr>
              <w:spacing w:after="0" w:line="240" w:lineRule="auto"/>
              <w:jc w:val="center"/>
              <w:rPr>
                <w:rFonts w:ascii="Times New Roman" w:eastAsia="Times New Roman" w:hAnsi="Times New Roman"/>
                <w:sz w:val="17"/>
                <w:szCs w:val="17"/>
              </w:rPr>
            </w:pPr>
          </w:p>
        </w:tc>
        <w:tc>
          <w:tcPr>
            <w:tcW w:w="1973" w:type="dxa"/>
            <w:tcBorders>
              <w:top w:val="nil"/>
              <w:left w:val="nil"/>
              <w:bottom w:val="single" w:sz="4" w:space="0" w:color="auto"/>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c>
          <w:tcPr>
            <w:tcW w:w="1761" w:type="dxa"/>
            <w:tcBorders>
              <w:top w:val="nil"/>
              <w:left w:val="nil"/>
              <w:bottom w:val="single" w:sz="4" w:space="0" w:color="auto"/>
              <w:right w:val="nil"/>
            </w:tcBorders>
            <w:shd w:val="clear" w:color="auto" w:fill="auto"/>
            <w:noWrap/>
            <w:vAlign w:val="bottom"/>
          </w:tcPr>
          <w:p w:rsidR="002E5461" w:rsidRPr="00C34885" w:rsidRDefault="002E5461" w:rsidP="00F609C2">
            <w:pPr>
              <w:spacing w:after="0" w:line="240" w:lineRule="auto"/>
              <w:jc w:val="center"/>
              <w:rPr>
                <w:rFonts w:ascii="Times New Roman" w:eastAsia="Times New Roman" w:hAnsi="Times New Roman"/>
                <w:sz w:val="17"/>
                <w:szCs w:val="17"/>
              </w:rPr>
            </w:pPr>
          </w:p>
        </w:tc>
      </w:tr>
    </w:tbl>
    <w:p w:rsidR="002E5461" w:rsidRDefault="002E5461" w:rsidP="004942E7">
      <w:pPr>
        <w:spacing w:after="0" w:line="240" w:lineRule="auto"/>
        <w:jc w:val="both"/>
      </w:pPr>
    </w:p>
    <w:p w:rsidR="002E5461" w:rsidRDefault="002E5461">
      <w:r>
        <w:br w:type="page"/>
      </w:r>
    </w:p>
    <w:p w:rsidR="004942E7" w:rsidRDefault="004942E7" w:rsidP="004942E7">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8: 2SLS regressions of dividend net of stock repurchase on compensation leverage and inside debt</w:t>
      </w:r>
    </w:p>
    <w:p w:rsidR="00E24DDD" w:rsidRDefault="004942E7" w:rsidP="00E24DDD">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The table replicate</w:t>
      </w:r>
      <w:r w:rsidR="00FC3B15">
        <w:rPr>
          <w:rFonts w:ascii="Times New Roman" w:eastAsia="Times New Roman" w:hAnsi="Times New Roman"/>
          <w:bCs/>
          <w:sz w:val="18"/>
          <w:szCs w:val="18"/>
        </w:rPr>
        <w:t>s</w:t>
      </w:r>
      <w:r>
        <w:rPr>
          <w:rFonts w:ascii="Times New Roman" w:eastAsia="Times New Roman" w:hAnsi="Times New Roman"/>
          <w:bCs/>
          <w:sz w:val="18"/>
          <w:szCs w:val="18"/>
        </w:rPr>
        <w:t xml:space="preserve"> the results in Table 7 using a 2SLS procedure with two instrumental variables for the pension measures: executive </w:t>
      </w:r>
      <w:r w:rsidR="00A16A14">
        <w:rPr>
          <w:rFonts w:ascii="Times New Roman" w:eastAsia="Times New Roman" w:hAnsi="Times New Roman"/>
          <w:bCs/>
          <w:sz w:val="18"/>
          <w:szCs w:val="18"/>
        </w:rPr>
        <w:t xml:space="preserve">age </w:t>
      </w:r>
      <w:r>
        <w:rPr>
          <w:rFonts w:ascii="Times New Roman" w:eastAsia="Times New Roman" w:hAnsi="Times New Roman"/>
          <w:bCs/>
          <w:sz w:val="18"/>
          <w:szCs w:val="18"/>
        </w:rPr>
        <w:t>and the multiplier factor, ‘M’.</w:t>
      </w:r>
      <w:r w:rsidR="00824FB6">
        <w:rPr>
          <w:rFonts w:ascii="Times New Roman" w:eastAsia="Times New Roman" w:hAnsi="Times New Roman"/>
          <w:bCs/>
          <w:sz w:val="18"/>
          <w:szCs w:val="18"/>
        </w:rPr>
        <w:t xml:space="preserve"> </w:t>
      </w:r>
      <w:r w:rsidR="00E24DDD">
        <w:rPr>
          <w:rFonts w:ascii="Times New Roman" w:hAnsi="Times New Roman" w:cs="Times New Roman"/>
          <w:sz w:val="18"/>
          <w:szCs w:val="18"/>
        </w:rPr>
        <w:t>*, **, *** indicate significance at the 0.1, 0.05, and 0.01 levels, respectively.</w:t>
      </w:r>
    </w:p>
    <w:p w:rsidR="004942E7" w:rsidRDefault="004942E7" w:rsidP="004942E7">
      <w:pPr>
        <w:spacing w:after="0" w:line="240" w:lineRule="auto"/>
        <w:jc w:val="both"/>
        <w:rPr>
          <w:rFonts w:ascii="Times New Roman" w:eastAsia="Times New Roman" w:hAnsi="Times New Roman"/>
          <w:bCs/>
          <w:sz w:val="18"/>
          <w:szCs w:val="18"/>
        </w:rPr>
      </w:pPr>
    </w:p>
    <w:tbl>
      <w:tblPr>
        <w:tblW w:w="9592" w:type="dxa"/>
        <w:jc w:val="center"/>
        <w:tblLook w:val="04A0" w:firstRow="1" w:lastRow="0" w:firstColumn="1" w:lastColumn="0" w:noHBand="0" w:noVBand="1"/>
      </w:tblPr>
      <w:tblGrid>
        <w:gridCol w:w="2514"/>
        <w:gridCol w:w="1836"/>
        <w:gridCol w:w="15"/>
        <w:gridCol w:w="1605"/>
        <w:gridCol w:w="1925"/>
        <w:gridCol w:w="1713"/>
      </w:tblGrid>
      <w:tr w:rsidR="00F609C2" w:rsidRPr="00C34885" w:rsidTr="000034CA">
        <w:trPr>
          <w:trHeight w:val="144"/>
          <w:jc w:val="center"/>
        </w:trPr>
        <w:tc>
          <w:tcPr>
            <w:tcW w:w="2498" w:type="dxa"/>
            <w:tcBorders>
              <w:top w:val="single" w:sz="4" w:space="0" w:color="auto"/>
              <w:left w:val="nil"/>
              <w:bottom w:val="nil"/>
              <w:right w:val="nil"/>
            </w:tcBorders>
            <w:shd w:val="clear" w:color="auto" w:fill="auto"/>
            <w:noWrap/>
            <w:vAlign w:val="bottom"/>
            <w:hideMark/>
          </w:tcPr>
          <w:p w:rsidR="00F609C2" w:rsidRPr="00114204" w:rsidRDefault="00F609C2"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7094" w:type="dxa"/>
            <w:gridSpan w:val="5"/>
            <w:tcBorders>
              <w:top w:val="single" w:sz="4" w:space="0" w:color="auto"/>
              <w:left w:val="nil"/>
              <w:bottom w:val="nil"/>
              <w:right w:val="nil"/>
            </w:tcBorders>
            <w:shd w:val="clear" w:color="auto" w:fill="auto"/>
            <w:noWrap/>
            <w:vAlign w:val="bottom"/>
            <w:hideMark/>
          </w:tcPr>
          <w:p w:rsidR="00F609C2" w:rsidRPr="00114204" w:rsidRDefault="00F609C2"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w:t>
            </w:r>
            <w:r w:rsidRPr="000873A2">
              <w:rPr>
                <w:rFonts w:ascii="Times New Roman" w:eastAsia="Times New Roman" w:hAnsi="Times New Roman"/>
                <w:sz w:val="17"/>
                <w:szCs w:val="17"/>
              </w:rPr>
              <w:t>[Dividends - (Repurchases – Issuances)]/Assets</w:t>
            </w:r>
          </w:p>
        </w:tc>
      </w:tr>
      <w:tr w:rsidR="00F609C2" w:rsidRPr="00C34885" w:rsidTr="000034CA">
        <w:trPr>
          <w:trHeight w:val="144"/>
          <w:jc w:val="center"/>
        </w:trPr>
        <w:tc>
          <w:tcPr>
            <w:tcW w:w="2498" w:type="dxa"/>
            <w:tcBorders>
              <w:top w:val="nil"/>
              <w:left w:val="nil"/>
              <w:bottom w:val="single" w:sz="4" w:space="0" w:color="auto"/>
              <w:right w:val="nil"/>
            </w:tcBorders>
            <w:shd w:val="clear" w:color="auto" w:fill="auto"/>
            <w:noWrap/>
            <w:vAlign w:val="bottom"/>
          </w:tcPr>
          <w:p w:rsidR="00F609C2" w:rsidRPr="00114204" w:rsidRDefault="00F609C2" w:rsidP="00F609C2">
            <w:pPr>
              <w:spacing w:after="0" w:line="240" w:lineRule="auto"/>
              <w:rPr>
                <w:rFonts w:ascii="Times New Roman" w:eastAsia="Times New Roman" w:hAnsi="Times New Roman"/>
                <w:sz w:val="17"/>
                <w:szCs w:val="17"/>
              </w:rPr>
            </w:pPr>
          </w:p>
        </w:tc>
        <w:tc>
          <w:tcPr>
            <w:tcW w:w="3456" w:type="dxa"/>
            <w:gridSpan w:val="3"/>
            <w:tcBorders>
              <w:top w:val="nil"/>
              <w:left w:val="nil"/>
              <w:bottom w:val="single" w:sz="4" w:space="0" w:color="auto"/>
              <w:right w:val="nil"/>
            </w:tcBorders>
            <w:shd w:val="clear" w:color="auto" w:fill="auto"/>
            <w:noWrap/>
            <w:vAlign w:val="bottom"/>
          </w:tcPr>
          <w:p w:rsidR="00F609C2" w:rsidRPr="00114204" w:rsidRDefault="00F609C2" w:rsidP="00EA213D">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CEO</w:t>
            </w:r>
            <w:r w:rsidR="004F2482">
              <w:rPr>
                <w:rFonts w:ascii="Times New Roman" w:eastAsia="Times New Roman" w:hAnsi="Times New Roman"/>
                <w:sz w:val="17"/>
                <w:szCs w:val="17"/>
              </w:rPr>
              <w:t xml:space="preserve"> </w:t>
            </w:r>
            <w:r w:rsidR="00EA213D">
              <w:rPr>
                <w:rFonts w:ascii="Times New Roman" w:eastAsia="Times New Roman" w:hAnsi="Times New Roman"/>
                <w:sz w:val="17"/>
                <w:szCs w:val="17"/>
              </w:rPr>
              <w:t>only</w:t>
            </w:r>
          </w:p>
        </w:tc>
        <w:tc>
          <w:tcPr>
            <w:tcW w:w="3638" w:type="dxa"/>
            <w:gridSpan w:val="2"/>
            <w:tcBorders>
              <w:top w:val="nil"/>
              <w:left w:val="nil"/>
              <w:bottom w:val="single" w:sz="4" w:space="0" w:color="auto"/>
              <w:right w:val="nil"/>
            </w:tcBorders>
            <w:shd w:val="clear" w:color="auto" w:fill="auto"/>
            <w:noWrap/>
            <w:vAlign w:val="bottom"/>
          </w:tcPr>
          <w:p w:rsidR="00F609C2" w:rsidRPr="00114204" w:rsidRDefault="00976338"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All executives</w:t>
            </w:r>
          </w:p>
        </w:tc>
      </w:tr>
      <w:tr w:rsidR="00F609C2" w:rsidRPr="00C34885" w:rsidTr="000034CA">
        <w:trPr>
          <w:trHeight w:val="144"/>
          <w:jc w:val="center"/>
        </w:trPr>
        <w:tc>
          <w:tcPr>
            <w:tcW w:w="2498" w:type="dxa"/>
            <w:tcBorders>
              <w:top w:val="nil"/>
              <w:left w:val="nil"/>
              <w:bottom w:val="single" w:sz="4" w:space="0" w:color="auto"/>
              <w:right w:val="nil"/>
            </w:tcBorders>
            <w:shd w:val="clear" w:color="auto" w:fill="auto"/>
            <w:noWrap/>
            <w:vAlign w:val="bottom"/>
            <w:hideMark/>
          </w:tcPr>
          <w:p w:rsidR="00F609C2" w:rsidRPr="00114204" w:rsidRDefault="00F609C2"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1836" w:type="dxa"/>
            <w:tcBorders>
              <w:top w:val="nil"/>
              <w:left w:val="nil"/>
              <w:bottom w:val="single" w:sz="4" w:space="0" w:color="auto"/>
              <w:right w:val="nil"/>
            </w:tcBorders>
            <w:shd w:val="clear" w:color="auto" w:fill="auto"/>
            <w:noWrap/>
            <w:vAlign w:val="bottom"/>
          </w:tcPr>
          <w:p w:rsidR="00F609C2" w:rsidRPr="00114204" w:rsidRDefault="00F609C2"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Compensation leverage </w:t>
            </w:r>
          </w:p>
        </w:tc>
        <w:tc>
          <w:tcPr>
            <w:tcW w:w="1620" w:type="dxa"/>
            <w:gridSpan w:val="2"/>
            <w:tcBorders>
              <w:top w:val="nil"/>
              <w:left w:val="nil"/>
              <w:bottom w:val="single" w:sz="4" w:space="0" w:color="auto"/>
              <w:right w:val="nil"/>
            </w:tcBorders>
            <w:shd w:val="clear" w:color="auto" w:fill="auto"/>
            <w:noWrap/>
            <w:vAlign w:val="bottom"/>
            <w:hideMark/>
          </w:tcPr>
          <w:p w:rsidR="00F609C2" w:rsidRPr="00114204" w:rsidRDefault="00F609C2"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c>
          <w:tcPr>
            <w:tcW w:w="1925" w:type="dxa"/>
            <w:tcBorders>
              <w:top w:val="nil"/>
              <w:left w:val="nil"/>
              <w:bottom w:val="single" w:sz="4" w:space="0" w:color="auto"/>
              <w:right w:val="nil"/>
            </w:tcBorders>
            <w:shd w:val="clear" w:color="auto" w:fill="auto"/>
            <w:noWrap/>
            <w:vAlign w:val="bottom"/>
          </w:tcPr>
          <w:p w:rsidR="00F609C2" w:rsidRPr="00114204" w:rsidRDefault="00F609C2"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Compensation leverage</w:t>
            </w:r>
          </w:p>
        </w:tc>
        <w:tc>
          <w:tcPr>
            <w:tcW w:w="1713" w:type="dxa"/>
            <w:tcBorders>
              <w:top w:val="nil"/>
              <w:left w:val="nil"/>
              <w:bottom w:val="single" w:sz="4" w:space="0" w:color="auto"/>
              <w:right w:val="nil"/>
            </w:tcBorders>
            <w:shd w:val="clear" w:color="auto" w:fill="auto"/>
            <w:noWrap/>
            <w:vAlign w:val="bottom"/>
          </w:tcPr>
          <w:p w:rsidR="00F609C2" w:rsidRPr="00114204" w:rsidRDefault="00F609C2"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vAlign w:val="bottom"/>
            <w:hideMark/>
          </w:tcPr>
          <w:p w:rsidR="00F609C2" w:rsidRPr="00C34885" w:rsidRDefault="00F609C2" w:rsidP="00F609C2">
            <w:pPr>
              <w:spacing w:after="0" w:line="240" w:lineRule="auto"/>
              <w:rPr>
                <w:rFonts w:ascii="Times New Roman" w:eastAsia="Times New Roman" w:hAnsi="Times New Roman"/>
                <w:i/>
                <w:iCs/>
                <w:color w:val="000000"/>
                <w:sz w:val="17"/>
                <w:szCs w:val="17"/>
              </w:rPr>
            </w:pPr>
          </w:p>
        </w:tc>
        <w:tc>
          <w:tcPr>
            <w:tcW w:w="1851" w:type="dxa"/>
            <w:gridSpan w:val="2"/>
            <w:tcBorders>
              <w:top w:val="nil"/>
              <w:left w:val="nil"/>
              <w:bottom w:val="nil"/>
              <w:right w:val="nil"/>
            </w:tcBorders>
            <w:shd w:val="clear" w:color="auto" w:fill="auto"/>
            <w:noWrap/>
            <w:vAlign w:val="bottom"/>
          </w:tcPr>
          <w:p w:rsidR="00F609C2" w:rsidRPr="00C34885" w:rsidRDefault="00F609C2" w:rsidP="00F609C2">
            <w:pPr>
              <w:spacing w:after="0" w:line="240" w:lineRule="auto"/>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-3.130</w:t>
            </w:r>
            <w:r w:rsidRPr="00817BC7">
              <w:rPr>
                <w:rFonts w:ascii="Times New Roman" w:eastAsia="Times New Roman" w:hAnsi="Times New Roman"/>
                <w:sz w:val="17"/>
                <w:szCs w:val="17"/>
              </w:rPr>
              <w:t>*</w:t>
            </w:r>
            <w:r>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-3.073***</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(-2.13</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(-3.34)</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851" w:type="dxa"/>
            <w:gridSpan w:val="2"/>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0.0136</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0.0070</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(0.97)</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(0.58)</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-0.0017</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(2.38</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(-0.56)</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(0.37)</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(-0.59)</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-0.0015*</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-0.0032</w:t>
            </w:r>
            <w:r w:rsidRPr="00817BC7">
              <w:rPr>
                <w:rFonts w:ascii="Times New Roman" w:eastAsia="Times New Roman" w:hAnsi="Times New Roman"/>
                <w:sz w:val="17"/>
                <w:szCs w:val="17"/>
              </w:rPr>
              <w:t>***</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0.0011</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-0.0016***</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(-2.08</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(-3.14)</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(0.11)</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(-3.71)</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0.0147*</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0.0144</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0.0092***</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0.0050**</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(1.78</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(1.38)</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(2.71)</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(2.19)</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-0.0005**</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sidRPr="00817BC7">
              <w:rPr>
                <w:rFonts w:ascii="Times New Roman" w:eastAsia="Times New Roman" w:hAnsi="Times New Roman"/>
                <w:sz w:val="17"/>
                <w:szCs w:val="17"/>
              </w:rPr>
              <w:t>-0.0001</w:t>
            </w: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-0.0007</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(-1.98)</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(-1.26)</w:t>
            </w: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(-1.61)</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(-1.15)</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Default="00F609C2"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w:t>
            </w:r>
            <w:r w:rsidRPr="00C34885">
              <w:rPr>
                <w:rFonts w:ascii="Times New Roman" w:eastAsia="Times New Roman" w:hAnsi="Times New Roman"/>
                <w:color w:val="000000"/>
                <w:sz w:val="17"/>
                <w:szCs w:val="17"/>
              </w:rPr>
              <w:t>ebt</w:t>
            </w:r>
            <w:r>
              <w:rPr>
                <w:rFonts w:ascii="Times New Roman" w:eastAsia="Times New Roman" w:hAnsi="Times New Roman"/>
                <w:color w:val="000000"/>
                <w:sz w:val="17"/>
                <w:szCs w:val="17"/>
              </w:rPr>
              <w:t>/e</w:t>
            </w:r>
            <w:r w:rsidRPr="00C34885">
              <w:rPr>
                <w:rFonts w:ascii="Times New Roman" w:eastAsia="Times New Roman" w:hAnsi="Times New Roman"/>
                <w:color w:val="000000"/>
                <w:sz w:val="17"/>
                <w:szCs w:val="17"/>
              </w:rPr>
              <w:t>quity</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-0.0607***</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-0.0052**</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-0.0067***</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-0.0061***</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(-3.62</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(-2.42)</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(-4.16)</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(-3.32)</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F0E95" w:rsidRDefault="00F609C2" w:rsidP="00F609C2">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(-0.88)</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(1.20)</w:t>
            </w: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(-0.95)</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(2.08)</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Default="00F609C2"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-0.0004</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r w:rsidRPr="00817BC7">
              <w:rPr>
                <w:rFonts w:ascii="Times New Roman" w:eastAsia="Times New Roman" w:hAnsi="Times New Roman"/>
                <w:sz w:val="17"/>
                <w:szCs w:val="17"/>
              </w:rPr>
              <w:t>**</w:t>
            </w: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0.0009</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-0.0005*</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(-1.93)</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(-2.01)</w:t>
            </w: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(-0.32)</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(-1.88)</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Default="00F609C2"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A84317"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Distance-to-</w:t>
            </w:r>
            <w:r w:rsidR="00F609C2">
              <w:rPr>
                <w:rFonts w:ascii="Times New Roman" w:eastAsia="Times New Roman" w:hAnsi="Times New Roman"/>
                <w:color w:val="000000"/>
                <w:sz w:val="17"/>
                <w:szCs w:val="17"/>
              </w:rPr>
              <w:t>default</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-0.0072**</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0.0017</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-0.0076***</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(-1.96</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(0.73)</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(-3.78)</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(0.66)</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Firm age</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0.0004</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0.0005</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(-0.90</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(1.46)</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(-1.17)</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(1.61)</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0.0296</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0.0183</w:t>
            </w: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0.0283**</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0.0094*</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(1.36)</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(1.14)</w:t>
            </w: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(2.04)</w:t>
            </w: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(1.66)</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Default="00F609C2" w:rsidP="00F609C2">
            <w:pPr>
              <w:spacing w:after="0" w:line="240" w:lineRule="auto"/>
              <w:rPr>
                <w:rFonts w:ascii="Times New Roman" w:eastAsia="Times New Roman" w:hAnsi="Times New Roman"/>
                <w:color w:val="000000"/>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w:t>
            </w:r>
            <w:r w:rsidRPr="00C34885">
              <w:rPr>
                <w:rFonts w:ascii="Times New Roman" w:eastAsia="Times New Roman" w:hAnsi="Times New Roman"/>
                <w:color w:val="000000"/>
                <w:sz w:val="17"/>
                <w:szCs w:val="17"/>
              </w:rPr>
              <w:t>iq</w:t>
            </w:r>
            <w:r>
              <w:rPr>
                <w:rFonts w:ascii="Times New Roman" w:eastAsia="Times New Roman" w:hAnsi="Times New Roman"/>
                <w:color w:val="000000"/>
                <w:sz w:val="17"/>
                <w:szCs w:val="17"/>
              </w:rPr>
              <w:t>uidity c</w:t>
            </w:r>
            <w:r w:rsidRPr="00C34885">
              <w:rPr>
                <w:rFonts w:ascii="Times New Roman" w:eastAsia="Times New Roman" w:hAnsi="Times New Roman"/>
                <w:color w:val="000000"/>
                <w:sz w:val="17"/>
                <w:szCs w:val="17"/>
              </w:rPr>
              <w:t>ons</w:t>
            </w:r>
            <w:r>
              <w:rPr>
                <w:rFonts w:ascii="Times New Roman" w:eastAsia="Times New Roman" w:hAnsi="Times New Roman"/>
                <w:color w:val="000000"/>
                <w:sz w:val="17"/>
                <w:szCs w:val="17"/>
              </w:rPr>
              <w:t>traint</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0.0348</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0.0069</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0.0283***</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0.0010</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(2.06)</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(1.12)</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(2.86)</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(0.21)</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sidRPr="00C34885">
              <w:rPr>
                <w:rFonts w:ascii="Times New Roman" w:eastAsia="Times New Roman" w:hAnsi="Times New Roman"/>
                <w:color w:val="000000"/>
                <w:sz w:val="17"/>
                <w:szCs w:val="17"/>
              </w:rPr>
              <w:t>ax</w:t>
            </w:r>
            <w:r>
              <w:rPr>
                <w:rFonts w:ascii="Times New Roman" w:eastAsia="Times New Roman" w:hAnsi="Times New Roman"/>
                <w:color w:val="000000"/>
                <w:sz w:val="17"/>
                <w:szCs w:val="17"/>
              </w:rPr>
              <w:t xml:space="preserve"> loss</w:t>
            </w: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0.0155</w:t>
            </w:r>
            <w:r w:rsidRPr="00817BC7">
              <w:rPr>
                <w:rFonts w:ascii="Times New Roman" w:eastAsia="Times New Roman" w:hAnsi="Times New Roman"/>
                <w:sz w:val="17"/>
                <w:szCs w:val="17"/>
              </w:rPr>
              <w:t>**</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0.0127*</w:t>
            </w:r>
            <w:r w:rsidRPr="00817BC7">
              <w:rPr>
                <w:rFonts w:ascii="Times New Roman" w:eastAsia="Times New Roman" w:hAnsi="Times New Roman"/>
                <w:sz w:val="17"/>
                <w:szCs w:val="17"/>
              </w:rPr>
              <w:t>**</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0.0103***</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0.0077***</w:t>
            </w: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(2.21)</w:t>
            </w:r>
          </w:p>
        </w:tc>
        <w:tc>
          <w:tcPr>
            <w:tcW w:w="1605"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(2.64)</w:t>
            </w:r>
          </w:p>
        </w:tc>
        <w:tc>
          <w:tcPr>
            <w:tcW w:w="192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(3.79)</w:t>
            </w:r>
          </w:p>
        </w:tc>
        <w:tc>
          <w:tcPr>
            <w:tcW w:w="171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(3.31)</w:t>
            </w: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hRule="exact" w:val="72"/>
          <w:jc w:val="center"/>
        </w:trPr>
        <w:tc>
          <w:tcPr>
            <w:tcW w:w="2498" w:type="dxa"/>
            <w:tcBorders>
              <w:top w:val="nil"/>
              <w:left w:val="nil"/>
              <w:bottom w:val="nil"/>
              <w:right w:val="nil"/>
            </w:tcBorders>
            <w:shd w:val="clear" w:color="auto" w:fill="auto"/>
            <w:noWrap/>
            <w:tcMar>
              <w:left w:w="0" w:type="dxa"/>
              <w:right w:w="0" w:type="dxa"/>
            </w:tcMar>
            <w:vAlign w:val="bottom"/>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0034CA">
        <w:trPr>
          <w:trHeight w:val="144"/>
          <w:jc w:val="center"/>
        </w:trPr>
        <w:tc>
          <w:tcPr>
            <w:tcW w:w="2498" w:type="dxa"/>
            <w:tcBorders>
              <w:top w:val="nil"/>
              <w:left w:val="nil"/>
              <w:bottom w:val="nil"/>
              <w:right w:val="nil"/>
            </w:tcBorders>
            <w:shd w:val="clear" w:color="auto" w:fill="auto"/>
            <w:noWrap/>
            <w:tcMar>
              <w:left w:w="0" w:type="dxa"/>
              <w:right w:w="0" w:type="dxa"/>
            </w:tcMar>
            <w:vAlign w:val="bottom"/>
            <w:hideMark/>
          </w:tcPr>
          <w:p w:rsidR="00F609C2" w:rsidRPr="009B05DE" w:rsidRDefault="00F609C2" w:rsidP="00E8767A">
            <w:pPr>
              <w:spacing w:after="0" w:line="240" w:lineRule="auto"/>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Instrument </w:t>
            </w:r>
            <w:r w:rsidR="00E8767A">
              <w:rPr>
                <w:rFonts w:ascii="Times New Roman" w:eastAsia="Times New Roman" w:hAnsi="Times New Roman"/>
                <w:color w:val="000000"/>
                <w:sz w:val="17"/>
                <w:szCs w:val="17"/>
              </w:rPr>
              <w:t>v</w:t>
            </w:r>
            <w:r w:rsidRPr="009B05DE">
              <w:rPr>
                <w:rFonts w:ascii="Times New Roman" w:eastAsia="Times New Roman" w:hAnsi="Times New Roman"/>
                <w:color w:val="000000"/>
                <w:sz w:val="17"/>
                <w:szCs w:val="17"/>
              </w:rPr>
              <w:t>ariables</w:t>
            </w:r>
          </w:p>
        </w:tc>
        <w:tc>
          <w:tcPr>
            <w:tcW w:w="1851" w:type="dxa"/>
            <w:gridSpan w:val="2"/>
            <w:tcBorders>
              <w:top w:val="nil"/>
              <w:left w:val="nil"/>
              <w:bottom w:val="nil"/>
              <w:right w:val="nil"/>
            </w:tcBorders>
            <w:shd w:val="clear" w:color="auto" w:fill="auto"/>
            <w:noWrap/>
            <w:vAlign w:val="bottom"/>
          </w:tcPr>
          <w:p w:rsidR="00F609C2" w:rsidRPr="009B05DE" w:rsidRDefault="00F609C2" w:rsidP="00F609C2">
            <w:pPr>
              <w:spacing w:after="0" w:line="240" w:lineRule="auto"/>
              <w:jc w:val="center"/>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Executive </w:t>
            </w:r>
            <w:r>
              <w:rPr>
                <w:rFonts w:ascii="Times New Roman" w:eastAsia="Times New Roman" w:hAnsi="Times New Roman"/>
                <w:color w:val="000000"/>
                <w:sz w:val="17"/>
                <w:szCs w:val="17"/>
              </w:rPr>
              <w:t>a</w:t>
            </w:r>
            <w:r w:rsidRPr="009B05DE">
              <w:rPr>
                <w:rFonts w:ascii="Times New Roman" w:eastAsia="Times New Roman" w:hAnsi="Times New Roman"/>
                <w:color w:val="000000"/>
                <w:sz w:val="17"/>
                <w:szCs w:val="17"/>
              </w:rPr>
              <w:t>ge; M</w:t>
            </w:r>
          </w:p>
        </w:tc>
        <w:tc>
          <w:tcPr>
            <w:tcW w:w="1605" w:type="dxa"/>
            <w:tcBorders>
              <w:top w:val="nil"/>
              <w:left w:val="nil"/>
              <w:bottom w:val="nil"/>
              <w:right w:val="nil"/>
            </w:tcBorders>
            <w:shd w:val="clear" w:color="auto" w:fill="auto"/>
            <w:noWrap/>
            <w:vAlign w:val="bottom"/>
            <w:hideMark/>
          </w:tcPr>
          <w:p w:rsidR="00F609C2" w:rsidRPr="009B05DE" w:rsidRDefault="00F609C2" w:rsidP="00F609C2">
            <w:pPr>
              <w:spacing w:after="0" w:line="240" w:lineRule="auto"/>
              <w:jc w:val="center"/>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Executive </w:t>
            </w:r>
            <w:r>
              <w:rPr>
                <w:rFonts w:ascii="Times New Roman" w:eastAsia="Times New Roman" w:hAnsi="Times New Roman"/>
                <w:color w:val="000000"/>
                <w:sz w:val="17"/>
                <w:szCs w:val="17"/>
              </w:rPr>
              <w:t>a</w:t>
            </w:r>
            <w:r w:rsidRPr="009B05DE">
              <w:rPr>
                <w:rFonts w:ascii="Times New Roman" w:eastAsia="Times New Roman" w:hAnsi="Times New Roman"/>
                <w:color w:val="000000"/>
                <w:sz w:val="17"/>
                <w:szCs w:val="17"/>
              </w:rPr>
              <w:t>ge; M</w:t>
            </w:r>
          </w:p>
        </w:tc>
        <w:tc>
          <w:tcPr>
            <w:tcW w:w="1925" w:type="dxa"/>
            <w:tcBorders>
              <w:top w:val="nil"/>
              <w:left w:val="nil"/>
              <w:bottom w:val="nil"/>
              <w:right w:val="nil"/>
            </w:tcBorders>
            <w:shd w:val="clear" w:color="auto" w:fill="auto"/>
            <w:noWrap/>
            <w:vAlign w:val="bottom"/>
          </w:tcPr>
          <w:p w:rsidR="00F609C2" w:rsidRPr="009B05DE" w:rsidRDefault="00F609C2" w:rsidP="00F609C2">
            <w:pPr>
              <w:spacing w:after="0" w:line="240" w:lineRule="auto"/>
              <w:jc w:val="center"/>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Executive </w:t>
            </w:r>
            <w:r>
              <w:rPr>
                <w:rFonts w:ascii="Times New Roman" w:eastAsia="Times New Roman" w:hAnsi="Times New Roman"/>
                <w:color w:val="000000"/>
                <w:sz w:val="17"/>
                <w:szCs w:val="17"/>
              </w:rPr>
              <w:t>a</w:t>
            </w:r>
            <w:r w:rsidRPr="009B05DE">
              <w:rPr>
                <w:rFonts w:ascii="Times New Roman" w:eastAsia="Times New Roman" w:hAnsi="Times New Roman"/>
                <w:color w:val="000000"/>
                <w:sz w:val="17"/>
                <w:szCs w:val="17"/>
              </w:rPr>
              <w:t>ge; M</w:t>
            </w:r>
          </w:p>
        </w:tc>
        <w:tc>
          <w:tcPr>
            <w:tcW w:w="1713" w:type="dxa"/>
            <w:tcBorders>
              <w:top w:val="nil"/>
              <w:left w:val="nil"/>
              <w:bottom w:val="nil"/>
              <w:right w:val="nil"/>
            </w:tcBorders>
            <w:shd w:val="clear" w:color="auto" w:fill="auto"/>
            <w:noWrap/>
            <w:vAlign w:val="bottom"/>
          </w:tcPr>
          <w:p w:rsidR="00F609C2" w:rsidRPr="009B05DE" w:rsidRDefault="00F609C2" w:rsidP="00F609C2">
            <w:pPr>
              <w:spacing w:after="0" w:line="240" w:lineRule="auto"/>
              <w:jc w:val="center"/>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 xml:space="preserve">Executive </w:t>
            </w:r>
            <w:r>
              <w:rPr>
                <w:rFonts w:ascii="Times New Roman" w:eastAsia="Times New Roman" w:hAnsi="Times New Roman"/>
                <w:color w:val="000000"/>
                <w:sz w:val="17"/>
                <w:szCs w:val="17"/>
              </w:rPr>
              <w:t>a</w:t>
            </w:r>
            <w:r w:rsidRPr="009B05DE">
              <w:rPr>
                <w:rFonts w:ascii="Times New Roman" w:eastAsia="Times New Roman" w:hAnsi="Times New Roman"/>
                <w:color w:val="000000"/>
                <w:sz w:val="17"/>
                <w:szCs w:val="17"/>
              </w:rPr>
              <w:t>ge; M</w:t>
            </w:r>
          </w:p>
        </w:tc>
      </w:tr>
      <w:tr w:rsidR="00F609C2" w:rsidRPr="00C34885" w:rsidTr="000034CA">
        <w:trPr>
          <w:trHeight w:val="144"/>
          <w:jc w:val="center"/>
        </w:trPr>
        <w:tc>
          <w:tcPr>
            <w:tcW w:w="2498" w:type="dxa"/>
            <w:tcBorders>
              <w:top w:val="nil"/>
              <w:left w:val="nil"/>
              <w:right w:val="nil"/>
            </w:tcBorders>
            <w:shd w:val="clear" w:color="auto" w:fill="auto"/>
            <w:noWrap/>
            <w:tcMar>
              <w:left w:w="0" w:type="dxa"/>
              <w:right w:w="0" w:type="dxa"/>
            </w:tcMar>
            <w:vAlign w:val="bottom"/>
            <w:hideMark/>
          </w:tcPr>
          <w:p w:rsidR="00F609C2" w:rsidRPr="009B05DE" w:rsidRDefault="00F609C2" w:rsidP="00F609C2">
            <w:pPr>
              <w:spacing w:after="0" w:line="240" w:lineRule="auto"/>
              <w:rPr>
                <w:rFonts w:ascii="Times New Roman" w:eastAsia="Times New Roman" w:hAnsi="Times New Roman"/>
                <w:color w:val="000000"/>
                <w:sz w:val="17"/>
                <w:szCs w:val="17"/>
              </w:rPr>
            </w:pPr>
            <w:r w:rsidRPr="009B05DE">
              <w:rPr>
                <w:rFonts w:ascii="Times New Roman" w:eastAsia="Times New Roman" w:hAnsi="Times New Roman"/>
                <w:color w:val="000000"/>
                <w:sz w:val="17"/>
                <w:szCs w:val="17"/>
              </w:rPr>
              <w:t>Observations</w:t>
            </w:r>
          </w:p>
        </w:tc>
        <w:tc>
          <w:tcPr>
            <w:tcW w:w="1851" w:type="dxa"/>
            <w:gridSpan w:val="2"/>
            <w:tcBorders>
              <w:top w:val="nil"/>
              <w:left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901</w:t>
            </w:r>
          </w:p>
        </w:tc>
        <w:tc>
          <w:tcPr>
            <w:tcW w:w="1605" w:type="dxa"/>
            <w:tcBorders>
              <w:top w:val="nil"/>
              <w:left w:val="nil"/>
              <w:right w:val="nil"/>
            </w:tcBorders>
            <w:shd w:val="clear" w:color="auto" w:fill="auto"/>
            <w:noWrap/>
            <w:vAlign w:val="bottom"/>
            <w:hideMark/>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901</w:t>
            </w:r>
          </w:p>
        </w:tc>
        <w:tc>
          <w:tcPr>
            <w:tcW w:w="1925" w:type="dxa"/>
            <w:tcBorders>
              <w:top w:val="nil"/>
              <w:left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867</w:t>
            </w:r>
          </w:p>
        </w:tc>
        <w:tc>
          <w:tcPr>
            <w:tcW w:w="1713" w:type="dxa"/>
            <w:tcBorders>
              <w:top w:val="nil"/>
              <w:left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867</w:t>
            </w:r>
          </w:p>
        </w:tc>
      </w:tr>
      <w:tr w:rsidR="00F609C2" w:rsidRPr="00C34885" w:rsidTr="000034CA">
        <w:trPr>
          <w:trHeight w:hRule="exact" w:val="72"/>
          <w:jc w:val="center"/>
        </w:trPr>
        <w:tc>
          <w:tcPr>
            <w:tcW w:w="2498" w:type="dxa"/>
            <w:tcBorders>
              <w:top w:val="nil"/>
              <w:left w:val="nil"/>
              <w:bottom w:val="single" w:sz="4" w:space="0" w:color="auto"/>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51" w:type="dxa"/>
            <w:gridSpan w:val="2"/>
            <w:tcBorders>
              <w:top w:val="nil"/>
              <w:left w:val="nil"/>
              <w:bottom w:val="single" w:sz="4" w:space="0" w:color="auto"/>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05" w:type="dxa"/>
            <w:tcBorders>
              <w:top w:val="nil"/>
              <w:left w:val="nil"/>
              <w:bottom w:val="single" w:sz="4" w:space="0" w:color="auto"/>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925" w:type="dxa"/>
            <w:tcBorders>
              <w:top w:val="nil"/>
              <w:left w:val="nil"/>
              <w:bottom w:val="single" w:sz="4" w:space="0" w:color="auto"/>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713" w:type="dxa"/>
            <w:tcBorders>
              <w:top w:val="nil"/>
              <w:left w:val="nil"/>
              <w:bottom w:val="single" w:sz="4" w:space="0" w:color="auto"/>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bl>
    <w:p w:rsidR="00F609C2" w:rsidRDefault="00F609C2" w:rsidP="004942E7">
      <w:pPr>
        <w:spacing w:after="0" w:line="240" w:lineRule="auto"/>
        <w:jc w:val="both"/>
        <w:rPr>
          <w:rFonts w:ascii="Times New Roman" w:eastAsia="Times New Roman" w:hAnsi="Times New Roman"/>
          <w:bCs/>
          <w:sz w:val="18"/>
          <w:szCs w:val="18"/>
        </w:rPr>
      </w:pPr>
    </w:p>
    <w:p w:rsidR="00F609C2" w:rsidRDefault="00F609C2">
      <w:pPr>
        <w:rPr>
          <w:rFonts w:ascii="Times New Roman" w:eastAsia="Times New Roman" w:hAnsi="Times New Roman"/>
          <w:bCs/>
          <w:sz w:val="18"/>
          <w:szCs w:val="18"/>
        </w:rPr>
      </w:pPr>
      <w:r>
        <w:rPr>
          <w:rFonts w:ascii="Times New Roman" w:eastAsia="Times New Roman" w:hAnsi="Times New Roman"/>
          <w:bCs/>
          <w:sz w:val="18"/>
          <w:szCs w:val="18"/>
        </w:rPr>
        <w:br w:type="page"/>
      </w:r>
    </w:p>
    <w:p w:rsidR="004942E7" w:rsidRDefault="004942E7" w:rsidP="004942E7">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9: Regressions of firm dividend yield by pension funding status at the CEO level</w:t>
      </w:r>
    </w:p>
    <w:p w:rsidR="004942E7" w:rsidRDefault="004942E7" w:rsidP="004942E7">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The table shows pooled OLS regressions of a firm’s dividend</w:t>
      </w:r>
      <w:r w:rsidR="000034CA">
        <w:rPr>
          <w:rFonts w:ascii="Times New Roman" w:eastAsia="Times New Roman" w:hAnsi="Times New Roman"/>
          <w:bCs/>
          <w:sz w:val="18"/>
          <w:szCs w:val="18"/>
        </w:rPr>
        <w:t xml:space="preserve"> yield on compensation leverage and</w:t>
      </w:r>
      <w:r>
        <w:rPr>
          <w:rFonts w:ascii="Times New Roman" w:eastAsia="Times New Roman" w:hAnsi="Times New Roman"/>
          <w:bCs/>
          <w:sz w:val="18"/>
          <w:szCs w:val="18"/>
        </w:rPr>
        <w:t xml:space="preserve"> inside debt</w:t>
      </w:r>
      <w:r w:rsidR="000034CA" w:rsidRPr="000034CA">
        <w:rPr>
          <w:rFonts w:ascii="Times New Roman" w:eastAsia="Times New Roman" w:hAnsi="Times New Roman"/>
          <w:bCs/>
          <w:sz w:val="18"/>
          <w:szCs w:val="18"/>
        </w:rPr>
        <w:t xml:space="preserve"> </w:t>
      </w:r>
      <w:r w:rsidR="000034CA">
        <w:rPr>
          <w:rFonts w:ascii="Times New Roman" w:eastAsia="Times New Roman" w:hAnsi="Times New Roman"/>
          <w:bCs/>
          <w:sz w:val="18"/>
          <w:szCs w:val="18"/>
        </w:rPr>
        <w:t>at the CEO level</w:t>
      </w:r>
      <w:r>
        <w:rPr>
          <w:rFonts w:ascii="Times New Roman" w:eastAsia="Times New Roman" w:hAnsi="Times New Roman"/>
          <w:bCs/>
          <w:sz w:val="18"/>
          <w:szCs w:val="18"/>
        </w:rPr>
        <w:t xml:space="preserve">, </w:t>
      </w:r>
      <w:r w:rsidR="00F43F1A">
        <w:rPr>
          <w:rFonts w:ascii="Times New Roman" w:eastAsia="Times New Roman" w:hAnsi="Times New Roman"/>
          <w:bCs/>
          <w:sz w:val="18"/>
          <w:szCs w:val="18"/>
        </w:rPr>
        <w:t xml:space="preserve">and </w:t>
      </w:r>
      <w:r>
        <w:rPr>
          <w:rFonts w:ascii="Times New Roman" w:eastAsia="Times New Roman" w:hAnsi="Times New Roman"/>
          <w:bCs/>
          <w:sz w:val="18"/>
          <w:szCs w:val="18"/>
        </w:rPr>
        <w:t xml:space="preserve">a set of control variables (as defined in Table 1), separately for cases where the pensions are funded and unfunded by a rabbi trust. </w:t>
      </w:r>
      <w:r w:rsidRPr="007736B5">
        <w:rPr>
          <w:rFonts w:ascii="Times New Roman" w:hAnsi="Times New Roman" w:cs="Times New Roman"/>
          <w:sz w:val="18"/>
          <w:szCs w:val="18"/>
        </w:rPr>
        <w:t>The sample represent</w:t>
      </w:r>
      <w:r>
        <w:rPr>
          <w:rFonts w:ascii="Times New Roman" w:hAnsi="Times New Roman" w:cs="Times New Roman"/>
          <w:sz w:val="18"/>
          <w:szCs w:val="18"/>
        </w:rPr>
        <w:t>s</w:t>
      </w:r>
      <w:r w:rsidRPr="007736B5">
        <w:rPr>
          <w:rFonts w:ascii="Times New Roman" w:hAnsi="Times New Roman" w:cs="Times New Roman"/>
          <w:sz w:val="18"/>
          <w:szCs w:val="18"/>
        </w:rPr>
        <w:t xml:space="preserve"> data on 272 firms over the period 2000-2009.</w:t>
      </w:r>
      <w:r>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Pr>
          <w:rFonts w:ascii="Times New Roman" w:hAnsi="Times New Roman" w:cs="Times New Roman"/>
          <w:sz w:val="18"/>
          <w:szCs w:val="18"/>
        </w:rPr>
        <w:t xml:space="preserve"> regression coefficients and </w:t>
      </w:r>
      <w:r w:rsidR="00773E03" w:rsidRPr="00773E03">
        <w:rPr>
          <w:rFonts w:ascii="Times New Roman" w:hAnsi="Times New Roman" w:cs="Times New Roman"/>
          <w:i/>
          <w:sz w:val="18"/>
          <w:szCs w:val="18"/>
        </w:rPr>
        <w:t>t</w:t>
      </w:r>
      <w:r w:rsidR="00773E03">
        <w:rPr>
          <w:rFonts w:ascii="Times New Roman" w:hAnsi="Times New Roman" w:cs="Times New Roman"/>
          <w:sz w:val="18"/>
          <w:szCs w:val="18"/>
        </w:rPr>
        <w:t>-statistics</w:t>
      </w:r>
      <w:r>
        <w:rPr>
          <w:rFonts w:ascii="Times New Roman" w:hAnsi="Times New Roman" w:cs="Times New Roman"/>
          <w:sz w:val="18"/>
          <w:szCs w:val="18"/>
        </w:rPr>
        <w:t xml:space="preserve">, based on standard errors adjusted for </w:t>
      </w:r>
      <w:proofErr w:type="spellStart"/>
      <w:r>
        <w:rPr>
          <w:rFonts w:ascii="Times New Roman" w:hAnsi="Times New Roman" w:cs="Times New Roman"/>
          <w:sz w:val="18"/>
          <w:szCs w:val="18"/>
        </w:rPr>
        <w:t>heteroskedasticity</w:t>
      </w:r>
      <w:proofErr w:type="spellEnd"/>
      <w:r>
        <w:rPr>
          <w:rFonts w:ascii="Times New Roman" w:hAnsi="Times New Roman" w:cs="Times New Roman"/>
          <w:sz w:val="18"/>
          <w:szCs w:val="18"/>
        </w:rPr>
        <w:t xml:space="preserve"> and autocorr</w:t>
      </w:r>
      <w:r w:rsidR="00F43F1A">
        <w:rPr>
          <w:rFonts w:ascii="Times New Roman" w:hAnsi="Times New Roman" w:cs="Times New Roman"/>
          <w:sz w:val="18"/>
          <w:szCs w:val="18"/>
        </w:rPr>
        <w:t>elation following Rogers (1993), with year fixed effects.</w:t>
      </w:r>
      <w:r w:rsidR="00824FB6">
        <w:rPr>
          <w:rFonts w:ascii="Times New Roman" w:hAnsi="Times New Roman" w:cs="Times New Roman"/>
          <w:sz w:val="18"/>
          <w:szCs w:val="18"/>
        </w:rPr>
        <w:t xml:space="preserve"> *, **, *** indicate significance at the 0.1, 0.05, and 0.01 levels, respectively.</w:t>
      </w:r>
    </w:p>
    <w:p w:rsidR="004942E7" w:rsidRDefault="004942E7" w:rsidP="004942E7">
      <w:pPr>
        <w:spacing w:after="0" w:line="240" w:lineRule="auto"/>
        <w:jc w:val="both"/>
        <w:rPr>
          <w:rFonts w:ascii="Times New Roman" w:hAnsi="Times New Roman" w:cs="Times New Roman"/>
          <w:sz w:val="18"/>
          <w:szCs w:val="18"/>
        </w:rPr>
      </w:pPr>
    </w:p>
    <w:tbl>
      <w:tblPr>
        <w:tblW w:w="9592" w:type="dxa"/>
        <w:jc w:val="center"/>
        <w:tblLook w:val="04A0" w:firstRow="1" w:lastRow="0" w:firstColumn="1" w:lastColumn="0" w:noHBand="0" w:noVBand="1"/>
      </w:tblPr>
      <w:tblGrid>
        <w:gridCol w:w="2740"/>
        <w:gridCol w:w="1776"/>
        <w:gridCol w:w="216"/>
        <w:gridCol w:w="1358"/>
        <w:gridCol w:w="1865"/>
        <w:gridCol w:w="1653"/>
      </w:tblGrid>
      <w:tr w:rsidR="00F609C2" w:rsidRPr="00C34885" w:rsidTr="00F43F1A">
        <w:trPr>
          <w:trHeight w:val="144"/>
          <w:jc w:val="center"/>
        </w:trPr>
        <w:tc>
          <w:tcPr>
            <w:tcW w:w="2724" w:type="dxa"/>
            <w:tcBorders>
              <w:top w:val="single" w:sz="4" w:space="0" w:color="auto"/>
              <w:left w:val="nil"/>
              <w:bottom w:val="single" w:sz="4" w:space="0" w:color="auto"/>
              <w:right w:val="nil"/>
            </w:tcBorders>
            <w:shd w:val="clear" w:color="auto" w:fill="auto"/>
            <w:noWrap/>
            <w:vAlign w:val="bottom"/>
            <w:hideMark/>
          </w:tcPr>
          <w:p w:rsidR="00F609C2" w:rsidRPr="00114204" w:rsidRDefault="00F609C2"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6868" w:type="dxa"/>
            <w:gridSpan w:val="5"/>
            <w:tcBorders>
              <w:top w:val="single" w:sz="4" w:space="0" w:color="auto"/>
              <w:left w:val="nil"/>
              <w:bottom w:val="single" w:sz="4" w:space="0" w:color="auto"/>
              <w:right w:val="nil"/>
            </w:tcBorders>
            <w:shd w:val="clear" w:color="auto" w:fill="auto"/>
            <w:noWrap/>
            <w:vAlign w:val="bottom"/>
            <w:hideMark/>
          </w:tcPr>
          <w:p w:rsidR="00F609C2" w:rsidRPr="00114204" w:rsidRDefault="00F609C2"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w:t>
            </w:r>
            <w:r>
              <w:rPr>
                <w:rFonts w:ascii="Times New Roman" w:eastAsia="Times New Roman" w:hAnsi="Times New Roman"/>
                <w:sz w:val="17"/>
                <w:szCs w:val="17"/>
              </w:rPr>
              <w:t>Dividend yield</w:t>
            </w:r>
          </w:p>
        </w:tc>
      </w:tr>
      <w:tr w:rsidR="00F609C2" w:rsidRPr="00C34885" w:rsidTr="00F43F1A">
        <w:trPr>
          <w:trHeight w:val="144"/>
          <w:jc w:val="center"/>
        </w:trPr>
        <w:tc>
          <w:tcPr>
            <w:tcW w:w="2724" w:type="dxa"/>
            <w:tcBorders>
              <w:top w:val="single" w:sz="4" w:space="0" w:color="auto"/>
              <w:left w:val="nil"/>
              <w:right w:val="nil"/>
            </w:tcBorders>
            <w:shd w:val="clear" w:color="auto" w:fill="auto"/>
            <w:noWrap/>
            <w:vAlign w:val="bottom"/>
            <w:hideMark/>
          </w:tcPr>
          <w:p w:rsidR="00F609C2" w:rsidRPr="00114204" w:rsidRDefault="00F609C2" w:rsidP="00F609C2">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3350" w:type="dxa"/>
            <w:gridSpan w:val="3"/>
            <w:tcBorders>
              <w:top w:val="single" w:sz="4" w:space="0" w:color="auto"/>
              <w:left w:val="nil"/>
              <w:right w:val="nil"/>
            </w:tcBorders>
            <w:shd w:val="clear" w:color="auto" w:fill="auto"/>
            <w:noWrap/>
            <w:vAlign w:val="bottom"/>
          </w:tcPr>
          <w:p w:rsidR="00F609C2" w:rsidRPr="00114204" w:rsidRDefault="00F609C2"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Compensation leverage </w:t>
            </w:r>
          </w:p>
        </w:tc>
        <w:tc>
          <w:tcPr>
            <w:tcW w:w="3518" w:type="dxa"/>
            <w:gridSpan w:val="2"/>
            <w:tcBorders>
              <w:top w:val="single" w:sz="4" w:space="0" w:color="auto"/>
              <w:left w:val="nil"/>
              <w:right w:val="nil"/>
            </w:tcBorders>
            <w:shd w:val="clear" w:color="auto" w:fill="auto"/>
            <w:noWrap/>
            <w:vAlign w:val="bottom"/>
          </w:tcPr>
          <w:p w:rsidR="00F609C2" w:rsidRPr="00114204" w:rsidRDefault="00F609C2" w:rsidP="00F609C2">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F609C2" w:rsidRPr="00C34885" w:rsidTr="00F43F1A">
        <w:trPr>
          <w:trHeight w:val="144"/>
          <w:jc w:val="center"/>
        </w:trPr>
        <w:tc>
          <w:tcPr>
            <w:tcW w:w="2724" w:type="dxa"/>
            <w:tcBorders>
              <w:top w:val="nil"/>
              <w:left w:val="nil"/>
              <w:bottom w:val="single" w:sz="4" w:space="0" w:color="auto"/>
              <w:right w:val="nil"/>
            </w:tcBorders>
            <w:shd w:val="clear" w:color="auto" w:fill="auto"/>
            <w:noWrap/>
            <w:vAlign w:val="bottom"/>
            <w:hideMark/>
          </w:tcPr>
          <w:p w:rsidR="00F609C2" w:rsidRPr="00114204" w:rsidRDefault="00F609C2" w:rsidP="00F609C2">
            <w:pPr>
              <w:spacing w:after="0" w:line="240" w:lineRule="auto"/>
              <w:rPr>
                <w:rFonts w:ascii="Times New Roman" w:eastAsia="Times New Roman" w:hAnsi="Times New Roman"/>
                <w:sz w:val="17"/>
                <w:szCs w:val="17"/>
              </w:rPr>
            </w:pPr>
          </w:p>
        </w:tc>
        <w:tc>
          <w:tcPr>
            <w:tcW w:w="1776" w:type="dxa"/>
            <w:tcBorders>
              <w:top w:val="nil"/>
              <w:left w:val="nil"/>
              <w:bottom w:val="single" w:sz="4" w:space="0" w:color="auto"/>
              <w:right w:val="nil"/>
            </w:tcBorders>
            <w:shd w:val="clear" w:color="auto" w:fill="auto"/>
            <w:noWrap/>
            <w:vAlign w:val="bottom"/>
          </w:tcPr>
          <w:p w:rsidR="00F609C2" w:rsidRPr="00114204"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Funded pension</w:t>
            </w:r>
          </w:p>
        </w:tc>
        <w:tc>
          <w:tcPr>
            <w:tcW w:w="1574" w:type="dxa"/>
            <w:gridSpan w:val="2"/>
            <w:tcBorders>
              <w:top w:val="nil"/>
              <w:left w:val="nil"/>
              <w:bottom w:val="single" w:sz="4" w:space="0" w:color="auto"/>
              <w:right w:val="nil"/>
            </w:tcBorders>
            <w:shd w:val="clear" w:color="auto" w:fill="auto"/>
            <w:noWrap/>
            <w:vAlign w:val="bottom"/>
            <w:hideMark/>
          </w:tcPr>
          <w:p w:rsidR="00F609C2" w:rsidRPr="00114204"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Unfunded pension</w:t>
            </w:r>
          </w:p>
        </w:tc>
        <w:tc>
          <w:tcPr>
            <w:tcW w:w="1865" w:type="dxa"/>
            <w:tcBorders>
              <w:top w:val="nil"/>
              <w:left w:val="nil"/>
              <w:bottom w:val="single" w:sz="4" w:space="0" w:color="auto"/>
              <w:right w:val="nil"/>
            </w:tcBorders>
            <w:shd w:val="clear" w:color="auto" w:fill="auto"/>
            <w:noWrap/>
            <w:vAlign w:val="bottom"/>
          </w:tcPr>
          <w:p w:rsidR="00F609C2" w:rsidRPr="00114204"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Funded pension</w:t>
            </w:r>
          </w:p>
        </w:tc>
        <w:tc>
          <w:tcPr>
            <w:tcW w:w="1653" w:type="dxa"/>
            <w:tcBorders>
              <w:top w:val="nil"/>
              <w:left w:val="nil"/>
              <w:bottom w:val="single" w:sz="4" w:space="0" w:color="auto"/>
              <w:right w:val="nil"/>
            </w:tcBorders>
            <w:shd w:val="clear" w:color="auto" w:fill="auto"/>
            <w:noWrap/>
            <w:vAlign w:val="bottom"/>
          </w:tcPr>
          <w:p w:rsidR="00F609C2" w:rsidRPr="00114204"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Unfunded pension</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vAlign w:val="bottom"/>
            <w:hideMark/>
          </w:tcPr>
          <w:p w:rsidR="00F609C2" w:rsidRPr="00C34885" w:rsidRDefault="00F609C2" w:rsidP="00F609C2">
            <w:pPr>
              <w:spacing w:after="0" w:line="240" w:lineRule="auto"/>
              <w:rPr>
                <w:rFonts w:ascii="Times New Roman" w:eastAsia="Times New Roman" w:hAnsi="Times New Roman"/>
                <w:i/>
                <w:iCs/>
                <w:color w:val="000000"/>
                <w:sz w:val="17"/>
                <w:szCs w:val="17"/>
              </w:rPr>
            </w:pPr>
          </w:p>
        </w:tc>
        <w:tc>
          <w:tcPr>
            <w:tcW w:w="1992" w:type="dxa"/>
            <w:gridSpan w:val="2"/>
            <w:tcBorders>
              <w:top w:val="nil"/>
              <w:left w:val="nil"/>
              <w:bottom w:val="nil"/>
              <w:right w:val="nil"/>
            </w:tcBorders>
            <w:shd w:val="clear" w:color="auto" w:fill="auto"/>
            <w:noWrap/>
            <w:vAlign w:val="bottom"/>
          </w:tcPr>
          <w:p w:rsidR="00F609C2" w:rsidRPr="00C34885" w:rsidRDefault="00F609C2" w:rsidP="00F609C2">
            <w:pPr>
              <w:spacing w:after="0" w:line="240" w:lineRule="auto"/>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C34885" w:rsidRDefault="00F609C2" w:rsidP="00F609C2">
            <w:pPr>
              <w:spacing w:after="0" w:line="240" w:lineRule="auto"/>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-2.0881</w:t>
            </w:r>
            <w:r w:rsidRPr="00042AF2">
              <w:rPr>
                <w:rFonts w:ascii="Times New Roman" w:eastAsia="Times New Roman" w:hAnsi="Times New Roman"/>
                <w:sz w:val="17"/>
                <w:szCs w:val="17"/>
              </w:rPr>
              <w:t>***</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-3.2801</w:t>
            </w:r>
            <w:r w:rsidRPr="004B6E67">
              <w:rPr>
                <w:rFonts w:ascii="Times New Roman" w:eastAsia="Times New Roman" w:hAnsi="Times New Roman"/>
                <w:sz w:val="17"/>
                <w:szCs w:val="17"/>
              </w:rPr>
              <w:t>***</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(-3.62</w:t>
            </w:r>
            <w:r w:rsidRPr="00042AF2">
              <w:rPr>
                <w:rFonts w:ascii="Times New Roman" w:eastAsia="Times New Roman" w:hAnsi="Times New Roman"/>
                <w:sz w:val="17"/>
                <w:szCs w:val="17"/>
              </w:rPr>
              <w:t>)</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(-7.46</w:t>
            </w:r>
            <w:r w:rsidRPr="004B6E67">
              <w:rPr>
                <w:rFonts w:ascii="Times New Roman" w:eastAsia="Times New Roman" w:hAnsi="Times New Roman"/>
                <w:sz w:val="17"/>
                <w:szCs w:val="17"/>
              </w:rPr>
              <w:t>)</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992" w:type="dxa"/>
            <w:gridSpan w:val="2"/>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0.0297</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-0.1234***</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Pr="00817BC7"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(0.80)</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(-3.17)</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0.0040</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-0.0040</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0.0081**</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(0.99)</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(0.10)</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(0.96)</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(2.33)</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sidRPr="00042AF2">
              <w:rPr>
                <w:rFonts w:ascii="Times New Roman" w:eastAsia="Times New Roman" w:hAnsi="Times New Roman"/>
                <w:sz w:val="17"/>
                <w:szCs w:val="17"/>
              </w:rPr>
              <w:t>0.</w:t>
            </w:r>
            <w:r>
              <w:rPr>
                <w:rFonts w:ascii="Times New Roman" w:eastAsia="Times New Roman" w:hAnsi="Times New Roman"/>
                <w:sz w:val="17"/>
                <w:szCs w:val="17"/>
              </w:rPr>
              <w:t>0199*</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0.0</w:t>
            </w:r>
            <w:r>
              <w:rPr>
                <w:rFonts w:ascii="Times New Roman" w:eastAsia="Times New Roman" w:hAnsi="Times New Roman"/>
                <w:sz w:val="17"/>
                <w:szCs w:val="17"/>
              </w:rPr>
              <w:t>110</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0.0226*</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0.0180</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(2.16)</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(1.41)</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(2.18)</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(1.64)</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-0.1631</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-0.0689</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-0.2843</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-0.0642</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(-0.69)</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(-0.66</w:t>
            </w:r>
            <w:r w:rsidRPr="004B6E67">
              <w:rPr>
                <w:rFonts w:ascii="Times New Roman" w:eastAsia="Times New Roman" w:hAnsi="Times New Roman"/>
                <w:sz w:val="17"/>
                <w:szCs w:val="17"/>
              </w:rPr>
              <w:t>)</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(-1.03)</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(-0.31)</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-0.0007</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(-0.58)</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(0.37)</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(-0.23)</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(1.18)</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Default="00F609C2" w:rsidP="00F609C2">
            <w:pPr>
              <w:spacing w:after="0" w:line="240" w:lineRule="auto"/>
              <w:rPr>
                <w:rFonts w:ascii="Times New Roman" w:eastAsia="Times New Roman" w:hAnsi="Times New Roman"/>
                <w:color w:val="000000"/>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w:t>
            </w:r>
            <w:r w:rsidRPr="00C34885">
              <w:rPr>
                <w:rFonts w:ascii="Times New Roman" w:eastAsia="Times New Roman" w:hAnsi="Times New Roman"/>
                <w:color w:val="000000"/>
                <w:sz w:val="17"/>
                <w:szCs w:val="17"/>
              </w:rPr>
              <w:t>ebt</w:t>
            </w:r>
            <w:r>
              <w:rPr>
                <w:rFonts w:ascii="Times New Roman" w:eastAsia="Times New Roman" w:hAnsi="Times New Roman"/>
                <w:color w:val="000000"/>
                <w:sz w:val="17"/>
                <w:szCs w:val="17"/>
              </w:rPr>
              <w:t>/e</w:t>
            </w:r>
            <w:r w:rsidRPr="00C34885">
              <w:rPr>
                <w:rFonts w:ascii="Times New Roman" w:eastAsia="Times New Roman" w:hAnsi="Times New Roman"/>
                <w:color w:val="000000"/>
                <w:sz w:val="17"/>
                <w:szCs w:val="17"/>
              </w:rPr>
              <w:t>quity</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-0.0226</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-0.0290**</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0.0132</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-0.0339</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(-0.39)</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w:t>
            </w:r>
            <w:r>
              <w:rPr>
                <w:rFonts w:ascii="Times New Roman" w:eastAsia="Times New Roman" w:hAnsi="Times New Roman"/>
                <w:sz w:val="17"/>
                <w:szCs w:val="17"/>
              </w:rPr>
              <w:t>-2.77</w:t>
            </w:r>
            <w:r w:rsidRPr="004B6E67">
              <w:rPr>
                <w:rFonts w:ascii="Times New Roman" w:eastAsia="Times New Roman" w:hAnsi="Times New Roman"/>
                <w:sz w:val="17"/>
                <w:szCs w:val="17"/>
              </w:rPr>
              <w:t>)</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(-1.06)</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F0E95" w:rsidRDefault="00F609C2" w:rsidP="00F609C2">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-0.0010*</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-0.0007</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-(0.14)</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(-1.98)</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(-0.12)</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(-1.57)</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Default="00F609C2" w:rsidP="00F609C2">
            <w:pPr>
              <w:spacing w:after="0" w:line="240" w:lineRule="auto"/>
              <w:rPr>
                <w:rFonts w:ascii="Times New Roman" w:eastAsia="Times New Roman" w:hAnsi="Times New Roman"/>
                <w:color w:val="000000"/>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(1.56)</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(-0.66)</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(0.79)</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Default="00F609C2" w:rsidP="00F609C2">
            <w:pPr>
              <w:spacing w:after="0" w:line="240" w:lineRule="auto"/>
              <w:rPr>
                <w:rFonts w:ascii="Times New Roman" w:eastAsia="Times New Roman" w:hAnsi="Times New Roman"/>
                <w:color w:val="000000"/>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A84317"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Distance-to-</w:t>
            </w:r>
            <w:r w:rsidR="00F609C2">
              <w:rPr>
                <w:rFonts w:ascii="Times New Roman" w:eastAsia="Times New Roman" w:hAnsi="Times New Roman"/>
                <w:color w:val="000000"/>
                <w:sz w:val="17"/>
                <w:szCs w:val="17"/>
              </w:rPr>
              <w:t>default</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-0.2976*</w:t>
            </w:r>
            <w:r w:rsidRPr="00042AF2">
              <w:rPr>
                <w:rFonts w:ascii="Times New Roman" w:eastAsia="Times New Roman" w:hAnsi="Times New Roman"/>
                <w:sz w:val="17"/>
                <w:szCs w:val="17"/>
              </w:rPr>
              <w:t>**</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-0.2525</w:t>
            </w:r>
            <w:r w:rsidRPr="004B6E67">
              <w:rPr>
                <w:rFonts w:ascii="Times New Roman" w:eastAsia="Times New Roman" w:hAnsi="Times New Roman"/>
                <w:sz w:val="17"/>
                <w:szCs w:val="17"/>
              </w:rPr>
              <w:t>***</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-0.3447***</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-0.2318***</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(-5.79)</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(-5.26</w:t>
            </w:r>
            <w:r w:rsidRPr="004B6E67">
              <w:rPr>
                <w:rFonts w:ascii="Times New Roman" w:eastAsia="Times New Roman" w:hAnsi="Times New Roman"/>
                <w:sz w:val="17"/>
                <w:szCs w:val="17"/>
              </w:rPr>
              <w:t>)</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(-7.94)</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(-3.72)</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Firm age</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-0.0084***</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-0.0011</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-0.0087***</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-0.0015</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(-6.72)</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(-0.74</w:t>
            </w:r>
            <w:r w:rsidRPr="004B6E67">
              <w:rPr>
                <w:rFonts w:ascii="Times New Roman" w:eastAsia="Times New Roman" w:hAnsi="Times New Roman"/>
                <w:sz w:val="17"/>
                <w:szCs w:val="17"/>
              </w:rPr>
              <w:t>)</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(-6.74)</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(-0.94)</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0.0263</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0.6814***</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0.2306</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0.9183***</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042AF2" w:rsidRDefault="00F609C2" w:rsidP="00F609C2">
            <w:pPr>
              <w:spacing w:after="0" w:line="240" w:lineRule="auto"/>
              <w:rPr>
                <w:rFonts w:ascii="Times New Roman" w:eastAsia="Times New Roman" w:hAnsi="Times New Roman"/>
                <w:color w:val="000000"/>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(0.25)</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(5.80)</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(1.29)</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(4.97)</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Default="00F609C2" w:rsidP="00F609C2">
            <w:pPr>
              <w:spacing w:after="0" w:line="240" w:lineRule="auto"/>
              <w:rPr>
                <w:rFonts w:ascii="Times New Roman" w:eastAsia="Times New Roman" w:hAnsi="Times New Roman"/>
                <w:color w:val="000000"/>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w:t>
            </w:r>
            <w:r w:rsidRPr="00C34885">
              <w:rPr>
                <w:rFonts w:ascii="Times New Roman" w:eastAsia="Times New Roman" w:hAnsi="Times New Roman"/>
                <w:color w:val="000000"/>
                <w:sz w:val="17"/>
                <w:szCs w:val="17"/>
              </w:rPr>
              <w:t>iq</w:t>
            </w:r>
            <w:r>
              <w:rPr>
                <w:rFonts w:ascii="Times New Roman" w:eastAsia="Times New Roman" w:hAnsi="Times New Roman"/>
                <w:color w:val="000000"/>
                <w:sz w:val="17"/>
                <w:szCs w:val="17"/>
              </w:rPr>
              <w:t>uidity c</w:t>
            </w:r>
            <w:r w:rsidRPr="00C34885">
              <w:rPr>
                <w:rFonts w:ascii="Times New Roman" w:eastAsia="Times New Roman" w:hAnsi="Times New Roman"/>
                <w:color w:val="000000"/>
                <w:sz w:val="17"/>
                <w:szCs w:val="17"/>
              </w:rPr>
              <w:t>ons</w:t>
            </w:r>
            <w:r>
              <w:rPr>
                <w:rFonts w:ascii="Times New Roman" w:eastAsia="Times New Roman" w:hAnsi="Times New Roman"/>
                <w:color w:val="000000"/>
                <w:sz w:val="17"/>
                <w:szCs w:val="17"/>
              </w:rPr>
              <w:t>traint</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0.7865*</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0.8296</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1.089**</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0.1987</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(1.90)</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(1.54)</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(2.55)</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(0.48)</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sidRPr="00C34885">
              <w:rPr>
                <w:rFonts w:ascii="Times New Roman" w:eastAsia="Times New Roman" w:hAnsi="Times New Roman"/>
                <w:color w:val="000000"/>
                <w:sz w:val="17"/>
                <w:szCs w:val="17"/>
              </w:rPr>
              <w:t>ax</w:t>
            </w:r>
            <w:r>
              <w:rPr>
                <w:rFonts w:ascii="Times New Roman" w:eastAsia="Times New Roman" w:hAnsi="Times New Roman"/>
                <w:color w:val="000000"/>
                <w:sz w:val="17"/>
                <w:szCs w:val="17"/>
              </w:rPr>
              <w:t xml:space="preserve"> loss</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0.3447**</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-0.1442</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0.4238***</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-0.2127</w:t>
            </w: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(2.50)</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(-0.84)</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(3.66)</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(-1.16)</w:t>
            </w: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hRule="exact" w:val="72"/>
          <w:jc w:val="center"/>
        </w:trPr>
        <w:tc>
          <w:tcPr>
            <w:tcW w:w="2724" w:type="dxa"/>
            <w:tcBorders>
              <w:top w:val="nil"/>
              <w:left w:val="nil"/>
              <w:bottom w:val="nil"/>
              <w:right w:val="nil"/>
            </w:tcBorders>
            <w:shd w:val="clear" w:color="auto" w:fill="auto"/>
            <w:noWrap/>
            <w:tcMar>
              <w:left w:w="0" w:type="dxa"/>
              <w:right w:w="0" w:type="dxa"/>
            </w:tcMar>
            <w:vAlign w:val="bottom"/>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nil"/>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nil"/>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r w:rsidR="00F609C2" w:rsidRPr="00C34885" w:rsidTr="00F43F1A">
        <w:trPr>
          <w:trHeight w:val="144"/>
          <w:jc w:val="center"/>
        </w:trPr>
        <w:tc>
          <w:tcPr>
            <w:tcW w:w="2724" w:type="dxa"/>
            <w:tcBorders>
              <w:top w:val="nil"/>
              <w:left w:val="nil"/>
              <w:bottom w:val="nil"/>
              <w:right w:val="nil"/>
            </w:tcBorders>
            <w:shd w:val="clear" w:color="auto" w:fill="auto"/>
            <w:noWrap/>
            <w:tcMar>
              <w:left w:w="0" w:type="dxa"/>
              <w:right w:w="0" w:type="dxa"/>
            </w:tcMar>
            <w:vAlign w:val="bottom"/>
            <w:hideMark/>
          </w:tcPr>
          <w:p w:rsidR="00F609C2" w:rsidRPr="00C34885" w:rsidRDefault="00E8767A" w:rsidP="00F609C2">
            <w:pPr>
              <w:spacing w:after="0" w:line="240" w:lineRule="auto"/>
              <w:rPr>
                <w:rFonts w:ascii="Times New Roman" w:eastAsia="Times New Roman" w:hAnsi="Times New Roman"/>
                <w:sz w:val="17"/>
                <w:szCs w:val="17"/>
              </w:rPr>
            </w:pPr>
            <w:r w:rsidRPr="00C91DF3">
              <w:rPr>
                <w:rFonts w:ascii="Times New Roman" w:eastAsia="Times New Roman" w:hAnsi="Times New Roman"/>
                <w:sz w:val="17"/>
                <w:szCs w:val="17"/>
              </w:rPr>
              <w:t>R-</w:t>
            </w:r>
            <w:r w:rsidR="00F609C2" w:rsidRPr="00C91DF3">
              <w:rPr>
                <w:rFonts w:ascii="Times New Roman" w:eastAsia="Times New Roman" w:hAnsi="Times New Roman"/>
                <w:sz w:val="17"/>
                <w:szCs w:val="17"/>
              </w:rPr>
              <w:t>Squared</w:t>
            </w:r>
          </w:p>
        </w:tc>
        <w:tc>
          <w:tcPr>
            <w:tcW w:w="1992" w:type="dxa"/>
            <w:gridSpan w:val="2"/>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0.2969</w:t>
            </w:r>
          </w:p>
        </w:tc>
        <w:tc>
          <w:tcPr>
            <w:tcW w:w="1358" w:type="dxa"/>
            <w:tcBorders>
              <w:top w:val="nil"/>
              <w:left w:val="nil"/>
              <w:bottom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0.</w:t>
            </w:r>
            <w:r>
              <w:rPr>
                <w:rFonts w:ascii="Times New Roman" w:eastAsia="Times New Roman" w:hAnsi="Times New Roman"/>
                <w:sz w:val="17"/>
                <w:szCs w:val="17"/>
              </w:rPr>
              <w:t>2248</w:t>
            </w:r>
          </w:p>
        </w:tc>
        <w:tc>
          <w:tcPr>
            <w:tcW w:w="1865"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0.2983</w:t>
            </w:r>
          </w:p>
        </w:tc>
        <w:tc>
          <w:tcPr>
            <w:tcW w:w="1653" w:type="dxa"/>
            <w:tcBorders>
              <w:top w:val="nil"/>
              <w:left w:val="nil"/>
              <w:bottom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0.1217</w:t>
            </w:r>
          </w:p>
        </w:tc>
      </w:tr>
      <w:tr w:rsidR="00F609C2" w:rsidRPr="00C34885" w:rsidTr="00F43F1A">
        <w:trPr>
          <w:trHeight w:val="144"/>
          <w:jc w:val="center"/>
        </w:trPr>
        <w:tc>
          <w:tcPr>
            <w:tcW w:w="2724" w:type="dxa"/>
            <w:tcBorders>
              <w:top w:val="nil"/>
              <w:left w:val="nil"/>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Observations</w:t>
            </w:r>
          </w:p>
        </w:tc>
        <w:tc>
          <w:tcPr>
            <w:tcW w:w="1992" w:type="dxa"/>
            <w:gridSpan w:val="2"/>
            <w:tcBorders>
              <w:top w:val="nil"/>
              <w:left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379</w:t>
            </w:r>
          </w:p>
        </w:tc>
        <w:tc>
          <w:tcPr>
            <w:tcW w:w="1358" w:type="dxa"/>
            <w:tcBorders>
              <w:top w:val="nil"/>
              <w:left w:val="nil"/>
              <w:right w:val="nil"/>
            </w:tcBorders>
            <w:shd w:val="clear" w:color="auto" w:fill="auto"/>
            <w:noWrap/>
            <w:vAlign w:val="bottom"/>
            <w:hideMark/>
          </w:tcPr>
          <w:p w:rsidR="00F609C2" w:rsidRPr="004B6E67"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F43F1A">
              <w:rPr>
                <w:rFonts w:ascii="Times New Roman" w:eastAsia="Times New Roman" w:hAnsi="Times New Roman"/>
                <w:sz w:val="17"/>
                <w:szCs w:val="17"/>
              </w:rPr>
              <w:t>,</w:t>
            </w:r>
            <w:r>
              <w:rPr>
                <w:rFonts w:ascii="Times New Roman" w:eastAsia="Times New Roman" w:hAnsi="Times New Roman"/>
                <w:sz w:val="17"/>
                <w:szCs w:val="17"/>
              </w:rPr>
              <w:t>225</w:t>
            </w:r>
          </w:p>
        </w:tc>
        <w:tc>
          <w:tcPr>
            <w:tcW w:w="1865" w:type="dxa"/>
            <w:tcBorders>
              <w:top w:val="nil"/>
              <w:left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354</w:t>
            </w:r>
          </w:p>
        </w:tc>
        <w:tc>
          <w:tcPr>
            <w:tcW w:w="1653" w:type="dxa"/>
            <w:tcBorders>
              <w:top w:val="nil"/>
              <w:left w:val="nil"/>
              <w:right w:val="nil"/>
            </w:tcBorders>
            <w:shd w:val="clear" w:color="auto" w:fill="auto"/>
            <w:noWrap/>
            <w:vAlign w:val="bottom"/>
          </w:tcPr>
          <w:p w:rsidR="00F609C2" w:rsidRPr="00042AF2" w:rsidRDefault="00F609C2" w:rsidP="00F609C2">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w:t>
            </w:r>
            <w:r w:rsidR="00F43F1A">
              <w:rPr>
                <w:rFonts w:ascii="Times New Roman" w:eastAsia="Times New Roman" w:hAnsi="Times New Roman"/>
                <w:sz w:val="17"/>
                <w:szCs w:val="17"/>
              </w:rPr>
              <w:t>,</w:t>
            </w:r>
            <w:r>
              <w:rPr>
                <w:rFonts w:ascii="Times New Roman" w:eastAsia="Times New Roman" w:hAnsi="Times New Roman"/>
                <w:sz w:val="17"/>
                <w:szCs w:val="17"/>
              </w:rPr>
              <w:t>157</w:t>
            </w:r>
          </w:p>
        </w:tc>
      </w:tr>
      <w:tr w:rsidR="00F609C2" w:rsidRPr="00C34885" w:rsidTr="00F43F1A">
        <w:trPr>
          <w:trHeight w:hRule="exact" w:val="72"/>
          <w:jc w:val="center"/>
        </w:trPr>
        <w:tc>
          <w:tcPr>
            <w:tcW w:w="2724" w:type="dxa"/>
            <w:tcBorders>
              <w:top w:val="nil"/>
              <w:left w:val="nil"/>
              <w:bottom w:val="single" w:sz="4" w:space="0" w:color="auto"/>
              <w:right w:val="nil"/>
            </w:tcBorders>
            <w:shd w:val="clear" w:color="auto" w:fill="auto"/>
            <w:noWrap/>
            <w:tcMar>
              <w:left w:w="0" w:type="dxa"/>
              <w:right w:w="0" w:type="dxa"/>
            </w:tcMar>
            <w:vAlign w:val="bottom"/>
            <w:hideMark/>
          </w:tcPr>
          <w:p w:rsidR="00F609C2" w:rsidRPr="00C34885" w:rsidRDefault="00F609C2" w:rsidP="00F609C2">
            <w:pPr>
              <w:spacing w:after="0" w:line="240" w:lineRule="auto"/>
              <w:rPr>
                <w:rFonts w:ascii="Times New Roman" w:eastAsia="Times New Roman" w:hAnsi="Times New Roman"/>
                <w:sz w:val="17"/>
                <w:szCs w:val="17"/>
              </w:rPr>
            </w:pPr>
          </w:p>
        </w:tc>
        <w:tc>
          <w:tcPr>
            <w:tcW w:w="1992" w:type="dxa"/>
            <w:gridSpan w:val="2"/>
            <w:tcBorders>
              <w:top w:val="nil"/>
              <w:left w:val="nil"/>
              <w:bottom w:val="single" w:sz="4" w:space="0" w:color="auto"/>
              <w:right w:val="nil"/>
            </w:tcBorders>
            <w:shd w:val="clear" w:color="auto" w:fill="auto"/>
            <w:noWrap/>
            <w:vAlign w:val="bottom"/>
          </w:tcPr>
          <w:p w:rsidR="00F609C2" w:rsidRDefault="00F609C2" w:rsidP="00F609C2">
            <w:pPr>
              <w:spacing w:after="0" w:line="240" w:lineRule="auto"/>
              <w:jc w:val="center"/>
              <w:rPr>
                <w:rFonts w:ascii="Times New Roman" w:eastAsia="Times New Roman" w:hAnsi="Times New Roman"/>
                <w:sz w:val="17"/>
                <w:szCs w:val="17"/>
              </w:rPr>
            </w:pPr>
          </w:p>
        </w:tc>
        <w:tc>
          <w:tcPr>
            <w:tcW w:w="1358" w:type="dxa"/>
            <w:tcBorders>
              <w:top w:val="nil"/>
              <w:left w:val="nil"/>
              <w:bottom w:val="single" w:sz="4" w:space="0" w:color="auto"/>
              <w:right w:val="nil"/>
            </w:tcBorders>
            <w:shd w:val="clear" w:color="auto" w:fill="auto"/>
            <w:noWrap/>
            <w:vAlign w:val="bottom"/>
            <w:hideMark/>
          </w:tcPr>
          <w:p w:rsidR="00F609C2" w:rsidRDefault="00F609C2" w:rsidP="00F609C2">
            <w:pPr>
              <w:spacing w:after="0" w:line="240" w:lineRule="auto"/>
              <w:jc w:val="center"/>
              <w:rPr>
                <w:rFonts w:ascii="Times New Roman" w:eastAsia="Times New Roman" w:hAnsi="Times New Roman"/>
                <w:sz w:val="17"/>
                <w:szCs w:val="17"/>
              </w:rPr>
            </w:pPr>
          </w:p>
        </w:tc>
        <w:tc>
          <w:tcPr>
            <w:tcW w:w="1865" w:type="dxa"/>
            <w:tcBorders>
              <w:top w:val="nil"/>
              <w:left w:val="nil"/>
              <w:bottom w:val="single" w:sz="4" w:space="0" w:color="auto"/>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c>
          <w:tcPr>
            <w:tcW w:w="1653" w:type="dxa"/>
            <w:tcBorders>
              <w:top w:val="nil"/>
              <w:left w:val="nil"/>
              <w:bottom w:val="single" w:sz="4" w:space="0" w:color="auto"/>
              <w:right w:val="nil"/>
            </w:tcBorders>
            <w:shd w:val="clear" w:color="auto" w:fill="auto"/>
            <w:noWrap/>
            <w:vAlign w:val="bottom"/>
          </w:tcPr>
          <w:p w:rsidR="00F609C2" w:rsidRPr="00C34885" w:rsidRDefault="00F609C2" w:rsidP="00F609C2">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rPr>
          <w:rFonts w:ascii="Times New Roman" w:hAnsi="Times New Roman" w:cs="Times New Roman"/>
          <w:sz w:val="18"/>
          <w:szCs w:val="18"/>
        </w:rPr>
      </w:pPr>
    </w:p>
    <w:p w:rsidR="004942E7" w:rsidRDefault="004942E7" w:rsidP="004942E7">
      <w:pPr>
        <w:spacing w:after="0" w:line="240" w:lineRule="auto"/>
        <w:jc w:val="both"/>
        <w:rPr>
          <w:rFonts w:ascii="Times New Roman" w:hAnsi="Times New Roman" w:cs="Times New Roman"/>
          <w:sz w:val="18"/>
          <w:szCs w:val="18"/>
        </w:rPr>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F609C2" w:rsidRDefault="00F609C2">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4942E7" w:rsidRDefault="004942E7" w:rsidP="004942E7">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 xml:space="preserve">Table 10: Regressions of firm dividend yield by pension funding status </w:t>
      </w:r>
      <w:r w:rsidR="00C10DC7">
        <w:rPr>
          <w:rFonts w:ascii="Times New Roman" w:eastAsia="Times New Roman" w:hAnsi="Times New Roman"/>
          <w:b/>
          <w:bCs/>
          <w:sz w:val="24"/>
          <w:szCs w:val="24"/>
        </w:rPr>
        <w:t>for all top executives</w:t>
      </w:r>
    </w:p>
    <w:p w:rsidR="004942E7" w:rsidRDefault="004942E7" w:rsidP="004942E7">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The table shows pooled OLS regressions of a firm’s dividend yield on compensation leverage</w:t>
      </w:r>
      <w:r w:rsidR="00F43F1A">
        <w:rPr>
          <w:rFonts w:ascii="Times New Roman" w:eastAsia="Times New Roman" w:hAnsi="Times New Roman"/>
          <w:bCs/>
          <w:sz w:val="18"/>
          <w:szCs w:val="18"/>
        </w:rPr>
        <w:t xml:space="preserve"> and</w:t>
      </w:r>
      <w:r>
        <w:rPr>
          <w:rFonts w:ascii="Times New Roman" w:eastAsia="Times New Roman" w:hAnsi="Times New Roman"/>
          <w:bCs/>
          <w:sz w:val="18"/>
          <w:szCs w:val="18"/>
        </w:rPr>
        <w:t xml:space="preserve"> inside debt</w:t>
      </w:r>
      <w:r w:rsidR="00F43F1A">
        <w:rPr>
          <w:rFonts w:ascii="Times New Roman" w:eastAsia="Times New Roman" w:hAnsi="Times New Roman"/>
          <w:bCs/>
          <w:sz w:val="18"/>
          <w:szCs w:val="18"/>
        </w:rPr>
        <w:t xml:space="preserve"> </w:t>
      </w:r>
      <w:r w:rsidR="00C10DC7">
        <w:rPr>
          <w:rFonts w:ascii="Times New Roman" w:eastAsia="Times New Roman" w:hAnsi="Times New Roman"/>
          <w:bCs/>
          <w:sz w:val="18"/>
          <w:szCs w:val="18"/>
        </w:rPr>
        <w:t>for all executives</w:t>
      </w:r>
      <w:r>
        <w:rPr>
          <w:rFonts w:ascii="Times New Roman" w:eastAsia="Times New Roman" w:hAnsi="Times New Roman"/>
          <w:bCs/>
          <w:sz w:val="18"/>
          <w:szCs w:val="18"/>
        </w:rPr>
        <w:t xml:space="preserve">, </w:t>
      </w:r>
      <w:r w:rsidR="00F43F1A">
        <w:rPr>
          <w:rFonts w:ascii="Times New Roman" w:eastAsia="Times New Roman" w:hAnsi="Times New Roman"/>
          <w:bCs/>
          <w:sz w:val="18"/>
          <w:szCs w:val="18"/>
        </w:rPr>
        <w:t xml:space="preserve">and </w:t>
      </w:r>
      <w:r>
        <w:rPr>
          <w:rFonts w:ascii="Times New Roman" w:eastAsia="Times New Roman" w:hAnsi="Times New Roman"/>
          <w:bCs/>
          <w:sz w:val="18"/>
          <w:szCs w:val="18"/>
        </w:rPr>
        <w:t>a set of control variables (as defined in Table 1)</w:t>
      </w:r>
      <w:r w:rsidR="00F43F1A">
        <w:rPr>
          <w:rFonts w:ascii="Times New Roman" w:eastAsia="Times New Roman" w:hAnsi="Times New Roman"/>
          <w:bCs/>
          <w:sz w:val="18"/>
          <w:szCs w:val="18"/>
        </w:rPr>
        <w:t>,</w:t>
      </w:r>
      <w:r>
        <w:rPr>
          <w:rFonts w:ascii="Times New Roman" w:eastAsia="Times New Roman" w:hAnsi="Times New Roman"/>
          <w:bCs/>
          <w:sz w:val="18"/>
          <w:szCs w:val="18"/>
        </w:rPr>
        <w:t xml:space="preserve"> separately for cases where the pensions are funded and unfunded by a rabbi trust. </w:t>
      </w:r>
      <w:r w:rsidRPr="007736B5">
        <w:rPr>
          <w:rFonts w:ascii="Times New Roman" w:hAnsi="Times New Roman" w:cs="Times New Roman"/>
          <w:sz w:val="18"/>
          <w:szCs w:val="18"/>
        </w:rPr>
        <w:t>The sample represent</w:t>
      </w:r>
      <w:r>
        <w:rPr>
          <w:rFonts w:ascii="Times New Roman" w:hAnsi="Times New Roman" w:cs="Times New Roman"/>
          <w:sz w:val="18"/>
          <w:szCs w:val="18"/>
        </w:rPr>
        <w:t>s</w:t>
      </w:r>
      <w:r w:rsidRPr="007736B5">
        <w:rPr>
          <w:rFonts w:ascii="Times New Roman" w:hAnsi="Times New Roman" w:cs="Times New Roman"/>
          <w:sz w:val="18"/>
          <w:szCs w:val="18"/>
        </w:rPr>
        <w:t xml:space="preserve"> data on 272 firms over the period 2000-2009.</w:t>
      </w:r>
      <w:r>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Pr>
          <w:rFonts w:ascii="Times New Roman" w:hAnsi="Times New Roman" w:cs="Times New Roman"/>
          <w:sz w:val="18"/>
          <w:szCs w:val="18"/>
        </w:rPr>
        <w:t xml:space="preserve"> regression coefficients and </w:t>
      </w:r>
      <w:r w:rsidR="00773E03" w:rsidRPr="00773E03">
        <w:rPr>
          <w:rFonts w:ascii="Times New Roman" w:hAnsi="Times New Roman" w:cs="Times New Roman"/>
          <w:i/>
          <w:sz w:val="18"/>
          <w:szCs w:val="18"/>
        </w:rPr>
        <w:t>t</w:t>
      </w:r>
      <w:r w:rsidR="00773E03">
        <w:rPr>
          <w:rFonts w:ascii="Times New Roman" w:hAnsi="Times New Roman" w:cs="Times New Roman"/>
          <w:sz w:val="18"/>
          <w:szCs w:val="18"/>
        </w:rPr>
        <w:t>-statistics</w:t>
      </w:r>
      <w:r>
        <w:rPr>
          <w:rFonts w:ascii="Times New Roman" w:hAnsi="Times New Roman" w:cs="Times New Roman"/>
          <w:sz w:val="18"/>
          <w:szCs w:val="18"/>
        </w:rPr>
        <w:t xml:space="preserve">, based on standard errors adjusted for </w:t>
      </w:r>
      <w:proofErr w:type="spellStart"/>
      <w:r>
        <w:rPr>
          <w:rFonts w:ascii="Times New Roman" w:hAnsi="Times New Roman" w:cs="Times New Roman"/>
          <w:sz w:val="18"/>
          <w:szCs w:val="18"/>
        </w:rPr>
        <w:t>heteroskedasticity</w:t>
      </w:r>
      <w:proofErr w:type="spellEnd"/>
      <w:r>
        <w:rPr>
          <w:rFonts w:ascii="Times New Roman" w:hAnsi="Times New Roman" w:cs="Times New Roman"/>
          <w:sz w:val="18"/>
          <w:szCs w:val="18"/>
        </w:rPr>
        <w:t xml:space="preserve"> and autocorr</w:t>
      </w:r>
      <w:r w:rsidR="00F43F1A">
        <w:rPr>
          <w:rFonts w:ascii="Times New Roman" w:hAnsi="Times New Roman" w:cs="Times New Roman"/>
          <w:sz w:val="18"/>
          <w:szCs w:val="18"/>
        </w:rPr>
        <w:t xml:space="preserve">elation following Rogers (1993), with year fixed effects. </w:t>
      </w:r>
      <w:r w:rsidR="00824FB6">
        <w:rPr>
          <w:rFonts w:ascii="Times New Roman" w:hAnsi="Times New Roman" w:cs="Times New Roman"/>
          <w:sz w:val="18"/>
          <w:szCs w:val="18"/>
        </w:rPr>
        <w:t>*, **, *** indicate significance at the 0.1, 0.05, and 0.01 levels, respectively.</w:t>
      </w:r>
    </w:p>
    <w:p w:rsidR="004942E7" w:rsidRDefault="004942E7" w:rsidP="004942E7">
      <w:pPr>
        <w:spacing w:after="0" w:line="240" w:lineRule="auto"/>
        <w:jc w:val="both"/>
        <w:rPr>
          <w:rFonts w:ascii="Times New Roman" w:hAnsi="Times New Roman" w:cs="Times New Roman"/>
          <w:sz w:val="18"/>
          <w:szCs w:val="18"/>
        </w:rPr>
      </w:pPr>
    </w:p>
    <w:tbl>
      <w:tblPr>
        <w:tblW w:w="9592" w:type="dxa"/>
        <w:jc w:val="center"/>
        <w:tblLook w:val="04A0" w:firstRow="1" w:lastRow="0" w:firstColumn="1" w:lastColumn="0" w:noHBand="0" w:noVBand="1"/>
      </w:tblPr>
      <w:tblGrid>
        <w:gridCol w:w="2905"/>
        <w:gridCol w:w="1731"/>
        <w:gridCol w:w="216"/>
        <w:gridCol w:w="1328"/>
        <w:gridCol w:w="1820"/>
        <w:gridCol w:w="1608"/>
      </w:tblGrid>
      <w:tr w:rsidR="00330D13" w:rsidRPr="00C34885" w:rsidTr="00F43F1A">
        <w:trPr>
          <w:trHeight w:val="144"/>
          <w:jc w:val="center"/>
        </w:trPr>
        <w:tc>
          <w:tcPr>
            <w:tcW w:w="2889" w:type="dxa"/>
            <w:tcBorders>
              <w:top w:val="single" w:sz="4" w:space="0" w:color="auto"/>
              <w:left w:val="nil"/>
              <w:bottom w:val="single" w:sz="4" w:space="0" w:color="auto"/>
              <w:right w:val="nil"/>
            </w:tcBorders>
            <w:shd w:val="clear" w:color="auto" w:fill="auto"/>
            <w:noWrap/>
            <w:vAlign w:val="bottom"/>
            <w:hideMark/>
          </w:tcPr>
          <w:p w:rsidR="00330D13" w:rsidRPr="00114204" w:rsidRDefault="00330D13" w:rsidP="00C11A31">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6703" w:type="dxa"/>
            <w:gridSpan w:val="5"/>
            <w:tcBorders>
              <w:top w:val="single" w:sz="4" w:space="0" w:color="auto"/>
              <w:left w:val="nil"/>
              <w:bottom w:val="single" w:sz="4" w:space="0" w:color="auto"/>
              <w:right w:val="nil"/>
            </w:tcBorders>
            <w:shd w:val="clear" w:color="auto" w:fill="auto"/>
            <w:noWrap/>
            <w:vAlign w:val="bottom"/>
            <w:hideMark/>
          </w:tcPr>
          <w:p w:rsidR="00330D13" w:rsidRPr="00114204" w:rsidRDefault="00330D13"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w:t>
            </w:r>
            <w:r>
              <w:rPr>
                <w:rFonts w:ascii="Times New Roman" w:eastAsia="Times New Roman" w:hAnsi="Times New Roman"/>
                <w:sz w:val="17"/>
                <w:szCs w:val="17"/>
              </w:rPr>
              <w:t>Dividend yield</w:t>
            </w:r>
          </w:p>
        </w:tc>
      </w:tr>
      <w:tr w:rsidR="00330D13" w:rsidRPr="00C34885" w:rsidTr="00F43F1A">
        <w:trPr>
          <w:trHeight w:val="144"/>
          <w:jc w:val="center"/>
        </w:trPr>
        <w:tc>
          <w:tcPr>
            <w:tcW w:w="2889" w:type="dxa"/>
            <w:tcBorders>
              <w:top w:val="single" w:sz="4" w:space="0" w:color="auto"/>
              <w:left w:val="nil"/>
              <w:right w:val="nil"/>
            </w:tcBorders>
            <w:shd w:val="clear" w:color="auto" w:fill="auto"/>
            <w:noWrap/>
            <w:vAlign w:val="bottom"/>
            <w:hideMark/>
          </w:tcPr>
          <w:p w:rsidR="00330D13" w:rsidRPr="00114204" w:rsidRDefault="00330D13" w:rsidP="00C11A31">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3275" w:type="dxa"/>
            <w:gridSpan w:val="3"/>
            <w:tcBorders>
              <w:top w:val="single" w:sz="4" w:space="0" w:color="auto"/>
              <w:left w:val="nil"/>
              <w:right w:val="nil"/>
            </w:tcBorders>
            <w:shd w:val="clear" w:color="auto" w:fill="auto"/>
            <w:noWrap/>
            <w:vAlign w:val="bottom"/>
          </w:tcPr>
          <w:p w:rsidR="00330D13" w:rsidRPr="00114204" w:rsidRDefault="00330D13"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Compensation leverage </w:t>
            </w:r>
          </w:p>
        </w:tc>
        <w:tc>
          <w:tcPr>
            <w:tcW w:w="3428" w:type="dxa"/>
            <w:gridSpan w:val="2"/>
            <w:tcBorders>
              <w:top w:val="single" w:sz="4" w:space="0" w:color="auto"/>
              <w:left w:val="nil"/>
              <w:right w:val="nil"/>
            </w:tcBorders>
            <w:shd w:val="clear" w:color="auto" w:fill="auto"/>
            <w:noWrap/>
            <w:vAlign w:val="bottom"/>
          </w:tcPr>
          <w:p w:rsidR="00330D13" w:rsidRPr="00114204" w:rsidRDefault="00330D13"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330D13" w:rsidRPr="00C34885" w:rsidTr="00F43F1A">
        <w:trPr>
          <w:trHeight w:val="144"/>
          <w:jc w:val="center"/>
        </w:trPr>
        <w:tc>
          <w:tcPr>
            <w:tcW w:w="2889" w:type="dxa"/>
            <w:tcBorders>
              <w:top w:val="nil"/>
              <w:left w:val="nil"/>
              <w:bottom w:val="single" w:sz="4" w:space="0" w:color="auto"/>
              <w:right w:val="nil"/>
            </w:tcBorders>
            <w:shd w:val="clear" w:color="auto" w:fill="auto"/>
            <w:noWrap/>
            <w:vAlign w:val="bottom"/>
            <w:hideMark/>
          </w:tcPr>
          <w:p w:rsidR="00330D13" w:rsidRPr="00114204" w:rsidRDefault="00330D13" w:rsidP="00C11A31">
            <w:pPr>
              <w:spacing w:after="0" w:line="240" w:lineRule="auto"/>
              <w:rPr>
                <w:rFonts w:ascii="Times New Roman" w:eastAsia="Times New Roman" w:hAnsi="Times New Roman"/>
                <w:sz w:val="17"/>
                <w:szCs w:val="17"/>
              </w:rPr>
            </w:pPr>
          </w:p>
        </w:tc>
        <w:tc>
          <w:tcPr>
            <w:tcW w:w="1731" w:type="dxa"/>
            <w:tcBorders>
              <w:top w:val="nil"/>
              <w:left w:val="nil"/>
              <w:bottom w:val="single" w:sz="4" w:space="0" w:color="auto"/>
              <w:right w:val="nil"/>
            </w:tcBorders>
            <w:shd w:val="clear" w:color="auto" w:fill="auto"/>
            <w:noWrap/>
            <w:vAlign w:val="bottom"/>
          </w:tcPr>
          <w:p w:rsidR="00330D13" w:rsidRPr="00114204"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Funded pension</w:t>
            </w:r>
          </w:p>
        </w:tc>
        <w:tc>
          <w:tcPr>
            <w:tcW w:w="1544" w:type="dxa"/>
            <w:gridSpan w:val="2"/>
            <w:tcBorders>
              <w:top w:val="nil"/>
              <w:left w:val="nil"/>
              <w:bottom w:val="single" w:sz="4" w:space="0" w:color="auto"/>
              <w:right w:val="nil"/>
            </w:tcBorders>
            <w:shd w:val="clear" w:color="auto" w:fill="auto"/>
            <w:noWrap/>
            <w:vAlign w:val="bottom"/>
            <w:hideMark/>
          </w:tcPr>
          <w:p w:rsidR="00330D13" w:rsidRPr="00114204"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Unfunded pension</w:t>
            </w:r>
          </w:p>
        </w:tc>
        <w:tc>
          <w:tcPr>
            <w:tcW w:w="1820" w:type="dxa"/>
            <w:tcBorders>
              <w:top w:val="nil"/>
              <w:left w:val="nil"/>
              <w:bottom w:val="single" w:sz="4" w:space="0" w:color="auto"/>
              <w:right w:val="nil"/>
            </w:tcBorders>
            <w:shd w:val="clear" w:color="auto" w:fill="auto"/>
            <w:noWrap/>
            <w:vAlign w:val="bottom"/>
          </w:tcPr>
          <w:p w:rsidR="00330D13" w:rsidRPr="00114204"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Funded pension</w:t>
            </w:r>
          </w:p>
        </w:tc>
        <w:tc>
          <w:tcPr>
            <w:tcW w:w="1608" w:type="dxa"/>
            <w:tcBorders>
              <w:top w:val="nil"/>
              <w:left w:val="nil"/>
              <w:bottom w:val="single" w:sz="4" w:space="0" w:color="auto"/>
              <w:right w:val="nil"/>
            </w:tcBorders>
            <w:shd w:val="clear" w:color="auto" w:fill="auto"/>
            <w:noWrap/>
            <w:vAlign w:val="bottom"/>
          </w:tcPr>
          <w:p w:rsidR="00330D13" w:rsidRPr="00114204"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Unfunded pension</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vAlign w:val="bottom"/>
            <w:hideMark/>
          </w:tcPr>
          <w:p w:rsidR="00330D13" w:rsidRPr="00C34885" w:rsidRDefault="00330D13" w:rsidP="00C11A31">
            <w:pPr>
              <w:spacing w:after="0" w:line="240" w:lineRule="auto"/>
              <w:rPr>
                <w:rFonts w:ascii="Times New Roman" w:eastAsia="Times New Roman" w:hAnsi="Times New Roman"/>
                <w:i/>
                <w:iCs/>
                <w:color w:val="000000"/>
                <w:sz w:val="17"/>
                <w:szCs w:val="17"/>
              </w:rPr>
            </w:pPr>
          </w:p>
        </w:tc>
        <w:tc>
          <w:tcPr>
            <w:tcW w:w="1947" w:type="dxa"/>
            <w:gridSpan w:val="2"/>
            <w:tcBorders>
              <w:top w:val="nil"/>
              <w:left w:val="nil"/>
              <w:bottom w:val="nil"/>
              <w:right w:val="nil"/>
            </w:tcBorders>
            <w:shd w:val="clear" w:color="auto" w:fill="auto"/>
            <w:noWrap/>
            <w:vAlign w:val="bottom"/>
          </w:tcPr>
          <w:p w:rsidR="00330D13" w:rsidRPr="00C34885" w:rsidRDefault="00330D13" w:rsidP="00C11A31">
            <w:pPr>
              <w:spacing w:after="0" w:line="240" w:lineRule="auto"/>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C34885" w:rsidRDefault="00330D13" w:rsidP="00C11A31">
            <w:pPr>
              <w:spacing w:after="0" w:line="240" w:lineRule="auto"/>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-2.3541</w:t>
            </w:r>
            <w:r w:rsidRPr="00042AF2">
              <w:rPr>
                <w:rFonts w:ascii="Times New Roman" w:eastAsia="Times New Roman" w:hAnsi="Times New Roman"/>
                <w:sz w:val="17"/>
                <w:szCs w:val="17"/>
              </w:rPr>
              <w:t>***</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-3.</w:t>
            </w:r>
            <w:r>
              <w:rPr>
                <w:rFonts w:ascii="Times New Roman" w:eastAsia="Times New Roman" w:hAnsi="Times New Roman"/>
                <w:sz w:val="17"/>
                <w:szCs w:val="17"/>
              </w:rPr>
              <w:t>4898</w:t>
            </w:r>
            <w:r w:rsidRPr="004B6E67">
              <w:rPr>
                <w:rFonts w:ascii="Times New Roman" w:eastAsia="Times New Roman" w:hAnsi="Times New Roman"/>
                <w:sz w:val="17"/>
                <w:szCs w:val="17"/>
              </w:rPr>
              <w:t>***</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(-3.74</w:t>
            </w:r>
            <w:r w:rsidRPr="00042AF2">
              <w:rPr>
                <w:rFonts w:ascii="Times New Roman" w:eastAsia="Times New Roman" w:hAnsi="Times New Roman"/>
                <w:sz w:val="17"/>
                <w:szCs w:val="17"/>
              </w:rPr>
              <w:t>)</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w:t>
            </w:r>
            <w:r>
              <w:rPr>
                <w:rFonts w:ascii="Times New Roman" w:eastAsia="Times New Roman" w:hAnsi="Times New Roman"/>
                <w:sz w:val="17"/>
                <w:szCs w:val="17"/>
              </w:rPr>
              <w:t>-8.37)</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947" w:type="dxa"/>
            <w:gridSpan w:val="2"/>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Pr="00817BC7"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-0.1846</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-0.0720</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Pr="00817BC7"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(-1.04)</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(-1.55)</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0.0012</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w:t>
            </w:r>
            <w:r w:rsidRPr="004B6E67">
              <w:rPr>
                <w:rFonts w:ascii="Times New Roman" w:eastAsia="Times New Roman" w:hAnsi="Times New Roman"/>
                <w:sz w:val="17"/>
                <w:szCs w:val="17"/>
              </w:rPr>
              <w:t>0.00</w:t>
            </w:r>
            <w:r>
              <w:rPr>
                <w:rFonts w:ascii="Times New Roman" w:eastAsia="Times New Roman" w:hAnsi="Times New Roman"/>
                <w:sz w:val="17"/>
                <w:szCs w:val="17"/>
              </w:rPr>
              <w:t>06</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0.0138</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0.0070*</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(0.51)</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(-0.24)</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(1.33)</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(1.87)</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sidRPr="00042AF2">
              <w:rPr>
                <w:rFonts w:ascii="Times New Roman" w:eastAsia="Times New Roman" w:hAnsi="Times New Roman"/>
                <w:sz w:val="17"/>
                <w:szCs w:val="17"/>
              </w:rPr>
              <w:t>0.</w:t>
            </w:r>
            <w:r>
              <w:rPr>
                <w:rFonts w:ascii="Times New Roman" w:eastAsia="Times New Roman" w:hAnsi="Times New Roman"/>
                <w:sz w:val="17"/>
                <w:szCs w:val="17"/>
              </w:rPr>
              <w:t>0956***</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0.0</w:t>
            </w:r>
            <w:r>
              <w:rPr>
                <w:rFonts w:ascii="Times New Roman" w:eastAsia="Times New Roman" w:hAnsi="Times New Roman"/>
                <w:sz w:val="17"/>
                <w:szCs w:val="17"/>
              </w:rPr>
              <w:t>071</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0.0987</w:t>
            </w:r>
            <w:r w:rsidRPr="00042AF2">
              <w:rPr>
                <w:rFonts w:ascii="Times New Roman" w:eastAsia="Times New Roman" w:hAnsi="Times New Roman"/>
                <w:sz w:val="17"/>
                <w:szCs w:val="17"/>
              </w:rPr>
              <w:t>***</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0.02026</w:t>
            </w:r>
            <w:r w:rsidRPr="00042AF2">
              <w:rPr>
                <w:rFonts w:ascii="Times New Roman" w:eastAsia="Times New Roman" w:hAnsi="Times New Roman"/>
                <w:sz w:val="17"/>
                <w:szCs w:val="17"/>
              </w:rPr>
              <w:t>*</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(5.22)</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(0.90)</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(7.01)</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(1.45)</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-0.6540*</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-0.0</w:t>
            </w:r>
            <w:r>
              <w:rPr>
                <w:rFonts w:ascii="Times New Roman" w:eastAsia="Times New Roman" w:hAnsi="Times New Roman"/>
                <w:sz w:val="17"/>
                <w:szCs w:val="17"/>
              </w:rPr>
              <w:t>211</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0.4936</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0.00343</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(2.01)</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w:t>
            </w:r>
            <w:r>
              <w:rPr>
                <w:rFonts w:ascii="Times New Roman" w:eastAsia="Times New Roman" w:hAnsi="Times New Roman"/>
                <w:sz w:val="17"/>
                <w:szCs w:val="17"/>
              </w:rPr>
              <w:t>0.11</w:t>
            </w:r>
            <w:r w:rsidRPr="004B6E67">
              <w:rPr>
                <w:rFonts w:ascii="Times New Roman" w:eastAsia="Times New Roman" w:hAnsi="Times New Roman"/>
                <w:sz w:val="17"/>
                <w:szCs w:val="17"/>
              </w:rPr>
              <w:t>)</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(1.54)</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(0.84)</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042AF2"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(-4.77)</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(0.05)</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(-3.54)</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Default="00330D13" w:rsidP="00C11A31">
            <w:pPr>
              <w:spacing w:after="0" w:line="240" w:lineRule="auto"/>
              <w:rPr>
                <w:rFonts w:ascii="Times New Roman" w:eastAsia="Times New Roman" w:hAnsi="Times New Roman"/>
                <w:color w:val="000000"/>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w:t>
            </w:r>
            <w:r w:rsidRPr="00C34885">
              <w:rPr>
                <w:rFonts w:ascii="Times New Roman" w:eastAsia="Times New Roman" w:hAnsi="Times New Roman"/>
                <w:color w:val="000000"/>
                <w:sz w:val="17"/>
                <w:szCs w:val="17"/>
              </w:rPr>
              <w:t>ebt</w:t>
            </w:r>
            <w:r>
              <w:rPr>
                <w:rFonts w:ascii="Times New Roman" w:eastAsia="Times New Roman" w:hAnsi="Times New Roman"/>
                <w:color w:val="000000"/>
                <w:sz w:val="17"/>
                <w:szCs w:val="17"/>
              </w:rPr>
              <w:t>/e</w:t>
            </w:r>
            <w:r w:rsidRPr="00C34885">
              <w:rPr>
                <w:rFonts w:ascii="Times New Roman" w:eastAsia="Times New Roman" w:hAnsi="Times New Roman"/>
                <w:color w:val="000000"/>
                <w:sz w:val="17"/>
                <w:szCs w:val="17"/>
              </w:rPr>
              <w:t>quity</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0.2191</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-0.3491</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-0.2847</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-0.69642**</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(-0.93)</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w:t>
            </w:r>
            <w:r>
              <w:rPr>
                <w:rFonts w:ascii="Times New Roman" w:eastAsia="Times New Roman" w:hAnsi="Times New Roman"/>
                <w:sz w:val="17"/>
                <w:szCs w:val="17"/>
              </w:rPr>
              <w:t>-</w:t>
            </w:r>
            <w:r w:rsidRPr="004B6E67">
              <w:rPr>
                <w:rFonts w:ascii="Times New Roman" w:eastAsia="Times New Roman" w:hAnsi="Times New Roman"/>
                <w:sz w:val="17"/>
                <w:szCs w:val="17"/>
              </w:rPr>
              <w:t>1.</w:t>
            </w:r>
            <w:r>
              <w:rPr>
                <w:rFonts w:ascii="Times New Roman" w:eastAsia="Times New Roman" w:hAnsi="Times New Roman"/>
                <w:sz w:val="17"/>
                <w:szCs w:val="17"/>
              </w:rPr>
              <w:t>63</w:t>
            </w:r>
            <w:r w:rsidRPr="004B6E67">
              <w:rPr>
                <w:rFonts w:ascii="Times New Roman" w:eastAsia="Times New Roman" w:hAnsi="Times New Roman"/>
                <w:sz w:val="17"/>
                <w:szCs w:val="17"/>
              </w:rPr>
              <w:t>)</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(-0.63)</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(-2.71)</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F0E95" w:rsidRDefault="00330D13" w:rsidP="00C11A31">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0.0002</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-0.0007</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042AF2" w:rsidRDefault="00330D13" w:rsidP="00C11A31">
            <w:pPr>
              <w:spacing w:after="0" w:line="240" w:lineRule="auto"/>
              <w:rPr>
                <w:rFonts w:ascii="Times New Roman" w:eastAsia="Times New Roman" w:hAnsi="Times New Roman"/>
                <w:color w:val="000000"/>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(1.41)</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(-1.37)</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(1.64)</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(-2.11)</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Default="00330D13" w:rsidP="00C11A31">
            <w:pPr>
              <w:spacing w:after="0" w:line="240" w:lineRule="auto"/>
              <w:rPr>
                <w:rFonts w:ascii="Times New Roman" w:eastAsia="Times New Roman" w:hAnsi="Times New Roman"/>
                <w:color w:val="000000"/>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042AF2"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0.0003*</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-0.0006**</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0.0008</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042AF2" w:rsidRDefault="00330D13" w:rsidP="00C11A31">
            <w:pPr>
              <w:spacing w:after="0" w:line="240" w:lineRule="auto"/>
              <w:rPr>
                <w:rFonts w:ascii="Times New Roman" w:eastAsia="Times New Roman" w:hAnsi="Times New Roman"/>
                <w:color w:val="000000"/>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(-2.67)</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(1.98)</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(-2.79)</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(1.15)</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Default="00330D13" w:rsidP="00C11A31">
            <w:pPr>
              <w:spacing w:after="0" w:line="240" w:lineRule="auto"/>
              <w:rPr>
                <w:rFonts w:ascii="Times New Roman" w:eastAsia="Times New Roman" w:hAnsi="Times New Roman"/>
                <w:color w:val="000000"/>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A84317"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Distance-to-</w:t>
            </w:r>
            <w:r w:rsidR="00330D13">
              <w:rPr>
                <w:rFonts w:ascii="Times New Roman" w:eastAsia="Times New Roman" w:hAnsi="Times New Roman"/>
                <w:color w:val="000000"/>
                <w:sz w:val="17"/>
                <w:szCs w:val="17"/>
              </w:rPr>
              <w:t>default</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-0.2331*</w:t>
            </w:r>
            <w:r w:rsidRPr="00042AF2">
              <w:rPr>
                <w:rFonts w:ascii="Times New Roman" w:eastAsia="Times New Roman" w:hAnsi="Times New Roman"/>
                <w:sz w:val="17"/>
                <w:szCs w:val="17"/>
              </w:rPr>
              <w:t>**</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-0.2140</w:t>
            </w:r>
            <w:r w:rsidRPr="004B6E67">
              <w:rPr>
                <w:rFonts w:ascii="Times New Roman" w:eastAsia="Times New Roman" w:hAnsi="Times New Roman"/>
                <w:sz w:val="17"/>
                <w:szCs w:val="17"/>
              </w:rPr>
              <w:t>***</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-0.2792***</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-0.20983***</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(-4.38</w:t>
            </w:r>
            <w:r w:rsidRPr="00042AF2">
              <w:rPr>
                <w:rFonts w:ascii="Times New Roman" w:eastAsia="Times New Roman" w:hAnsi="Times New Roman"/>
                <w:sz w:val="17"/>
                <w:szCs w:val="17"/>
              </w:rPr>
              <w:t>)</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w:t>
            </w:r>
            <w:r>
              <w:rPr>
                <w:rFonts w:ascii="Times New Roman" w:eastAsia="Times New Roman" w:hAnsi="Times New Roman"/>
                <w:sz w:val="17"/>
                <w:szCs w:val="17"/>
              </w:rPr>
              <w:t>-4.75</w:t>
            </w:r>
            <w:r w:rsidRPr="004B6E67">
              <w:rPr>
                <w:rFonts w:ascii="Times New Roman" w:eastAsia="Times New Roman" w:hAnsi="Times New Roman"/>
                <w:sz w:val="17"/>
                <w:szCs w:val="17"/>
              </w:rPr>
              <w:t>)</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(-4.58)</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(-3.59)</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Firm age</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-0.0013</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-0.0001</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0.0027</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-0.00155</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(0.47</w:t>
            </w:r>
            <w:r w:rsidRPr="00042AF2">
              <w:rPr>
                <w:rFonts w:ascii="Times New Roman" w:eastAsia="Times New Roman" w:hAnsi="Times New Roman"/>
                <w:sz w:val="17"/>
                <w:szCs w:val="17"/>
              </w:rPr>
              <w:t>)</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w:t>
            </w:r>
            <w:r>
              <w:rPr>
                <w:rFonts w:ascii="Times New Roman" w:eastAsia="Times New Roman" w:hAnsi="Times New Roman"/>
                <w:sz w:val="17"/>
                <w:szCs w:val="17"/>
              </w:rPr>
              <w:t>-1.03</w:t>
            </w:r>
            <w:r w:rsidRPr="004B6E67">
              <w:rPr>
                <w:rFonts w:ascii="Times New Roman" w:eastAsia="Times New Roman" w:hAnsi="Times New Roman"/>
                <w:sz w:val="17"/>
                <w:szCs w:val="17"/>
              </w:rPr>
              <w:t>)</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(0.94)</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(-1.82)</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042AF2"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0.0034</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0.7743***</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0.2720</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1.0630***</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042AF2" w:rsidRDefault="00330D13" w:rsidP="00C11A31">
            <w:pPr>
              <w:spacing w:after="0" w:line="240" w:lineRule="auto"/>
              <w:rPr>
                <w:rFonts w:ascii="Times New Roman" w:eastAsia="Times New Roman" w:hAnsi="Times New Roman"/>
                <w:color w:val="000000"/>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(0.01)</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(4.80)</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(0.75)</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(5.56)</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Default="00330D13" w:rsidP="00C11A31">
            <w:pPr>
              <w:spacing w:after="0" w:line="240" w:lineRule="auto"/>
              <w:rPr>
                <w:rFonts w:ascii="Times New Roman" w:eastAsia="Times New Roman" w:hAnsi="Times New Roman"/>
                <w:color w:val="000000"/>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w:t>
            </w:r>
            <w:r w:rsidRPr="00C34885">
              <w:rPr>
                <w:rFonts w:ascii="Times New Roman" w:eastAsia="Times New Roman" w:hAnsi="Times New Roman"/>
                <w:color w:val="000000"/>
                <w:sz w:val="17"/>
                <w:szCs w:val="17"/>
              </w:rPr>
              <w:t>iq</w:t>
            </w:r>
            <w:r>
              <w:rPr>
                <w:rFonts w:ascii="Times New Roman" w:eastAsia="Times New Roman" w:hAnsi="Times New Roman"/>
                <w:color w:val="000000"/>
                <w:sz w:val="17"/>
                <w:szCs w:val="17"/>
              </w:rPr>
              <w:t>uidity c</w:t>
            </w:r>
            <w:r w:rsidRPr="00C34885">
              <w:rPr>
                <w:rFonts w:ascii="Times New Roman" w:eastAsia="Times New Roman" w:hAnsi="Times New Roman"/>
                <w:color w:val="000000"/>
                <w:sz w:val="17"/>
                <w:szCs w:val="17"/>
              </w:rPr>
              <w:t>ons</w:t>
            </w:r>
            <w:r>
              <w:rPr>
                <w:rFonts w:ascii="Times New Roman" w:eastAsia="Times New Roman" w:hAnsi="Times New Roman"/>
                <w:color w:val="000000"/>
                <w:sz w:val="17"/>
                <w:szCs w:val="17"/>
              </w:rPr>
              <w:t>traint</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0.1546</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0.8102</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0.5787**</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0.82177</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(0.94)</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(1.04)</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(2.83)</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(0.69)</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T</w:t>
            </w:r>
            <w:r w:rsidRPr="00C34885">
              <w:rPr>
                <w:rFonts w:ascii="Times New Roman" w:eastAsia="Times New Roman" w:hAnsi="Times New Roman"/>
                <w:color w:val="000000"/>
                <w:sz w:val="17"/>
                <w:szCs w:val="17"/>
              </w:rPr>
              <w:t>ax</w:t>
            </w:r>
            <w:r>
              <w:rPr>
                <w:rFonts w:ascii="Times New Roman" w:eastAsia="Times New Roman" w:hAnsi="Times New Roman"/>
                <w:color w:val="000000"/>
                <w:sz w:val="17"/>
                <w:szCs w:val="17"/>
              </w:rPr>
              <w:t xml:space="preserve"> loss</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0.3891</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-0.0379</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0.3341</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-0.0390</w:t>
            </w: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(1.53)</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(-0.31)</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(1.14)</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(-0.31)</w:t>
            </w: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hRule="exact" w:val="72"/>
          <w:jc w:val="center"/>
        </w:trPr>
        <w:tc>
          <w:tcPr>
            <w:tcW w:w="2889" w:type="dxa"/>
            <w:tcBorders>
              <w:top w:val="nil"/>
              <w:left w:val="nil"/>
              <w:bottom w:val="nil"/>
              <w:right w:val="nil"/>
            </w:tcBorders>
            <w:shd w:val="clear" w:color="auto" w:fill="auto"/>
            <w:noWrap/>
            <w:tcMar>
              <w:left w:w="0" w:type="dxa"/>
              <w:right w:w="0" w:type="dxa"/>
            </w:tcMar>
            <w:vAlign w:val="bottom"/>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nil"/>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nil"/>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r w:rsidR="00330D13" w:rsidRPr="00C34885" w:rsidTr="00F43F1A">
        <w:trPr>
          <w:trHeight w:val="144"/>
          <w:jc w:val="center"/>
        </w:trPr>
        <w:tc>
          <w:tcPr>
            <w:tcW w:w="2889" w:type="dxa"/>
            <w:tcBorders>
              <w:top w:val="nil"/>
              <w:left w:val="nil"/>
              <w:bottom w:val="nil"/>
              <w:right w:val="nil"/>
            </w:tcBorders>
            <w:shd w:val="clear" w:color="auto" w:fill="auto"/>
            <w:noWrap/>
            <w:tcMar>
              <w:left w:w="0" w:type="dxa"/>
              <w:right w:w="0" w:type="dxa"/>
            </w:tcMar>
            <w:vAlign w:val="bottom"/>
            <w:hideMark/>
          </w:tcPr>
          <w:p w:rsidR="00330D13" w:rsidRPr="00C34885" w:rsidRDefault="00E8767A" w:rsidP="00C11A31">
            <w:pPr>
              <w:spacing w:after="0" w:line="240" w:lineRule="auto"/>
              <w:rPr>
                <w:rFonts w:ascii="Times New Roman" w:eastAsia="Times New Roman" w:hAnsi="Times New Roman"/>
                <w:sz w:val="17"/>
                <w:szCs w:val="17"/>
              </w:rPr>
            </w:pPr>
            <w:r w:rsidRPr="00C91DF3">
              <w:rPr>
                <w:rFonts w:ascii="Times New Roman" w:eastAsia="Times New Roman" w:hAnsi="Times New Roman"/>
                <w:sz w:val="17"/>
                <w:szCs w:val="17"/>
              </w:rPr>
              <w:t>R-</w:t>
            </w:r>
            <w:r w:rsidR="00330D13" w:rsidRPr="00C91DF3">
              <w:rPr>
                <w:rFonts w:ascii="Times New Roman" w:eastAsia="Times New Roman" w:hAnsi="Times New Roman"/>
                <w:sz w:val="17"/>
                <w:szCs w:val="17"/>
              </w:rPr>
              <w:t>Squared</w:t>
            </w:r>
          </w:p>
        </w:tc>
        <w:tc>
          <w:tcPr>
            <w:tcW w:w="1947" w:type="dxa"/>
            <w:gridSpan w:val="2"/>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0.3061</w:t>
            </w:r>
          </w:p>
        </w:tc>
        <w:tc>
          <w:tcPr>
            <w:tcW w:w="1328" w:type="dxa"/>
            <w:tcBorders>
              <w:top w:val="nil"/>
              <w:left w:val="nil"/>
              <w:bottom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sidRPr="004B6E67">
              <w:rPr>
                <w:rFonts w:ascii="Times New Roman" w:eastAsia="Times New Roman" w:hAnsi="Times New Roman"/>
                <w:sz w:val="17"/>
                <w:szCs w:val="17"/>
              </w:rPr>
              <w:t>0.2</w:t>
            </w:r>
            <w:r>
              <w:rPr>
                <w:rFonts w:ascii="Times New Roman" w:eastAsia="Times New Roman" w:hAnsi="Times New Roman"/>
                <w:sz w:val="17"/>
                <w:szCs w:val="17"/>
              </w:rPr>
              <w:t>748</w:t>
            </w:r>
          </w:p>
        </w:tc>
        <w:tc>
          <w:tcPr>
            <w:tcW w:w="1820"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0.2695</w:t>
            </w:r>
          </w:p>
        </w:tc>
        <w:tc>
          <w:tcPr>
            <w:tcW w:w="1608" w:type="dxa"/>
            <w:tcBorders>
              <w:top w:val="nil"/>
              <w:left w:val="nil"/>
              <w:bottom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0.1831</w:t>
            </w:r>
          </w:p>
        </w:tc>
      </w:tr>
      <w:tr w:rsidR="00330D13" w:rsidRPr="00C34885" w:rsidTr="00F43F1A">
        <w:trPr>
          <w:trHeight w:val="144"/>
          <w:jc w:val="center"/>
        </w:trPr>
        <w:tc>
          <w:tcPr>
            <w:tcW w:w="2889" w:type="dxa"/>
            <w:tcBorders>
              <w:top w:val="nil"/>
              <w:left w:val="nil"/>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Observations</w:t>
            </w:r>
          </w:p>
        </w:tc>
        <w:tc>
          <w:tcPr>
            <w:tcW w:w="1947" w:type="dxa"/>
            <w:gridSpan w:val="2"/>
            <w:tcBorders>
              <w:top w:val="nil"/>
              <w:left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185</w:t>
            </w:r>
          </w:p>
        </w:tc>
        <w:tc>
          <w:tcPr>
            <w:tcW w:w="1328" w:type="dxa"/>
            <w:tcBorders>
              <w:top w:val="nil"/>
              <w:left w:val="nil"/>
              <w:right w:val="nil"/>
            </w:tcBorders>
            <w:shd w:val="clear" w:color="auto" w:fill="auto"/>
            <w:noWrap/>
            <w:vAlign w:val="bottom"/>
            <w:hideMark/>
          </w:tcPr>
          <w:p w:rsidR="00330D13" w:rsidRPr="004B6E67"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887</w:t>
            </w:r>
          </w:p>
        </w:tc>
        <w:tc>
          <w:tcPr>
            <w:tcW w:w="1820" w:type="dxa"/>
            <w:tcBorders>
              <w:top w:val="nil"/>
              <w:left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177</w:t>
            </w:r>
          </w:p>
        </w:tc>
        <w:tc>
          <w:tcPr>
            <w:tcW w:w="1608" w:type="dxa"/>
            <w:tcBorders>
              <w:top w:val="nil"/>
              <w:left w:val="nil"/>
              <w:right w:val="nil"/>
            </w:tcBorders>
            <w:shd w:val="clear" w:color="auto" w:fill="auto"/>
            <w:noWrap/>
            <w:vAlign w:val="bottom"/>
          </w:tcPr>
          <w:p w:rsidR="00330D13" w:rsidRPr="00042AF2" w:rsidRDefault="00330D13"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828</w:t>
            </w:r>
          </w:p>
        </w:tc>
      </w:tr>
      <w:tr w:rsidR="00330D13" w:rsidRPr="00C34885" w:rsidTr="00F43F1A">
        <w:trPr>
          <w:trHeight w:hRule="exact" w:val="72"/>
          <w:jc w:val="center"/>
        </w:trPr>
        <w:tc>
          <w:tcPr>
            <w:tcW w:w="2889" w:type="dxa"/>
            <w:tcBorders>
              <w:top w:val="nil"/>
              <w:left w:val="nil"/>
              <w:bottom w:val="single" w:sz="4" w:space="0" w:color="auto"/>
              <w:right w:val="nil"/>
            </w:tcBorders>
            <w:shd w:val="clear" w:color="auto" w:fill="auto"/>
            <w:noWrap/>
            <w:tcMar>
              <w:left w:w="0" w:type="dxa"/>
              <w:right w:w="0" w:type="dxa"/>
            </w:tcMar>
            <w:vAlign w:val="bottom"/>
            <w:hideMark/>
          </w:tcPr>
          <w:p w:rsidR="00330D13" w:rsidRPr="00C34885" w:rsidRDefault="00330D13" w:rsidP="00C11A31">
            <w:pPr>
              <w:spacing w:after="0" w:line="240" w:lineRule="auto"/>
              <w:rPr>
                <w:rFonts w:ascii="Times New Roman" w:eastAsia="Times New Roman" w:hAnsi="Times New Roman"/>
                <w:sz w:val="17"/>
                <w:szCs w:val="17"/>
              </w:rPr>
            </w:pPr>
          </w:p>
        </w:tc>
        <w:tc>
          <w:tcPr>
            <w:tcW w:w="1947" w:type="dxa"/>
            <w:gridSpan w:val="2"/>
            <w:tcBorders>
              <w:top w:val="nil"/>
              <w:left w:val="nil"/>
              <w:bottom w:val="single" w:sz="4" w:space="0" w:color="auto"/>
              <w:right w:val="nil"/>
            </w:tcBorders>
            <w:shd w:val="clear" w:color="auto" w:fill="auto"/>
            <w:noWrap/>
            <w:vAlign w:val="bottom"/>
          </w:tcPr>
          <w:p w:rsidR="00330D13" w:rsidRDefault="00330D13" w:rsidP="00C11A31">
            <w:pPr>
              <w:spacing w:after="0" w:line="240" w:lineRule="auto"/>
              <w:jc w:val="center"/>
              <w:rPr>
                <w:rFonts w:ascii="Times New Roman" w:eastAsia="Times New Roman" w:hAnsi="Times New Roman"/>
                <w:sz w:val="17"/>
                <w:szCs w:val="17"/>
              </w:rPr>
            </w:pPr>
          </w:p>
        </w:tc>
        <w:tc>
          <w:tcPr>
            <w:tcW w:w="1328" w:type="dxa"/>
            <w:tcBorders>
              <w:top w:val="nil"/>
              <w:left w:val="nil"/>
              <w:bottom w:val="single" w:sz="4" w:space="0" w:color="auto"/>
              <w:right w:val="nil"/>
            </w:tcBorders>
            <w:shd w:val="clear" w:color="auto" w:fill="auto"/>
            <w:noWrap/>
            <w:vAlign w:val="bottom"/>
            <w:hideMark/>
          </w:tcPr>
          <w:p w:rsidR="00330D13" w:rsidRDefault="00330D13" w:rsidP="00C11A31">
            <w:pPr>
              <w:spacing w:after="0" w:line="240" w:lineRule="auto"/>
              <w:jc w:val="center"/>
              <w:rPr>
                <w:rFonts w:ascii="Times New Roman" w:eastAsia="Times New Roman" w:hAnsi="Times New Roman"/>
                <w:sz w:val="17"/>
                <w:szCs w:val="17"/>
              </w:rPr>
            </w:pPr>
          </w:p>
        </w:tc>
        <w:tc>
          <w:tcPr>
            <w:tcW w:w="1820" w:type="dxa"/>
            <w:tcBorders>
              <w:top w:val="nil"/>
              <w:left w:val="nil"/>
              <w:bottom w:val="single" w:sz="4" w:space="0" w:color="auto"/>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c>
          <w:tcPr>
            <w:tcW w:w="1608" w:type="dxa"/>
            <w:tcBorders>
              <w:top w:val="nil"/>
              <w:left w:val="nil"/>
              <w:bottom w:val="single" w:sz="4" w:space="0" w:color="auto"/>
              <w:right w:val="nil"/>
            </w:tcBorders>
            <w:shd w:val="clear" w:color="auto" w:fill="auto"/>
            <w:noWrap/>
            <w:vAlign w:val="bottom"/>
          </w:tcPr>
          <w:p w:rsidR="00330D13" w:rsidRPr="00C34885" w:rsidRDefault="00330D13" w:rsidP="00C11A31">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rPr>
          <w:rFonts w:ascii="Times New Roman" w:hAnsi="Times New Roman" w:cs="Times New Roman"/>
          <w:sz w:val="18"/>
          <w:szCs w:val="18"/>
        </w:rPr>
      </w:pPr>
    </w:p>
    <w:p w:rsidR="004942E7" w:rsidRDefault="004942E7" w:rsidP="004942E7">
      <w:pPr>
        <w:spacing w:after="0" w:line="240" w:lineRule="auto"/>
        <w:jc w:val="both"/>
        <w:rPr>
          <w:rFonts w:ascii="Times New Roman" w:hAnsi="Times New Roman" w:cs="Times New Roman"/>
          <w:sz w:val="18"/>
          <w:szCs w:val="18"/>
        </w:rPr>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330D13" w:rsidRDefault="00330D13">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4942E7" w:rsidRDefault="004942E7" w:rsidP="004942E7">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11: Regressions of firm dividend payout ratio by pension funding status at the CEO level</w:t>
      </w:r>
    </w:p>
    <w:p w:rsidR="004942E7" w:rsidRDefault="004942E7" w:rsidP="004942E7">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 xml:space="preserve">The table shows pooled </w:t>
      </w:r>
      <w:proofErr w:type="spellStart"/>
      <w:r w:rsidR="00E8767A">
        <w:rPr>
          <w:rFonts w:ascii="Times New Roman" w:eastAsia="Times New Roman" w:hAnsi="Times New Roman"/>
          <w:bCs/>
          <w:sz w:val="18"/>
          <w:szCs w:val="18"/>
        </w:rPr>
        <w:t>Tobit</w:t>
      </w:r>
      <w:proofErr w:type="spellEnd"/>
      <w:r>
        <w:rPr>
          <w:rFonts w:ascii="Times New Roman" w:eastAsia="Times New Roman" w:hAnsi="Times New Roman"/>
          <w:bCs/>
          <w:sz w:val="18"/>
          <w:szCs w:val="18"/>
        </w:rPr>
        <w:t xml:space="preserve"> regressions of a firm’s dividend payout</w:t>
      </w:r>
      <w:r w:rsidR="00F43F1A">
        <w:rPr>
          <w:rFonts w:ascii="Times New Roman" w:eastAsia="Times New Roman" w:hAnsi="Times New Roman"/>
          <w:bCs/>
          <w:sz w:val="18"/>
          <w:szCs w:val="18"/>
        </w:rPr>
        <w:t xml:space="preserve"> ratio on compensation leverage and</w:t>
      </w:r>
      <w:r>
        <w:rPr>
          <w:rFonts w:ascii="Times New Roman" w:eastAsia="Times New Roman" w:hAnsi="Times New Roman"/>
          <w:bCs/>
          <w:sz w:val="18"/>
          <w:szCs w:val="18"/>
        </w:rPr>
        <w:t xml:space="preserve"> inside debt</w:t>
      </w:r>
      <w:r w:rsidR="00F43F1A">
        <w:rPr>
          <w:rFonts w:ascii="Times New Roman" w:eastAsia="Times New Roman" w:hAnsi="Times New Roman"/>
          <w:bCs/>
          <w:sz w:val="18"/>
          <w:szCs w:val="18"/>
        </w:rPr>
        <w:t xml:space="preserve"> at the CEO level</w:t>
      </w:r>
      <w:r>
        <w:rPr>
          <w:rFonts w:ascii="Times New Roman" w:eastAsia="Times New Roman" w:hAnsi="Times New Roman"/>
          <w:bCs/>
          <w:sz w:val="18"/>
          <w:szCs w:val="18"/>
        </w:rPr>
        <w:t xml:space="preserve">, and a set of control variables (as defined in Table 1), separately for cases where the pensions are funded and unfunded by a rabbi trust. </w:t>
      </w:r>
      <w:r w:rsidRPr="007736B5">
        <w:rPr>
          <w:rFonts w:ascii="Times New Roman" w:hAnsi="Times New Roman" w:cs="Times New Roman"/>
          <w:sz w:val="18"/>
          <w:szCs w:val="18"/>
        </w:rPr>
        <w:t>The sample represent</w:t>
      </w:r>
      <w:r>
        <w:rPr>
          <w:rFonts w:ascii="Times New Roman" w:hAnsi="Times New Roman" w:cs="Times New Roman"/>
          <w:sz w:val="18"/>
          <w:szCs w:val="18"/>
        </w:rPr>
        <w:t>s</w:t>
      </w:r>
      <w:r w:rsidRPr="007736B5">
        <w:rPr>
          <w:rFonts w:ascii="Times New Roman" w:hAnsi="Times New Roman" w:cs="Times New Roman"/>
          <w:sz w:val="18"/>
          <w:szCs w:val="18"/>
        </w:rPr>
        <w:t xml:space="preserve"> data on 272 firms over the period 2000-2009.</w:t>
      </w:r>
      <w:r>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Pr>
          <w:rFonts w:ascii="Times New Roman" w:hAnsi="Times New Roman" w:cs="Times New Roman"/>
          <w:sz w:val="18"/>
          <w:szCs w:val="18"/>
        </w:rPr>
        <w:t xml:space="preserve"> regression coefficients and </w:t>
      </w:r>
      <w:r w:rsidR="00773E03" w:rsidRPr="00773E03">
        <w:rPr>
          <w:rFonts w:ascii="Times New Roman" w:hAnsi="Times New Roman" w:cs="Times New Roman"/>
          <w:i/>
          <w:sz w:val="18"/>
          <w:szCs w:val="18"/>
        </w:rPr>
        <w:t>t</w:t>
      </w:r>
      <w:r w:rsidR="00773E03">
        <w:rPr>
          <w:rFonts w:ascii="Times New Roman" w:hAnsi="Times New Roman" w:cs="Times New Roman"/>
          <w:sz w:val="18"/>
          <w:szCs w:val="18"/>
        </w:rPr>
        <w:t>-statistics</w:t>
      </w:r>
      <w:r>
        <w:rPr>
          <w:rFonts w:ascii="Times New Roman" w:hAnsi="Times New Roman" w:cs="Times New Roman"/>
          <w:sz w:val="18"/>
          <w:szCs w:val="18"/>
        </w:rPr>
        <w:t xml:space="preserve">, based on standard errors adjusted for </w:t>
      </w:r>
      <w:proofErr w:type="spellStart"/>
      <w:r>
        <w:rPr>
          <w:rFonts w:ascii="Times New Roman" w:hAnsi="Times New Roman" w:cs="Times New Roman"/>
          <w:sz w:val="18"/>
          <w:szCs w:val="18"/>
        </w:rPr>
        <w:t>heteroskedasticity</w:t>
      </w:r>
      <w:proofErr w:type="spellEnd"/>
      <w:r>
        <w:rPr>
          <w:rFonts w:ascii="Times New Roman" w:hAnsi="Times New Roman" w:cs="Times New Roman"/>
          <w:sz w:val="18"/>
          <w:szCs w:val="18"/>
        </w:rPr>
        <w:t xml:space="preserve"> and autocorr</w:t>
      </w:r>
      <w:r w:rsidR="00F43F1A">
        <w:rPr>
          <w:rFonts w:ascii="Times New Roman" w:hAnsi="Times New Roman" w:cs="Times New Roman"/>
          <w:sz w:val="18"/>
          <w:szCs w:val="18"/>
        </w:rPr>
        <w:t>elation following Rogers (1993), with year fixed effects.</w:t>
      </w:r>
      <w:r w:rsidR="00824FB6">
        <w:rPr>
          <w:rFonts w:ascii="Times New Roman" w:hAnsi="Times New Roman" w:cs="Times New Roman"/>
          <w:sz w:val="18"/>
          <w:szCs w:val="18"/>
        </w:rPr>
        <w:t xml:space="preserve"> *, **, *** indicate significance at the 0.1, 0.05, and 0.01 levels, respectively.</w:t>
      </w:r>
    </w:p>
    <w:p w:rsidR="004942E7" w:rsidRDefault="004942E7" w:rsidP="004942E7">
      <w:pPr>
        <w:spacing w:after="0" w:line="240" w:lineRule="auto"/>
        <w:jc w:val="both"/>
        <w:rPr>
          <w:rFonts w:ascii="Times New Roman" w:hAnsi="Times New Roman" w:cs="Times New Roman"/>
          <w:sz w:val="18"/>
          <w:szCs w:val="18"/>
        </w:rPr>
      </w:pPr>
    </w:p>
    <w:tbl>
      <w:tblPr>
        <w:tblW w:w="9608" w:type="dxa"/>
        <w:jc w:val="center"/>
        <w:tblLook w:val="04A0" w:firstRow="1" w:lastRow="0" w:firstColumn="1" w:lastColumn="0" w:noHBand="0" w:noVBand="1"/>
      </w:tblPr>
      <w:tblGrid>
        <w:gridCol w:w="6"/>
        <w:gridCol w:w="2858"/>
        <w:gridCol w:w="1747"/>
        <w:gridCol w:w="215"/>
        <w:gridCol w:w="1338"/>
        <w:gridCol w:w="1836"/>
        <w:gridCol w:w="1624"/>
      </w:tblGrid>
      <w:tr w:rsidR="00F94052" w:rsidRPr="00C34885" w:rsidTr="00166C3B">
        <w:trPr>
          <w:trHeight w:val="144"/>
          <w:jc w:val="center"/>
        </w:trPr>
        <w:tc>
          <w:tcPr>
            <w:tcW w:w="2848" w:type="dxa"/>
            <w:gridSpan w:val="2"/>
            <w:tcBorders>
              <w:top w:val="single" w:sz="4" w:space="0" w:color="auto"/>
              <w:left w:val="nil"/>
              <w:bottom w:val="single" w:sz="4" w:space="0" w:color="auto"/>
              <w:right w:val="nil"/>
            </w:tcBorders>
            <w:shd w:val="clear" w:color="auto" w:fill="auto"/>
            <w:noWrap/>
            <w:vAlign w:val="bottom"/>
            <w:hideMark/>
          </w:tcPr>
          <w:p w:rsidR="00F94052" w:rsidRPr="00114204" w:rsidRDefault="00F94052" w:rsidP="00C11A31">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6760" w:type="dxa"/>
            <w:gridSpan w:val="5"/>
            <w:tcBorders>
              <w:top w:val="single" w:sz="4" w:space="0" w:color="auto"/>
              <w:left w:val="nil"/>
              <w:bottom w:val="single" w:sz="4" w:space="0" w:color="auto"/>
              <w:right w:val="nil"/>
            </w:tcBorders>
            <w:shd w:val="clear" w:color="auto" w:fill="auto"/>
            <w:noWrap/>
            <w:vAlign w:val="bottom"/>
            <w:hideMark/>
          </w:tcPr>
          <w:p w:rsidR="00F94052" w:rsidRPr="00114204" w:rsidRDefault="00F94052"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Dividend </w:t>
            </w:r>
            <w:r>
              <w:rPr>
                <w:rFonts w:ascii="Times New Roman" w:eastAsia="Times New Roman" w:hAnsi="Times New Roman"/>
                <w:sz w:val="17"/>
                <w:szCs w:val="17"/>
              </w:rPr>
              <w:t>payout ratio</w:t>
            </w:r>
            <w:r w:rsidRPr="00114204">
              <w:rPr>
                <w:rFonts w:ascii="Times New Roman" w:eastAsia="Times New Roman" w:hAnsi="Times New Roman"/>
                <w:sz w:val="17"/>
                <w:szCs w:val="17"/>
              </w:rPr>
              <w:t xml:space="preserve"> </w:t>
            </w:r>
          </w:p>
        </w:tc>
      </w:tr>
      <w:tr w:rsidR="00F94052" w:rsidRPr="00C34885" w:rsidTr="00166C3B">
        <w:trPr>
          <w:trHeight w:val="144"/>
          <w:jc w:val="center"/>
        </w:trPr>
        <w:tc>
          <w:tcPr>
            <w:tcW w:w="2848" w:type="dxa"/>
            <w:gridSpan w:val="2"/>
            <w:tcBorders>
              <w:top w:val="single" w:sz="4" w:space="0" w:color="auto"/>
              <w:left w:val="nil"/>
              <w:right w:val="nil"/>
            </w:tcBorders>
            <w:shd w:val="clear" w:color="auto" w:fill="auto"/>
            <w:noWrap/>
            <w:vAlign w:val="bottom"/>
          </w:tcPr>
          <w:p w:rsidR="00F94052" w:rsidRPr="00114204" w:rsidRDefault="00F94052" w:rsidP="00C11A31">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3300" w:type="dxa"/>
            <w:gridSpan w:val="3"/>
            <w:tcBorders>
              <w:top w:val="single" w:sz="4" w:space="0" w:color="auto"/>
              <w:left w:val="nil"/>
              <w:right w:val="nil"/>
            </w:tcBorders>
            <w:shd w:val="clear" w:color="auto" w:fill="auto"/>
            <w:noWrap/>
            <w:vAlign w:val="bottom"/>
          </w:tcPr>
          <w:p w:rsidR="00F94052" w:rsidRPr="00114204" w:rsidRDefault="00F94052"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Compensation leverage</w:t>
            </w:r>
          </w:p>
        </w:tc>
        <w:tc>
          <w:tcPr>
            <w:tcW w:w="3460" w:type="dxa"/>
            <w:gridSpan w:val="2"/>
            <w:tcBorders>
              <w:top w:val="single" w:sz="4" w:space="0" w:color="auto"/>
              <w:left w:val="nil"/>
              <w:right w:val="nil"/>
            </w:tcBorders>
            <w:shd w:val="clear" w:color="auto" w:fill="auto"/>
            <w:noWrap/>
            <w:vAlign w:val="bottom"/>
          </w:tcPr>
          <w:p w:rsidR="00F94052" w:rsidRPr="00114204" w:rsidRDefault="00F94052"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F94052" w:rsidRPr="00C34885" w:rsidTr="00166C3B">
        <w:trPr>
          <w:trHeight w:val="144"/>
          <w:jc w:val="center"/>
        </w:trPr>
        <w:tc>
          <w:tcPr>
            <w:tcW w:w="2848" w:type="dxa"/>
            <w:gridSpan w:val="2"/>
            <w:tcBorders>
              <w:left w:val="nil"/>
              <w:bottom w:val="single" w:sz="4" w:space="0" w:color="auto"/>
              <w:right w:val="nil"/>
            </w:tcBorders>
            <w:shd w:val="clear" w:color="auto" w:fill="auto"/>
            <w:noWrap/>
            <w:vAlign w:val="bottom"/>
            <w:hideMark/>
          </w:tcPr>
          <w:p w:rsidR="00F94052" w:rsidRPr="00114204" w:rsidRDefault="00F94052" w:rsidP="00C11A31">
            <w:pPr>
              <w:spacing w:after="0" w:line="240" w:lineRule="auto"/>
              <w:rPr>
                <w:rFonts w:ascii="Times New Roman" w:eastAsia="Times New Roman" w:hAnsi="Times New Roman"/>
                <w:sz w:val="17"/>
                <w:szCs w:val="17"/>
              </w:rPr>
            </w:pPr>
          </w:p>
        </w:tc>
        <w:tc>
          <w:tcPr>
            <w:tcW w:w="1747" w:type="dxa"/>
            <w:tcBorders>
              <w:left w:val="nil"/>
              <w:bottom w:val="single" w:sz="4" w:space="0" w:color="auto"/>
              <w:right w:val="nil"/>
            </w:tcBorders>
            <w:shd w:val="clear" w:color="auto" w:fill="auto"/>
            <w:noWrap/>
            <w:tcMar>
              <w:left w:w="29" w:type="dxa"/>
              <w:right w:w="29" w:type="dxa"/>
            </w:tcMar>
            <w:vAlign w:val="bottom"/>
          </w:tcPr>
          <w:p w:rsidR="00F94052" w:rsidRPr="00114204" w:rsidRDefault="00F94052"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Funded pension</w:t>
            </w:r>
          </w:p>
        </w:tc>
        <w:tc>
          <w:tcPr>
            <w:tcW w:w="1553" w:type="dxa"/>
            <w:gridSpan w:val="2"/>
            <w:tcBorders>
              <w:left w:val="nil"/>
              <w:bottom w:val="single" w:sz="4" w:space="0" w:color="auto"/>
              <w:right w:val="nil"/>
            </w:tcBorders>
            <w:shd w:val="clear" w:color="auto" w:fill="auto"/>
            <w:noWrap/>
            <w:tcMar>
              <w:left w:w="29" w:type="dxa"/>
              <w:right w:w="29" w:type="dxa"/>
            </w:tcMar>
            <w:vAlign w:val="bottom"/>
            <w:hideMark/>
          </w:tcPr>
          <w:p w:rsidR="00F94052" w:rsidRPr="00114204" w:rsidRDefault="00F94052"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Unfunded pension</w:t>
            </w:r>
          </w:p>
        </w:tc>
        <w:tc>
          <w:tcPr>
            <w:tcW w:w="1836" w:type="dxa"/>
            <w:tcBorders>
              <w:left w:val="nil"/>
              <w:bottom w:val="single" w:sz="4" w:space="0" w:color="auto"/>
              <w:right w:val="nil"/>
            </w:tcBorders>
            <w:shd w:val="clear" w:color="auto" w:fill="auto"/>
            <w:noWrap/>
            <w:tcMar>
              <w:left w:w="29" w:type="dxa"/>
              <w:right w:w="29" w:type="dxa"/>
            </w:tcMar>
            <w:vAlign w:val="bottom"/>
          </w:tcPr>
          <w:p w:rsidR="00F94052" w:rsidRPr="00114204" w:rsidRDefault="00F94052"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Funded pension</w:t>
            </w:r>
          </w:p>
        </w:tc>
        <w:tc>
          <w:tcPr>
            <w:tcW w:w="1624" w:type="dxa"/>
            <w:tcBorders>
              <w:left w:val="nil"/>
              <w:bottom w:val="single" w:sz="4" w:space="0" w:color="auto"/>
              <w:right w:val="nil"/>
            </w:tcBorders>
            <w:shd w:val="clear" w:color="auto" w:fill="auto"/>
            <w:noWrap/>
            <w:tcMar>
              <w:left w:w="29" w:type="dxa"/>
              <w:right w:w="29" w:type="dxa"/>
            </w:tcMar>
            <w:vAlign w:val="bottom"/>
          </w:tcPr>
          <w:p w:rsidR="00F94052" w:rsidRPr="00114204" w:rsidRDefault="00F94052"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Unfunded pension</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vAlign w:val="bottom"/>
            <w:hideMark/>
          </w:tcPr>
          <w:p w:rsidR="00F94052" w:rsidRPr="00C34885" w:rsidRDefault="00F94052" w:rsidP="00C11A31">
            <w:pPr>
              <w:spacing w:after="0" w:line="240" w:lineRule="auto"/>
              <w:rPr>
                <w:rFonts w:ascii="Times New Roman" w:eastAsia="Times New Roman" w:hAnsi="Times New Roman"/>
                <w:i/>
                <w:iCs/>
                <w:color w:val="000000"/>
                <w:sz w:val="17"/>
                <w:szCs w:val="17"/>
              </w:rPr>
            </w:pPr>
          </w:p>
        </w:tc>
        <w:tc>
          <w:tcPr>
            <w:tcW w:w="1962" w:type="dxa"/>
            <w:gridSpan w:val="2"/>
            <w:tcBorders>
              <w:top w:val="nil"/>
              <w:left w:val="nil"/>
              <w:bottom w:val="nil"/>
              <w:right w:val="nil"/>
            </w:tcBorders>
            <w:shd w:val="clear" w:color="auto" w:fill="auto"/>
            <w:noWrap/>
            <w:vAlign w:val="bottom"/>
          </w:tcPr>
          <w:p w:rsidR="00F94052" w:rsidRPr="00C34885" w:rsidRDefault="00F94052" w:rsidP="00C11A31">
            <w:pPr>
              <w:spacing w:after="0" w:line="240" w:lineRule="auto"/>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bottom"/>
          </w:tcPr>
          <w:p w:rsidR="00F94052" w:rsidRPr="00C34885" w:rsidRDefault="00F94052" w:rsidP="00C11A31">
            <w:pPr>
              <w:spacing w:after="0" w:line="240" w:lineRule="auto"/>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bottom"/>
          </w:tcPr>
          <w:p w:rsidR="00F94052" w:rsidRPr="00C34885" w:rsidRDefault="00F94052" w:rsidP="00C11A31">
            <w:pPr>
              <w:spacing w:after="0" w:line="240" w:lineRule="auto"/>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962" w:type="dxa"/>
            <w:gridSpan w:val="2"/>
            <w:tcBorders>
              <w:top w:val="nil"/>
              <w:left w:val="nil"/>
              <w:bottom w:val="nil"/>
              <w:right w:val="nil"/>
            </w:tcBorders>
            <w:shd w:val="clear" w:color="auto" w:fill="auto"/>
            <w:noWrap/>
            <w:vAlign w:val="bottom"/>
          </w:tcPr>
          <w:p w:rsidR="00F94052" w:rsidRPr="00CF0E95" w:rsidRDefault="00F94052" w:rsidP="00C11A31">
            <w:pPr>
              <w:spacing w:after="0" w:line="240" w:lineRule="auto"/>
              <w:jc w:val="center"/>
              <w:rPr>
                <w:rFonts w:ascii="Times New Roman" w:eastAsia="Times New Roman" w:hAnsi="Times New Roman"/>
                <w:color w:val="000000"/>
                <w:sz w:val="17"/>
                <w:szCs w:val="17"/>
                <w:vertAlign w:val="subscript"/>
              </w:rPr>
            </w:pPr>
            <w:r>
              <w:rPr>
                <w:rFonts w:ascii="Times New Roman" w:eastAsia="Times New Roman" w:hAnsi="Times New Roman"/>
                <w:color w:val="000000"/>
                <w:sz w:val="17"/>
                <w:szCs w:val="17"/>
              </w:rPr>
              <w:t>0.1626**</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-6.1427***</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p>
        </w:tc>
        <w:tc>
          <w:tcPr>
            <w:tcW w:w="162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(2.02)</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(-9.80)</w:t>
            </w:r>
          </w:p>
        </w:tc>
        <w:tc>
          <w:tcPr>
            <w:tcW w:w="1836" w:type="dxa"/>
            <w:tcBorders>
              <w:top w:val="nil"/>
              <w:left w:val="nil"/>
              <w:bottom w:val="nil"/>
              <w:right w:val="nil"/>
            </w:tcBorders>
            <w:shd w:val="clear" w:color="auto" w:fill="auto"/>
            <w:noWrap/>
            <w:vAlign w:val="bottom"/>
          </w:tcPr>
          <w:p w:rsidR="00F94052" w:rsidRPr="00045D5B"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962" w:type="dxa"/>
            <w:gridSpan w:val="2"/>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bottom"/>
            <w:hideMark/>
          </w:tcPr>
          <w:p w:rsidR="00F94052" w:rsidRPr="00045D5B"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-0.0013</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-0.8802***</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bottom"/>
            <w:hideMark/>
          </w:tcPr>
          <w:p w:rsidR="00F94052" w:rsidRPr="00045D5B"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(-0.07)</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(-3.70)</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-0.0018***</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-0.0219***</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-0.0021***</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-0.0050</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(-4.19)</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(-7.11)</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(-3.97)</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(-0.10)</w:t>
            </w:r>
            <w:r w:rsidRPr="00042AF2">
              <w:rPr>
                <w:rFonts w:ascii="Times New Roman" w:eastAsia="Times New Roman" w:hAnsi="Times New Roman"/>
                <w:color w:val="000000"/>
                <w:sz w:val="17"/>
                <w:szCs w:val="17"/>
              </w:rPr>
              <w:t xml:space="preserve"> </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-0.0056***</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0.0641***</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-0.0062</w:t>
            </w: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0.0969***</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(-2.98)</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(3.86)</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-3.11</w:t>
            </w:r>
            <w:r w:rsidRPr="00042AF2">
              <w:rPr>
                <w:rFonts w:ascii="Times New Roman" w:eastAsia="Times New Roman" w:hAnsi="Times New Roman"/>
                <w:color w:val="000000"/>
                <w:sz w:val="17"/>
                <w:szCs w:val="17"/>
              </w:rPr>
              <w:t>)</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(2.99)</w:t>
            </w:r>
            <w:r w:rsidRPr="00042AF2">
              <w:rPr>
                <w:rFonts w:ascii="Times New Roman" w:eastAsia="Times New Roman" w:hAnsi="Times New Roman"/>
                <w:color w:val="000000"/>
                <w:sz w:val="17"/>
                <w:szCs w:val="17"/>
              </w:rPr>
              <w:t xml:space="preserve"> </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r w:rsidRPr="00A526D7">
              <w:rPr>
                <w:rFonts w:ascii="Times New Roman" w:eastAsia="Times New Roman" w:hAnsi="Times New Roman"/>
                <w:color w:val="000000"/>
                <w:sz w:val="17"/>
                <w:szCs w:val="17"/>
              </w:rPr>
              <w:t>Log(income)</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-0.1517***</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-4.7780</w:t>
            </w:r>
            <w:r w:rsidRPr="00042AF2">
              <w:rPr>
                <w:rFonts w:ascii="Times New Roman" w:eastAsia="Times New Roman" w:hAnsi="Times New Roman"/>
                <w:color w:val="000000"/>
                <w:sz w:val="17"/>
                <w:szCs w:val="17"/>
              </w:rPr>
              <w:t>***</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-0.1696***</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-4.6329</w:t>
            </w:r>
            <w:r w:rsidRPr="00042AF2">
              <w:rPr>
                <w:rFonts w:ascii="Times New Roman" w:eastAsia="Times New Roman" w:hAnsi="Times New Roman"/>
                <w:color w:val="000000"/>
                <w:sz w:val="17"/>
                <w:szCs w:val="17"/>
              </w:rPr>
              <w:t>***</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(-8.88)</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(-15.73)</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(-9.58)</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(-14.45)</w:t>
            </w:r>
            <w:r w:rsidRPr="00042AF2">
              <w:rPr>
                <w:rFonts w:ascii="Times New Roman" w:eastAsia="Times New Roman" w:hAnsi="Times New Roman"/>
                <w:color w:val="000000"/>
                <w:sz w:val="17"/>
                <w:szCs w:val="17"/>
              </w:rPr>
              <w:t xml:space="preserve"> </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C91DF3" w:rsidP="00943C2D">
            <w:pPr>
              <w:spacing w:after="0" w:line="240" w:lineRule="auto"/>
              <w:rPr>
                <w:rFonts w:ascii="Times New Roman" w:eastAsia="Times New Roman" w:hAnsi="Times New Roman"/>
                <w:color w:val="000000"/>
                <w:sz w:val="17"/>
                <w:szCs w:val="17"/>
              </w:rPr>
            </w:pPr>
            <w:r w:rsidRPr="00C91DF3">
              <w:rPr>
                <w:rFonts w:ascii="Times New Roman" w:eastAsia="Times New Roman" w:hAnsi="Times New Roman"/>
                <w:color w:val="000000"/>
                <w:sz w:val="17"/>
                <w:szCs w:val="17"/>
              </w:rPr>
              <w:t>C</w:t>
            </w:r>
            <w:r w:rsidR="00943C2D" w:rsidRPr="00C91DF3">
              <w:rPr>
                <w:rFonts w:ascii="Times New Roman" w:eastAsia="Times New Roman" w:hAnsi="Times New Roman"/>
                <w:color w:val="000000"/>
                <w:sz w:val="17"/>
                <w:szCs w:val="17"/>
              </w:rPr>
              <w:t>ash d</w:t>
            </w:r>
            <w:r w:rsidR="00F94052" w:rsidRPr="00C91DF3">
              <w:rPr>
                <w:rFonts w:ascii="Times New Roman" w:eastAsia="Times New Roman" w:hAnsi="Times New Roman"/>
                <w:color w:val="000000"/>
                <w:sz w:val="17"/>
                <w:szCs w:val="17"/>
              </w:rPr>
              <w:t>ividend</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r w:rsidRPr="00042AF2">
              <w:rPr>
                <w:rFonts w:ascii="Times New Roman" w:eastAsia="Times New Roman" w:hAnsi="Times New Roman"/>
                <w:color w:val="000000"/>
                <w:sz w:val="17"/>
                <w:szCs w:val="17"/>
              </w:rPr>
              <w:t>***</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0.0009***</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(6.44)</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(4.03)</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6.07</w:t>
            </w:r>
            <w:r w:rsidRPr="00042AF2">
              <w:rPr>
                <w:rFonts w:ascii="Times New Roman" w:eastAsia="Times New Roman" w:hAnsi="Times New Roman"/>
                <w:color w:val="000000"/>
                <w:sz w:val="17"/>
                <w:szCs w:val="17"/>
              </w:rPr>
              <w:t>)</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3.84</w:t>
            </w:r>
            <w:r w:rsidRPr="00042AF2">
              <w:rPr>
                <w:rFonts w:ascii="Times New Roman" w:eastAsia="Times New Roman" w:hAnsi="Times New Roman"/>
                <w:color w:val="000000"/>
                <w:sz w:val="17"/>
                <w:szCs w:val="17"/>
              </w:rPr>
              <w:t>)</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0.2761***</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5.3788***</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0.3090***</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4.7953***</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(8.74)</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(10.12)</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(6.87)</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(8.20)</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-0.0004</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-0.0005**</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-0.0003</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-0.0004</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(-0.54)</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(-2.05)</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(-0.39)</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-1.73</w:t>
            </w:r>
            <w:r w:rsidRPr="00042AF2">
              <w:rPr>
                <w:rFonts w:ascii="Times New Roman" w:eastAsia="Times New Roman" w:hAnsi="Times New Roman"/>
                <w:color w:val="000000"/>
                <w:sz w:val="17"/>
                <w:szCs w:val="17"/>
              </w:rPr>
              <w:t>)</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1769BD">
            <w:pPr>
              <w:spacing w:after="0" w:line="240" w:lineRule="auto"/>
              <w:rPr>
                <w:rFonts w:ascii="Times New Roman" w:eastAsia="Times New Roman" w:hAnsi="Times New Roman"/>
                <w:color w:val="000000"/>
                <w:sz w:val="17"/>
                <w:szCs w:val="17"/>
              </w:rPr>
            </w:pPr>
            <w:r w:rsidRPr="001769BD">
              <w:rPr>
                <w:rFonts w:ascii="Times New Roman" w:eastAsia="Times New Roman" w:hAnsi="Times New Roman"/>
                <w:color w:val="000000"/>
                <w:sz w:val="17"/>
                <w:szCs w:val="17"/>
              </w:rPr>
              <w:t xml:space="preserve">Debt/equity </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-0.0123***</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-0.0028</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-0.0077</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-0.0105</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(-6.61)</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(-0.41)</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(-1.36)</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-1.44)</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F0E95" w:rsidRDefault="00F94052" w:rsidP="00C11A31">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0.0008</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(0.37)</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(0.79)</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1.06)</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0.84)</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-0.0002***</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0.0005</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-0.0002***</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-0.0004</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(-7.72)</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(0.99)</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(-4.29)</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(1.23)</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943C2D" w:rsidP="00943C2D">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Market b</w:t>
            </w:r>
            <w:r w:rsidR="00F94052">
              <w:rPr>
                <w:rFonts w:ascii="Times New Roman" w:eastAsia="Times New Roman" w:hAnsi="Times New Roman"/>
                <w:color w:val="000000"/>
                <w:sz w:val="17"/>
                <w:szCs w:val="17"/>
              </w:rPr>
              <w:t>eta</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-0.0888*</w:t>
            </w:r>
            <w:r w:rsidRPr="00042AF2">
              <w:rPr>
                <w:rFonts w:ascii="Times New Roman" w:eastAsia="Times New Roman" w:hAnsi="Times New Roman"/>
                <w:color w:val="000000"/>
                <w:sz w:val="17"/>
                <w:szCs w:val="17"/>
              </w:rPr>
              <w:t>*</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-0.2356</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-0.1251***</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0.3106</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(-2.30)</w:t>
            </w:r>
            <w:r w:rsidRPr="00042AF2">
              <w:rPr>
                <w:rFonts w:ascii="Times New Roman" w:eastAsia="Times New Roman" w:hAnsi="Times New Roman"/>
                <w:color w:val="000000"/>
                <w:sz w:val="17"/>
                <w:szCs w:val="17"/>
              </w:rPr>
              <w:t xml:space="preserve"> </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(0.67)</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-2.72)</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(0.90)</w:t>
            </w:r>
            <w:r w:rsidRPr="00042AF2">
              <w:rPr>
                <w:rFonts w:ascii="Times New Roman" w:eastAsia="Times New Roman" w:hAnsi="Times New Roman"/>
                <w:color w:val="000000"/>
                <w:sz w:val="17"/>
                <w:szCs w:val="17"/>
              </w:rPr>
              <w:t xml:space="preserve"> </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-0.1259***</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-1.2977**</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-0.1598***</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-1.0282</w:t>
            </w:r>
          </w:p>
        </w:tc>
      </w:tr>
      <w:tr w:rsidR="00F94052" w:rsidRPr="00C34885" w:rsidTr="00166C3B">
        <w:trPr>
          <w:trHeight w:val="144"/>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p>
        </w:tc>
        <w:tc>
          <w:tcPr>
            <w:tcW w:w="1962"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(-3.30)</w:t>
            </w:r>
          </w:p>
        </w:tc>
        <w:tc>
          <w:tcPr>
            <w:tcW w:w="1338"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(-2.01)</w:t>
            </w:r>
          </w:p>
        </w:tc>
        <w:tc>
          <w:tcPr>
            <w:tcW w:w="1836"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(-3.24)</w:t>
            </w:r>
          </w:p>
        </w:tc>
        <w:tc>
          <w:tcPr>
            <w:tcW w:w="162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(-1.43)</w:t>
            </w: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hRule="exact" w:val="72"/>
          <w:jc w:val="center"/>
        </w:trPr>
        <w:tc>
          <w:tcPr>
            <w:tcW w:w="2848" w:type="dxa"/>
            <w:gridSpan w:val="2"/>
            <w:tcBorders>
              <w:top w:val="nil"/>
              <w:left w:val="nil"/>
              <w:bottom w:val="nil"/>
              <w:right w:val="nil"/>
            </w:tcBorders>
            <w:shd w:val="clear" w:color="auto" w:fill="auto"/>
            <w:noWrap/>
            <w:tcMar>
              <w:left w:w="0" w:type="dxa"/>
              <w:right w:w="0" w:type="dxa"/>
            </w:tcMar>
            <w:vAlign w:val="bottom"/>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2848" w:type="dxa"/>
            <w:gridSpan w:val="2"/>
            <w:tcBorders>
              <w:top w:val="nil"/>
              <w:left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Observations</w:t>
            </w:r>
          </w:p>
        </w:tc>
        <w:tc>
          <w:tcPr>
            <w:tcW w:w="1962" w:type="dxa"/>
            <w:gridSpan w:val="2"/>
            <w:tcBorders>
              <w:top w:val="nil"/>
              <w:left w:val="nil"/>
              <w:right w:val="nil"/>
            </w:tcBorders>
            <w:shd w:val="clear" w:color="auto" w:fill="auto"/>
            <w:noWrap/>
            <w:vAlign w:val="bottom"/>
          </w:tcPr>
          <w:p w:rsidR="00F94052" w:rsidRPr="0040175C"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317</w:t>
            </w:r>
          </w:p>
        </w:tc>
        <w:tc>
          <w:tcPr>
            <w:tcW w:w="1338" w:type="dxa"/>
            <w:tcBorders>
              <w:top w:val="nil"/>
              <w:left w:val="nil"/>
              <w:right w:val="nil"/>
            </w:tcBorders>
            <w:shd w:val="clear" w:color="auto" w:fill="auto"/>
            <w:noWrap/>
            <w:vAlign w:val="bottom"/>
            <w:hideMark/>
          </w:tcPr>
          <w:p w:rsidR="00F94052" w:rsidRPr="0040175C"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F43F1A">
              <w:rPr>
                <w:rFonts w:ascii="Times New Roman" w:eastAsia="Times New Roman" w:hAnsi="Times New Roman"/>
                <w:color w:val="000000"/>
                <w:sz w:val="17"/>
                <w:szCs w:val="17"/>
              </w:rPr>
              <w:t>,</w:t>
            </w:r>
            <w:r>
              <w:rPr>
                <w:rFonts w:ascii="Times New Roman" w:eastAsia="Times New Roman" w:hAnsi="Times New Roman"/>
                <w:color w:val="000000"/>
                <w:sz w:val="17"/>
                <w:szCs w:val="17"/>
              </w:rPr>
              <w:t>031</w:t>
            </w:r>
          </w:p>
        </w:tc>
        <w:tc>
          <w:tcPr>
            <w:tcW w:w="1836" w:type="dxa"/>
            <w:tcBorders>
              <w:top w:val="nil"/>
              <w:left w:val="nil"/>
              <w:right w:val="nil"/>
            </w:tcBorders>
            <w:shd w:val="clear" w:color="auto" w:fill="auto"/>
            <w:noWrap/>
            <w:vAlign w:val="bottom"/>
          </w:tcPr>
          <w:p w:rsidR="00F94052" w:rsidRPr="0040175C"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291</w:t>
            </w:r>
          </w:p>
        </w:tc>
        <w:tc>
          <w:tcPr>
            <w:tcW w:w="1624" w:type="dxa"/>
            <w:tcBorders>
              <w:top w:val="nil"/>
              <w:left w:val="nil"/>
              <w:right w:val="nil"/>
            </w:tcBorders>
            <w:shd w:val="clear" w:color="auto" w:fill="auto"/>
            <w:noWrap/>
            <w:vAlign w:val="bottom"/>
          </w:tcPr>
          <w:p w:rsidR="00F94052" w:rsidRPr="0040175C"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996</w:t>
            </w:r>
          </w:p>
        </w:tc>
      </w:tr>
      <w:tr w:rsidR="00F94052" w:rsidRPr="00C34885" w:rsidTr="00166C3B">
        <w:trPr>
          <w:gridBefore w:val="1"/>
          <w:wBefore w:w="6" w:type="dxa"/>
          <w:trHeight w:hRule="exact" w:val="72"/>
          <w:jc w:val="center"/>
        </w:trPr>
        <w:tc>
          <w:tcPr>
            <w:tcW w:w="2842" w:type="dxa"/>
            <w:tcBorders>
              <w:top w:val="nil"/>
              <w:left w:val="nil"/>
              <w:bottom w:val="single" w:sz="4" w:space="0" w:color="auto"/>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62" w:type="dxa"/>
            <w:gridSpan w:val="2"/>
            <w:tcBorders>
              <w:top w:val="nil"/>
              <w:left w:val="nil"/>
              <w:bottom w:val="single" w:sz="4" w:space="0" w:color="auto"/>
              <w:right w:val="nil"/>
            </w:tcBorders>
            <w:shd w:val="clear" w:color="auto" w:fill="auto"/>
            <w:noWrap/>
            <w:vAlign w:val="bottom"/>
          </w:tcPr>
          <w:p w:rsidR="00F94052" w:rsidRDefault="00F94052" w:rsidP="00C11A31">
            <w:pPr>
              <w:spacing w:after="0" w:line="240" w:lineRule="auto"/>
              <w:jc w:val="center"/>
              <w:rPr>
                <w:rFonts w:ascii="Times New Roman" w:eastAsia="Times New Roman" w:hAnsi="Times New Roman"/>
                <w:sz w:val="17"/>
                <w:szCs w:val="17"/>
              </w:rPr>
            </w:pPr>
          </w:p>
        </w:tc>
        <w:tc>
          <w:tcPr>
            <w:tcW w:w="1338" w:type="dxa"/>
            <w:tcBorders>
              <w:top w:val="nil"/>
              <w:left w:val="nil"/>
              <w:bottom w:val="single" w:sz="4" w:space="0" w:color="auto"/>
              <w:right w:val="nil"/>
            </w:tcBorders>
            <w:shd w:val="clear" w:color="auto" w:fill="auto"/>
            <w:noWrap/>
            <w:vAlign w:val="bottom"/>
            <w:hideMark/>
          </w:tcPr>
          <w:p w:rsidR="00F94052" w:rsidRDefault="00F94052" w:rsidP="00C11A31">
            <w:pPr>
              <w:spacing w:after="0" w:line="240" w:lineRule="auto"/>
              <w:jc w:val="center"/>
              <w:rPr>
                <w:rFonts w:ascii="Times New Roman" w:eastAsia="Times New Roman" w:hAnsi="Times New Roman"/>
                <w:sz w:val="17"/>
                <w:szCs w:val="17"/>
              </w:rPr>
            </w:pPr>
          </w:p>
        </w:tc>
        <w:tc>
          <w:tcPr>
            <w:tcW w:w="1836" w:type="dxa"/>
            <w:tcBorders>
              <w:top w:val="nil"/>
              <w:left w:val="nil"/>
              <w:bottom w:val="single" w:sz="4" w:space="0" w:color="auto"/>
              <w:right w:val="nil"/>
            </w:tcBorders>
            <w:shd w:val="clear" w:color="auto" w:fill="auto"/>
            <w:noWrap/>
            <w:vAlign w:val="bottom"/>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624" w:type="dxa"/>
            <w:tcBorders>
              <w:top w:val="nil"/>
              <w:left w:val="nil"/>
              <w:bottom w:val="single" w:sz="4" w:space="0" w:color="auto"/>
              <w:right w:val="nil"/>
            </w:tcBorders>
            <w:shd w:val="clear" w:color="auto" w:fill="auto"/>
            <w:noWrap/>
            <w:vAlign w:val="bottom"/>
          </w:tcPr>
          <w:p w:rsidR="00F94052" w:rsidRPr="00C34885" w:rsidRDefault="00F94052" w:rsidP="00C11A31">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rPr>
          <w:rFonts w:ascii="Times New Roman" w:hAnsi="Times New Roman" w:cs="Times New Roman"/>
          <w:sz w:val="18"/>
          <w:szCs w:val="18"/>
        </w:rPr>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F94052" w:rsidRDefault="00F94052">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4942E7" w:rsidRDefault="004942E7" w:rsidP="004942E7">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 xml:space="preserve">Table 12: Regressions of firm dividend payout ratio by pension funding status </w:t>
      </w:r>
      <w:r w:rsidR="00C10DC7">
        <w:rPr>
          <w:rFonts w:ascii="Times New Roman" w:eastAsia="Times New Roman" w:hAnsi="Times New Roman"/>
          <w:b/>
          <w:bCs/>
          <w:sz w:val="24"/>
          <w:szCs w:val="24"/>
        </w:rPr>
        <w:t>for all top executives</w:t>
      </w:r>
    </w:p>
    <w:p w:rsidR="004942E7" w:rsidRDefault="004942E7" w:rsidP="004942E7">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 xml:space="preserve">The table shows pooled </w:t>
      </w:r>
      <w:proofErr w:type="spellStart"/>
      <w:r w:rsidR="00E8767A">
        <w:rPr>
          <w:rFonts w:ascii="Times New Roman" w:eastAsia="Times New Roman" w:hAnsi="Times New Roman"/>
          <w:bCs/>
          <w:sz w:val="18"/>
          <w:szCs w:val="18"/>
        </w:rPr>
        <w:t>Tobit</w:t>
      </w:r>
      <w:proofErr w:type="spellEnd"/>
      <w:r>
        <w:rPr>
          <w:rFonts w:ascii="Times New Roman" w:eastAsia="Times New Roman" w:hAnsi="Times New Roman"/>
          <w:bCs/>
          <w:sz w:val="18"/>
          <w:szCs w:val="18"/>
        </w:rPr>
        <w:t xml:space="preserve"> regressions of a firm’s dividend payout</w:t>
      </w:r>
      <w:r w:rsidR="00F43F1A">
        <w:rPr>
          <w:rFonts w:ascii="Times New Roman" w:eastAsia="Times New Roman" w:hAnsi="Times New Roman"/>
          <w:bCs/>
          <w:sz w:val="18"/>
          <w:szCs w:val="18"/>
        </w:rPr>
        <w:t xml:space="preserve"> ratio on compensation leverage and</w:t>
      </w:r>
      <w:r>
        <w:rPr>
          <w:rFonts w:ascii="Times New Roman" w:eastAsia="Times New Roman" w:hAnsi="Times New Roman"/>
          <w:bCs/>
          <w:sz w:val="18"/>
          <w:szCs w:val="18"/>
        </w:rPr>
        <w:t xml:space="preserve"> inside debt</w:t>
      </w:r>
      <w:r w:rsidR="00F43F1A">
        <w:rPr>
          <w:rFonts w:ascii="Times New Roman" w:eastAsia="Times New Roman" w:hAnsi="Times New Roman"/>
          <w:bCs/>
          <w:sz w:val="18"/>
          <w:szCs w:val="18"/>
        </w:rPr>
        <w:t xml:space="preserve"> </w:t>
      </w:r>
      <w:r w:rsidR="00C10DC7">
        <w:rPr>
          <w:rFonts w:ascii="Times New Roman" w:eastAsia="Times New Roman" w:hAnsi="Times New Roman"/>
          <w:bCs/>
          <w:sz w:val="18"/>
          <w:szCs w:val="18"/>
        </w:rPr>
        <w:t>for all executives</w:t>
      </w:r>
      <w:r>
        <w:rPr>
          <w:rFonts w:ascii="Times New Roman" w:eastAsia="Times New Roman" w:hAnsi="Times New Roman"/>
          <w:bCs/>
          <w:sz w:val="18"/>
          <w:szCs w:val="18"/>
        </w:rPr>
        <w:t xml:space="preserve">, and a set of control variables (as defined in Table 1), separately for cases where the pensions are funded and unfunded by a rabbi trust. </w:t>
      </w:r>
      <w:r w:rsidRPr="007736B5">
        <w:rPr>
          <w:rFonts w:ascii="Times New Roman" w:hAnsi="Times New Roman" w:cs="Times New Roman"/>
          <w:sz w:val="18"/>
          <w:szCs w:val="18"/>
        </w:rPr>
        <w:t>The sample represent</w:t>
      </w:r>
      <w:r>
        <w:rPr>
          <w:rFonts w:ascii="Times New Roman" w:hAnsi="Times New Roman" w:cs="Times New Roman"/>
          <w:sz w:val="18"/>
          <w:szCs w:val="18"/>
        </w:rPr>
        <w:t>s</w:t>
      </w:r>
      <w:r w:rsidRPr="007736B5">
        <w:rPr>
          <w:rFonts w:ascii="Times New Roman" w:hAnsi="Times New Roman" w:cs="Times New Roman"/>
          <w:sz w:val="18"/>
          <w:szCs w:val="18"/>
        </w:rPr>
        <w:t xml:space="preserve"> data on 272 firms over the period 2000-2009.</w:t>
      </w:r>
      <w:r>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Pr>
          <w:rFonts w:ascii="Times New Roman" w:hAnsi="Times New Roman" w:cs="Times New Roman"/>
          <w:sz w:val="18"/>
          <w:szCs w:val="18"/>
        </w:rPr>
        <w:t xml:space="preserve"> regression coefficients and </w:t>
      </w:r>
      <w:r w:rsidR="00773E03" w:rsidRPr="00773E03">
        <w:rPr>
          <w:rFonts w:ascii="Times New Roman" w:hAnsi="Times New Roman" w:cs="Times New Roman"/>
          <w:i/>
          <w:sz w:val="18"/>
          <w:szCs w:val="18"/>
        </w:rPr>
        <w:t>t</w:t>
      </w:r>
      <w:r w:rsidR="00773E03">
        <w:rPr>
          <w:rFonts w:ascii="Times New Roman" w:hAnsi="Times New Roman" w:cs="Times New Roman"/>
          <w:sz w:val="18"/>
          <w:szCs w:val="18"/>
        </w:rPr>
        <w:t>-statistics</w:t>
      </w:r>
      <w:r>
        <w:rPr>
          <w:rFonts w:ascii="Times New Roman" w:hAnsi="Times New Roman" w:cs="Times New Roman"/>
          <w:sz w:val="18"/>
          <w:szCs w:val="18"/>
        </w:rPr>
        <w:t xml:space="preserve">, based on standard errors adjusted for </w:t>
      </w:r>
      <w:proofErr w:type="spellStart"/>
      <w:r>
        <w:rPr>
          <w:rFonts w:ascii="Times New Roman" w:hAnsi="Times New Roman" w:cs="Times New Roman"/>
          <w:sz w:val="18"/>
          <w:szCs w:val="18"/>
        </w:rPr>
        <w:t>heteroskedasticity</w:t>
      </w:r>
      <w:proofErr w:type="spellEnd"/>
      <w:r>
        <w:rPr>
          <w:rFonts w:ascii="Times New Roman" w:hAnsi="Times New Roman" w:cs="Times New Roman"/>
          <w:sz w:val="18"/>
          <w:szCs w:val="18"/>
        </w:rPr>
        <w:t xml:space="preserve"> and autocorr</w:t>
      </w:r>
      <w:r w:rsidR="00F43F1A">
        <w:rPr>
          <w:rFonts w:ascii="Times New Roman" w:hAnsi="Times New Roman" w:cs="Times New Roman"/>
          <w:sz w:val="18"/>
          <w:szCs w:val="18"/>
        </w:rPr>
        <w:t>elation following Rogers (1993), with year fixed effects.</w:t>
      </w:r>
      <w:r w:rsidR="00824FB6">
        <w:rPr>
          <w:rFonts w:ascii="Times New Roman" w:hAnsi="Times New Roman" w:cs="Times New Roman"/>
          <w:sz w:val="18"/>
          <w:szCs w:val="18"/>
        </w:rPr>
        <w:t xml:space="preserve"> *, **, *** indicate significance at the 0.1, 0.05, and 0.01 levels, respectively.</w:t>
      </w:r>
    </w:p>
    <w:p w:rsidR="004942E7" w:rsidRDefault="004942E7" w:rsidP="004942E7">
      <w:pPr>
        <w:spacing w:after="0" w:line="240" w:lineRule="auto"/>
        <w:jc w:val="both"/>
        <w:rPr>
          <w:rFonts w:ascii="Times New Roman" w:hAnsi="Times New Roman" w:cs="Times New Roman"/>
          <w:sz w:val="18"/>
          <w:szCs w:val="18"/>
        </w:rPr>
      </w:pPr>
    </w:p>
    <w:tbl>
      <w:tblPr>
        <w:tblW w:w="9608" w:type="dxa"/>
        <w:jc w:val="center"/>
        <w:tblLook w:val="04A0" w:firstRow="1" w:lastRow="0" w:firstColumn="1" w:lastColumn="0" w:noHBand="0" w:noVBand="1"/>
      </w:tblPr>
      <w:tblGrid>
        <w:gridCol w:w="216"/>
        <w:gridCol w:w="2802"/>
        <w:gridCol w:w="1705"/>
        <w:gridCol w:w="215"/>
        <w:gridCol w:w="1310"/>
        <w:gridCol w:w="1794"/>
        <w:gridCol w:w="1582"/>
      </w:tblGrid>
      <w:tr w:rsidR="00F94052" w:rsidRPr="00C34885" w:rsidTr="00166C3B">
        <w:trPr>
          <w:trHeight w:val="144"/>
          <w:jc w:val="center"/>
        </w:trPr>
        <w:tc>
          <w:tcPr>
            <w:tcW w:w="3002" w:type="dxa"/>
            <w:gridSpan w:val="2"/>
            <w:tcBorders>
              <w:top w:val="single" w:sz="4" w:space="0" w:color="auto"/>
              <w:left w:val="nil"/>
              <w:bottom w:val="single" w:sz="4" w:space="0" w:color="auto"/>
              <w:right w:val="nil"/>
            </w:tcBorders>
            <w:shd w:val="clear" w:color="auto" w:fill="auto"/>
            <w:noWrap/>
            <w:vAlign w:val="bottom"/>
            <w:hideMark/>
          </w:tcPr>
          <w:p w:rsidR="00F94052" w:rsidRPr="00114204" w:rsidRDefault="00F94052" w:rsidP="00C11A31">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 </w:t>
            </w:r>
          </w:p>
        </w:tc>
        <w:tc>
          <w:tcPr>
            <w:tcW w:w="6606" w:type="dxa"/>
            <w:gridSpan w:val="5"/>
            <w:tcBorders>
              <w:top w:val="single" w:sz="4" w:space="0" w:color="auto"/>
              <w:left w:val="nil"/>
              <w:bottom w:val="single" w:sz="4" w:space="0" w:color="auto"/>
              <w:right w:val="nil"/>
            </w:tcBorders>
            <w:shd w:val="clear" w:color="auto" w:fill="auto"/>
            <w:noWrap/>
            <w:vAlign w:val="bottom"/>
            <w:hideMark/>
          </w:tcPr>
          <w:p w:rsidR="00F94052" w:rsidRPr="00114204" w:rsidRDefault="00F94052"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 xml:space="preserve">Dependent variable: Dividend </w:t>
            </w:r>
            <w:r>
              <w:rPr>
                <w:rFonts w:ascii="Times New Roman" w:eastAsia="Times New Roman" w:hAnsi="Times New Roman"/>
                <w:sz w:val="17"/>
                <w:szCs w:val="17"/>
              </w:rPr>
              <w:t>payout ratio</w:t>
            </w:r>
            <w:r w:rsidRPr="00114204">
              <w:rPr>
                <w:rFonts w:ascii="Times New Roman" w:eastAsia="Times New Roman" w:hAnsi="Times New Roman"/>
                <w:sz w:val="17"/>
                <w:szCs w:val="17"/>
              </w:rPr>
              <w:t xml:space="preserve"> </w:t>
            </w:r>
          </w:p>
        </w:tc>
      </w:tr>
      <w:tr w:rsidR="00F94052" w:rsidRPr="00C34885" w:rsidTr="00166C3B">
        <w:trPr>
          <w:trHeight w:val="144"/>
          <w:jc w:val="center"/>
        </w:trPr>
        <w:tc>
          <w:tcPr>
            <w:tcW w:w="3002" w:type="dxa"/>
            <w:gridSpan w:val="2"/>
            <w:tcBorders>
              <w:top w:val="single" w:sz="4" w:space="0" w:color="auto"/>
              <w:left w:val="nil"/>
              <w:right w:val="nil"/>
            </w:tcBorders>
            <w:shd w:val="clear" w:color="auto" w:fill="auto"/>
            <w:noWrap/>
            <w:vAlign w:val="bottom"/>
          </w:tcPr>
          <w:p w:rsidR="00F94052" w:rsidRPr="00114204" w:rsidRDefault="00F94052" w:rsidP="00C11A31">
            <w:pPr>
              <w:spacing w:after="0" w:line="240" w:lineRule="auto"/>
              <w:rPr>
                <w:rFonts w:ascii="Times New Roman" w:eastAsia="Times New Roman" w:hAnsi="Times New Roman"/>
                <w:sz w:val="17"/>
                <w:szCs w:val="17"/>
              </w:rPr>
            </w:pPr>
            <w:r w:rsidRPr="00114204">
              <w:rPr>
                <w:rFonts w:ascii="Times New Roman" w:eastAsia="Times New Roman" w:hAnsi="Times New Roman"/>
                <w:sz w:val="17"/>
                <w:szCs w:val="17"/>
              </w:rPr>
              <w:t>Independent variable</w:t>
            </w:r>
          </w:p>
        </w:tc>
        <w:tc>
          <w:tcPr>
            <w:tcW w:w="3230" w:type="dxa"/>
            <w:gridSpan w:val="3"/>
            <w:tcBorders>
              <w:top w:val="single" w:sz="4" w:space="0" w:color="auto"/>
              <w:left w:val="nil"/>
              <w:right w:val="nil"/>
            </w:tcBorders>
            <w:shd w:val="clear" w:color="auto" w:fill="auto"/>
            <w:noWrap/>
            <w:vAlign w:val="bottom"/>
          </w:tcPr>
          <w:p w:rsidR="00F94052" w:rsidRPr="00114204" w:rsidRDefault="00F94052"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Compensation leverage</w:t>
            </w:r>
          </w:p>
        </w:tc>
        <w:tc>
          <w:tcPr>
            <w:tcW w:w="3376" w:type="dxa"/>
            <w:gridSpan w:val="2"/>
            <w:tcBorders>
              <w:top w:val="single" w:sz="4" w:space="0" w:color="auto"/>
              <w:left w:val="nil"/>
              <w:right w:val="nil"/>
            </w:tcBorders>
            <w:shd w:val="clear" w:color="auto" w:fill="auto"/>
            <w:noWrap/>
            <w:vAlign w:val="bottom"/>
          </w:tcPr>
          <w:p w:rsidR="00F94052" w:rsidRPr="00114204" w:rsidRDefault="00F94052" w:rsidP="00C11A31">
            <w:pPr>
              <w:spacing w:after="0" w:line="240" w:lineRule="auto"/>
              <w:jc w:val="center"/>
              <w:rPr>
                <w:rFonts w:ascii="Times New Roman" w:eastAsia="Times New Roman" w:hAnsi="Times New Roman"/>
                <w:sz w:val="17"/>
                <w:szCs w:val="17"/>
              </w:rPr>
            </w:pPr>
            <w:r w:rsidRPr="00114204">
              <w:rPr>
                <w:rFonts w:ascii="Times New Roman" w:eastAsia="Times New Roman" w:hAnsi="Times New Roman"/>
                <w:sz w:val="17"/>
                <w:szCs w:val="17"/>
              </w:rPr>
              <w:t>Inside debt</w:t>
            </w:r>
          </w:p>
        </w:tc>
      </w:tr>
      <w:tr w:rsidR="00F94052" w:rsidRPr="00C34885" w:rsidTr="00166C3B">
        <w:trPr>
          <w:trHeight w:val="144"/>
          <w:jc w:val="center"/>
        </w:trPr>
        <w:tc>
          <w:tcPr>
            <w:tcW w:w="3002" w:type="dxa"/>
            <w:gridSpan w:val="2"/>
            <w:tcBorders>
              <w:left w:val="nil"/>
              <w:bottom w:val="single" w:sz="4" w:space="0" w:color="auto"/>
              <w:right w:val="nil"/>
            </w:tcBorders>
            <w:shd w:val="clear" w:color="auto" w:fill="auto"/>
            <w:noWrap/>
            <w:vAlign w:val="bottom"/>
            <w:hideMark/>
          </w:tcPr>
          <w:p w:rsidR="00F94052" w:rsidRPr="00114204" w:rsidRDefault="00F94052" w:rsidP="00C11A31">
            <w:pPr>
              <w:spacing w:after="0" w:line="240" w:lineRule="auto"/>
              <w:rPr>
                <w:rFonts w:ascii="Times New Roman" w:eastAsia="Times New Roman" w:hAnsi="Times New Roman"/>
                <w:sz w:val="17"/>
                <w:szCs w:val="17"/>
              </w:rPr>
            </w:pPr>
          </w:p>
        </w:tc>
        <w:tc>
          <w:tcPr>
            <w:tcW w:w="1705" w:type="dxa"/>
            <w:tcBorders>
              <w:left w:val="nil"/>
              <w:bottom w:val="single" w:sz="4" w:space="0" w:color="auto"/>
              <w:right w:val="nil"/>
            </w:tcBorders>
            <w:shd w:val="clear" w:color="auto" w:fill="auto"/>
            <w:noWrap/>
            <w:tcMar>
              <w:left w:w="29" w:type="dxa"/>
              <w:right w:w="29" w:type="dxa"/>
            </w:tcMar>
            <w:vAlign w:val="bottom"/>
          </w:tcPr>
          <w:p w:rsidR="00F94052" w:rsidRPr="00114204" w:rsidRDefault="00F94052"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Funded pension</w:t>
            </w:r>
          </w:p>
        </w:tc>
        <w:tc>
          <w:tcPr>
            <w:tcW w:w="1525" w:type="dxa"/>
            <w:gridSpan w:val="2"/>
            <w:tcBorders>
              <w:left w:val="nil"/>
              <w:bottom w:val="single" w:sz="4" w:space="0" w:color="auto"/>
              <w:right w:val="nil"/>
            </w:tcBorders>
            <w:shd w:val="clear" w:color="auto" w:fill="auto"/>
            <w:noWrap/>
            <w:tcMar>
              <w:left w:w="29" w:type="dxa"/>
              <w:right w:w="29" w:type="dxa"/>
            </w:tcMar>
            <w:vAlign w:val="bottom"/>
            <w:hideMark/>
          </w:tcPr>
          <w:p w:rsidR="00F94052" w:rsidRPr="00114204" w:rsidRDefault="00F94052"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Unfunded pension</w:t>
            </w:r>
          </w:p>
        </w:tc>
        <w:tc>
          <w:tcPr>
            <w:tcW w:w="1794" w:type="dxa"/>
            <w:tcBorders>
              <w:left w:val="nil"/>
              <w:bottom w:val="single" w:sz="4" w:space="0" w:color="auto"/>
              <w:right w:val="nil"/>
            </w:tcBorders>
            <w:shd w:val="clear" w:color="auto" w:fill="auto"/>
            <w:noWrap/>
            <w:tcMar>
              <w:left w:w="29" w:type="dxa"/>
              <w:right w:w="29" w:type="dxa"/>
            </w:tcMar>
            <w:vAlign w:val="bottom"/>
          </w:tcPr>
          <w:p w:rsidR="00F94052" w:rsidRPr="00114204" w:rsidRDefault="00F94052"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Funded pension</w:t>
            </w:r>
          </w:p>
        </w:tc>
        <w:tc>
          <w:tcPr>
            <w:tcW w:w="1582" w:type="dxa"/>
            <w:tcBorders>
              <w:left w:val="nil"/>
              <w:bottom w:val="single" w:sz="4" w:space="0" w:color="auto"/>
              <w:right w:val="nil"/>
            </w:tcBorders>
            <w:shd w:val="clear" w:color="auto" w:fill="auto"/>
            <w:noWrap/>
            <w:tcMar>
              <w:left w:w="29" w:type="dxa"/>
              <w:right w:w="29" w:type="dxa"/>
            </w:tcMar>
            <w:vAlign w:val="bottom"/>
          </w:tcPr>
          <w:p w:rsidR="00F94052" w:rsidRPr="00114204" w:rsidRDefault="00F94052" w:rsidP="00C11A31">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Unfunded pension</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vAlign w:val="bottom"/>
            <w:hideMark/>
          </w:tcPr>
          <w:p w:rsidR="00F94052" w:rsidRPr="00C34885" w:rsidRDefault="00F94052" w:rsidP="00C11A31">
            <w:pPr>
              <w:spacing w:after="0" w:line="240" w:lineRule="auto"/>
              <w:rPr>
                <w:rFonts w:ascii="Times New Roman" w:eastAsia="Times New Roman" w:hAnsi="Times New Roman"/>
                <w:i/>
                <w:iCs/>
                <w:color w:val="000000"/>
                <w:sz w:val="17"/>
                <w:szCs w:val="17"/>
              </w:rPr>
            </w:pPr>
          </w:p>
        </w:tc>
        <w:tc>
          <w:tcPr>
            <w:tcW w:w="1920" w:type="dxa"/>
            <w:gridSpan w:val="2"/>
            <w:tcBorders>
              <w:top w:val="nil"/>
              <w:left w:val="nil"/>
              <w:bottom w:val="nil"/>
              <w:right w:val="nil"/>
            </w:tcBorders>
            <w:shd w:val="clear" w:color="auto" w:fill="auto"/>
            <w:noWrap/>
            <w:vAlign w:val="bottom"/>
          </w:tcPr>
          <w:p w:rsidR="00F94052" w:rsidRPr="00C34885" w:rsidRDefault="00F94052" w:rsidP="00C11A31">
            <w:pPr>
              <w:spacing w:after="0" w:line="240" w:lineRule="auto"/>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bottom"/>
          </w:tcPr>
          <w:p w:rsidR="00F94052" w:rsidRPr="00C34885" w:rsidRDefault="00F94052" w:rsidP="00C11A31">
            <w:pPr>
              <w:spacing w:after="0" w:line="240" w:lineRule="auto"/>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bottom"/>
          </w:tcPr>
          <w:p w:rsidR="00F94052" w:rsidRPr="00C34885" w:rsidRDefault="00F94052" w:rsidP="00C11A31">
            <w:pPr>
              <w:spacing w:after="0" w:line="240" w:lineRule="auto"/>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Compensation leverage</w:t>
            </w:r>
          </w:p>
        </w:tc>
        <w:tc>
          <w:tcPr>
            <w:tcW w:w="1920" w:type="dxa"/>
            <w:gridSpan w:val="2"/>
            <w:tcBorders>
              <w:top w:val="nil"/>
              <w:left w:val="nil"/>
              <w:bottom w:val="nil"/>
              <w:right w:val="nil"/>
            </w:tcBorders>
            <w:shd w:val="clear" w:color="auto" w:fill="auto"/>
            <w:noWrap/>
            <w:vAlign w:val="bottom"/>
          </w:tcPr>
          <w:p w:rsidR="00F94052" w:rsidRPr="00CF0E95" w:rsidRDefault="00F94052" w:rsidP="00C11A31">
            <w:pPr>
              <w:spacing w:after="0" w:line="240" w:lineRule="auto"/>
              <w:jc w:val="center"/>
              <w:rPr>
                <w:rFonts w:ascii="Times New Roman" w:eastAsia="Times New Roman" w:hAnsi="Times New Roman"/>
                <w:color w:val="000000"/>
                <w:sz w:val="17"/>
                <w:szCs w:val="17"/>
                <w:vertAlign w:val="subscript"/>
              </w:rPr>
            </w:pPr>
            <w:r>
              <w:rPr>
                <w:rFonts w:ascii="Times New Roman" w:eastAsia="Times New Roman" w:hAnsi="Times New Roman"/>
                <w:color w:val="000000"/>
                <w:sz w:val="17"/>
                <w:szCs w:val="17"/>
              </w:rPr>
              <w:t>0.1599*</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-3.3608***</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p>
        </w:tc>
        <w:tc>
          <w:tcPr>
            <w:tcW w:w="1582"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(1.96)</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(-7.49)</w:t>
            </w:r>
          </w:p>
        </w:tc>
        <w:tc>
          <w:tcPr>
            <w:tcW w:w="1794" w:type="dxa"/>
            <w:tcBorders>
              <w:top w:val="nil"/>
              <w:left w:val="nil"/>
              <w:bottom w:val="nil"/>
              <w:right w:val="nil"/>
            </w:tcBorders>
            <w:shd w:val="clear" w:color="auto" w:fill="auto"/>
            <w:noWrap/>
            <w:vAlign w:val="bottom"/>
          </w:tcPr>
          <w:p w:rsidR="00F94052" w:rsidRPr="00045D5B"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r>
              <w:rPr>
                <w:rFonts w:ascii="Times New Roman" w:eastAsia="Times New Roman" w:hAnsi="Times New Roman"/>
                <w:sz w:val="17"/>
                <w:szCs w:val="17"/>
              </w:rPr>
              <w:t>Inside debt</w:t>
            </w:r>
          </w:p>
        </w:tc>
        <w:tc>
          <w:tcPr>
            <w:tcW w:w="1920" w:type="dxa"/>
            <w:gridSpan w:val="2"/>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bottom"/>
            <w:hideMark/>
          </w:tcPr>
          <w:p w:rsidR="00F94052" w:rsidRPr="00045D5B"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-0.2495</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-0.1341***</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bottom"/>
            <w:hideMark/>
          </w:tcPr>
          <w:p w:rsidR="00F94052" w:rsidRPr="00045D5B"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(-1.41)</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(-4.70)</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Sal</w:t>
            </w:r>
            <w:r>
              <w:rPr>
                <w:rFonts w:ascii="Times New Roman" w:eastAsia="Times New Roman" w:hAnsi="Times New Roman"/>
                <w:sz w:val="17"/>
                <w:szCs w:val="17"/>
              </w:rPr>
              <w:t xml:space="preserve">ary and </w:t>
            </w:r>
            <w:r w:rsidRPr="00C34885">
              <w:rPr>
                <w:rFonts w:ascii="Times New Roman" w:eastAsia="Times New Roman" w:hAnsi="Times New Roman"/>
                <w:sz w:val="17"/>
                <w:szCs w:val="17"/>
              </w:rPr>
              <w:t>bonus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0.0002**</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-0.0031</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0.0026</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-0.0026***</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(2.34)</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(-1.41)</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(0.30)</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(-3.25)</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r>
              <w:rPr>
                <w:rFonts w:ascii="Times New Roman" w:eastAsia="Times New Roman" w:hAnsi="Times New Roman"/>
                <w:sz w:val="17"/>
                <w:szCs w:val="17"/>
              </w:rPr>
              <w:t>Stock-</w:t>
            </w:r>
            <w:r w:rsidRPr="00C34885">
              <w:rPr>
                <w:rFonts w:ascii="Times New Roman" w:eastAsia="Times New Roman" w:hAnsi="Times New Roman"/>
                <w:sz w:val="17"/>
                <w:szCs w:val="17"/>
              </w:rPr>
              <w:t>options</w:t>
            </w:r>
            <w:r>
              <w:rPr>
                <w:rFonts w:ascii="Times New Roman" w:eastAsia="Times New Roman" w:hAnsi="Times New Roman"/>
                <w:sz w:val="17"/>
                <w:szCs w:val="17"/>
              </w:rPr>
              <w:t>/a</w:t>
            </w:r>
            <w:r w:rsidRPr="00C34885">
              <w:rPr>
                <w:rFonts w:ascii="Times New Roman" w:eastAsia="Times New Roman" w:hAnsi="Times New Roman"/>
                <w:sz w:val="17"/>
                <w:szCs w:val="17"/>
              </w:rPr>
              <w:t>ssets</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-0.0042***</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0.0098</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0.0696</w:t>
            </w: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0.0075***</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(-4.60)</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(1.10)</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2.52)</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(3.73)</w:t>
            </w:r>
            <w:r w:rsidRPr="00042AF2">
              <w:rPr>
                <w:rFonts w:ascii="Times New Roman" w:eastAsia="Times New Roman" w:hAnsi="Times New Roman"/>
                <w:color w:val="000000"/>
                <w:sz w:val="17"/>
                <w:szCs w:val="17"/>
              </w:rPr>
              <w:t xml:space="preserve"> </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r w:rsidRPr="00A526D7">
              <w:rPr>
                <w:rFonts w:ascii="Times New Roman" w:eastAsia="Times New Roman" w:hAnsi="Times New Roman"/>
                <w:color w:val="000000"/>
                <w:sz w:val="17"/>
                <w:szCs w:val="17"/>
              </w:rPr>
              <w:t>Log(income)</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-0.0405</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-3.8623</w:t>
            </w:r>
            <w:r w:rsidRPr="00042AF2">
              <w:rPr>
                <w:rFonts w:ascii="Times New Roman" w:eastAsia="Times New Roman" w:hAnsi="Times New Roman"/>
                <w:color w:val="000000"/>
                <w:sz w:val="17"/>
                <w:szCs w:val="17"/>
              </w:rPr>
              <w:t>***</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-1.1169***</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-1.1797</w:t>
            </w:r>
            <w:r w:rsidRPr="00042AF2">
              <w:rPr>
                <w:rFonts w:ascii="Times New Roman" w:eastAsia="Times New Roman" w:hAnsi="Times New Roman"/>
                <w:color w:val="000000"/>
                <w:sz w:val="17"/>
                <w:szCs w:val="17"/>
              </w:rPr>
              <w:t>***</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(-1.34)</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(-22.51)</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(-8.75)</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(-20.41)</w:t>
            </w:r>
            <w:r w:rsidRPr="00042AF2">
              <w:rPr>
                <w:rFonts w:ascii="Times New Roman" w:eastAsia="Times New Roman" w:hAnsi="Times New Roman"/>
                <w:color w:val="000000"/>
                <w:sz w:val="17"/>
                <w:szCs w:val="17"/>
              </w:rPr>
              <w:t xml:space="preserve"> </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C91DF3" w:rsidP="00943C2D">
            <w:pPr>
              <w:spacing w:after="0" w:line="240" w:lineRule="auto"/>
              <w:rPr>
                <w:rFonts w:ascii="Times New Roman" w:eastAsia="Times New Roman" w:hAnsi="Times New Roman"/>
                <w:color w:val="000000"/>
                <w:sz w:val="17"/>
                <w:szCs w:val="17"/>
              </w:rPr>
            </w:pPr>
            <w:r w:rsidRPr="00C91DF3">
              <w:rPr>
                <w:rFonts w:ascii="Times New Roman" w:eastAsia="Times New Roman" w:hAnsi="Times New Roman"/>
                <w:color w:val="000000"/>
                <w:sz w:val="17"/>
                <w:szCs w:val="17"/>
              </w:rPr>
              <w:t>C</w:t>
            </w:r>
            <w:r w:rsidR="00943C2D" w:rsidRPr="00C91DF3">
              <w:rPr>
                <w:rFonts w:ascii="Times New Roman" w:eastAsia="Times New Roman" w:hAnsi="Times New Roman"/>
                <w:color w:val="000000"/>
                <w:sz w:val="17"/>
                <w:szCs w:val="17"/>
              </w:rPr>
              <w:t>ash d</w:t>
            </w:r>
            <w:r w:rsidR="00F94052" w:rsidRPr="00C91DF3">
              <w:rPr>
                <w:rFonts w:ascii="Times New Roman" w:eastAsia="Times New Roman" w:hAnsi="Times New Roman"/>
                <w:color w:val="000000"/>
                <w:sz w:val="17"/>
                <w:szCs w:val="17"/>
              </w:rPr>
              <w:t>ividend</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0.0009*</w:t>
            </w:r>
            <w:r w:rsidRPr="00042AF2">
              <w:rPr>
                <w:rFonts w:ascii="Times New Roman" w:eastAsia="Times New Roman" w:hAnsi="Times New Roman"/>
                <w:color w:val="000000"/>
                <w:sz w:val="17"/>
                <w:szCs w:val="17"/>
              </w:rPr>
              <w:t>**</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0.0022***</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0.0003***</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(5.58)</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(4.33)</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3.80</w:t>
            </w:r>
            <w:r w:rsidRPr="00042AF2">
              <w:rPr>
                <w:rFonts w:ascii="Times New Roman" w:eastAsia="Times New Roman" w:hAnsi="Times New Roman"/>
                <w:color w:val="000000"/>
                <w:sz w:val="17"/>
                <w:szCs w:val="17"/>
              </w:rPr>
              <w:t>)</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4.24)</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Log(</w:t>
            </w:r>
            <w:r w:rsidRPr="00A526D7">
              <w:rPr>
                <w:rFonts w:ascii="Times New Roman" w:eastAsia="Times New Roman" w:hAnsi="Times New Roman"/>
                <w:color w:val="000000"/>
                <w:sz w:val="17"/>
                <w:szCs w:val="17"/>
              </w:rPr>
              <w:t>size</w:t>
            </w:r>
            <w:r>
              <w:rPr>
                <w:rFonts w:ascii="Times New Roman" w:eastAsia="Times New Roman" w:hAnsi="Times New Roman"/>
                <w:color w:val="000000"/>
                <w:sz w:val="17"/>
                <w:szCs w:val="17"/>
              </w:rPr>
              <w:t>)</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0.0949*</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4.6164***</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1.6531***</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1.4351***</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(1.69)</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(10.68)</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(8.23)</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(9.49)</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Book-to-market ratio</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-0.0063**</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0.0165</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0.6773**</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0.0041</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(2.39)</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(1.46)</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(2.43)</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1.22)</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1769BD">
            <w:pPr>
              <w:spacing w:after="0" w:line="240" w:lineRule="auto"/>
              <w:rPr>
                <w:rFonts w:ascii="Times New Roman" w:eastAsia="Times New Roman" w:hAnsi="Times New Roman"/>
                <w:color w:val="000000"/>
                <w:sz w:val="17"/>
                <w:szCs w:val="17"/>
              </w:rPr>
            </w:pPr>
            <w:r w:rsidRPr="001769BD">
              <w:rPr>
                <w:rFonts w:ascii="Times New Roman" w:eastAsia="Times New Roman" w:hAnsi="Times New Roman"/>
                <w:color w:val="000000"/>
                <w:sz w:val="17"/>
                <w:szCs w:val="17"/>
              </w:rPr>
              <w:t xml:space="preserve">Debt/equity </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-0.0086**</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-0.0273</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-1.0250**</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-0.0075</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(-2.14)</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(-1.44)</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(-2.42)</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-1.55)</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F0E95" w:rsidRDefault="00F94052" w:rsidP="00C11A31">
            <w:pPr>
              <w:spacing w:after="0" w:line="240" w:lineRule="auto"/>
              <w:rPr>
                <w:rFonts w:ascii="Times New Roman" w:eastAsia="Times New Roman" w:hAnsi="Times New Roman"/>
                <w:iCs/>
                <w:color w:val="000000"/>
                <w:sz w:val="17"/>
                <w:szCs w:val="17"/>
              </w:rPr>
            </w:pPr>
            <w:r>
              <w:rPr>
                <w:rFonts w:ascii="Times New Roman" w:eastAsia="Times New Roman" w:hAnsi="Times New Roman"/>
                <w:iCs/>
                <w:color w:val="000000"/>
                <w:sz w:val="17"/>
                <w:szCs w:val="17"/>
              </w:rPr>
              <w:t>Capital expenditures/assets</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0.0004</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0.0009**</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0.0005**</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(1.85)</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(0.29)</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2.01)</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0.28)</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Cash flow operations/assets</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-0.0002***</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0.0003</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-0.0004</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(-5.05)</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(0.02)</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(0.38)</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(1.30)</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943C2D" w:rsidP="00943C2D">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Market b</w:t>
            </w:r>
            <w:r w:rsidR="00F94052">
              <w:rPr>
                <w:rFonts w:ascii="Times New Roman" w:eastAsia="Times New Roman" w:hAnsi="Times New Roman"/>
                <w:color w:val="000000"/>
                <w:sz w:val="17"/>
                <w:szCs w:val="17"/>
              </w:rPr>
              <w:t>eta</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-0.1872***</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0.0001</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-1.9725</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0.4143</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(-8.15)</w:t>
            </w:r>
            <w:r w:rsidRPr="00042AF2">
              <w:rPr>
                <w:rFonts w:ascii="Times New Roman" w:eastAsia="Times New Roman" w:hAnsi="Times New Roman"/>
                <w:color w:val="000000"/>
                <w:sz w:val="17"/>
                <w:szCs w:val="17"/>
              </w:rPr>
              <w:t xml:space="preserve"> </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(0.00)</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sidRPr="00042AF2">
              <w:rPr>
                <w:rFonts w:ascii="Times New Roman" w:eastAsia="Times New Roman" w:hAnsi="Times New Roman"/>
                <w:color w:val="000000"/>
                <w:sz w:val="17"/>
                <w:szCs w:val="17"/>
              </w:rPr>
              <w:t>(</w:t>
            </w:r>
            <w:r>
              <w:rPr>
                <w:rFonts w:ascii="Times New Roman" w:eastAsia="Times New Roman" w:hAnsi="Times New Roman"/>
                <w:color w:val="000000"/>
                <w:sz w:val="17"/>
                <w:szCs w:val="17"/>
              </w:rPr>
              <w:t>-1.56)</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(0.30)</w:t>
            </w:r>
            <w:r w:rsidRPr="00042AF2">
              <w:rPr>
                <w:rFonts w:ascii="Times New Roman" w:eastAsia="Times New Roman" w:hAnsi="Times New Roman"/>
                <w:color w:val="000000"/>
                <w:sz w:val="17"/>
                <w:szCs w:val="17"/>
              </w:rPr>
              <w:t xml:space="preserve"> </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color w:val="000000"/>
                <w:sz w:val="17"/>
                <w:szCs w:val="17"/>
              </w:rPr>
            </w:pP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Past stock return</w:t>
            </w: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-0.0633**</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-0.0866***</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-1.8489</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-0.0376***</w:t>
            </w:r>
          </w:p>
        </w:tc>
      </w:tr>
      <w:tr w:rsidR="00F94052" w:rsidRPr="00C34885" w:rsidTr="00166C3B">
        <w:trPr>
          <w:trHeight w:val="144"/>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042AF2" w:rsidRDefault="00F94052" w:rsidP="00C11A31">
            <w:pPr>
              <w:spacing w:after="0" w:line="240" w:lineRule="auto"/>
              <w:rPr>
                <w:rFonts w:ascii="Times New Roman" w:eastAsia="Times New Roman" w:hAnsi="Times New Roman"/>
                <w:color w:val="000000"/>
                <w:sz w:val="17"/>
                <w:szCs w:val="17"/>
              </w:rPr>
            </w:pPr>
          </w:p>
        </w:tc>
        <w:tc>
          <w:tcPr>
            <w:tcW w:w="1920" w:type="dxa"/>
            <w:gridSpan w:val="2"/>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(-2.06)</w:t>
            </w:r>
          </w:p>
        </w:tc>
        <w:tc>
          <w:tcPr>
            <w:tcW w:w="1310" w:type="dxa"/>
            <w:tcBorders>
              <w:top w:val="nil"/>
              <w:left w:val="nil"/>
              <w:bottom w:val="nil"/>
              <w:right w:val="nil"/>
            </w:tcBorders>
            <w:shd w:val="clear" w:color="auto" w:fill="auto"/>
            <w:noWrap/>
            <w:vAlign w:val="bottom"/>
            <w:hideMark/>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(-6.84)</w:t>
            </w:r>
          </w:p>
        </w:tc>
        <w:tc>
          <w:tcPr>
            <w:tcW w:w="1794"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(-0.96)</w:t>
            </w:r>
          </w:p>
        </w:tc>
        <w:tc>
          <w:tcPr>
            <w:tcW w:w="1582" w:type="dxa"/>
            <w:tcBorders>
              <w:top w:val="nil"/>
              <w:left w:val="nil"/>
              <w:bottom w:val="nil"/>
              <w:right w:val="nil"/>
            </w:tcBorders>
            <w:shd w:val="clear" w:color="auto" w:fill="auto"/>
            <w:noWrap/>
            <w:vAlign w:val="bottom"/>
          </w:tcPr>
          <w:p w:rsidR="00F94052" w:rsidRPr="00042AF2"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(-8.78)</w:t>
            </w: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hRule="exact" w:val="72"/>
          <w:jc w:val="center"/>
        </w:trPr>
        <w:tc>
          <w:tcPr>
            <w:tcW w:w="3002" w:type="dxa"/>
            <w:gridSpan w:val="2"/>
            <w:tcBorders>
              <w:top w:val="nil"/>
              <w:left w:val="nil"/>
              <w:bottom w:val="nil"/>
              <w:right w:val="nil"/>
            </w:tcBorders>
            <w:shd w:val="clear" w:color="auto" w:fill="auto"/>
            <w:noWrap/>
            <w:tcMar>
              <w:left w:w="0" w:type="dxa"/>
              <w:right w:w="0" w:type="dxa"/>
            </w:tcMar>
            <w:vAlign w:val="bottom"/>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nil"/>
              <w:right w:val="nil"/>
            </w:tcBorders>
            <w:shd w:val="clear" w:color="auto" w:fill="auto"/>
            <w:noWrap/>
            <w:vAlign w:val="center"/>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nil"/>
              <w:right w:val="nil"/>
            </w:tcBorders>
            <w:shd w:val="clear" w:color="auto" w:fill="auto"/>
            <w:noWrap/>
            <w:vAlign w:val="center"/>
          </w:tcPr>
          <w:p w:rsidR="00F94052" w:rsidRPr="00C34885" w:rsidRDefault="00F94052" w:rsidP="00C11A31">
            <w:pPr>
              <w:spacing w:after="0" w:line="240" w:lineRule="auto"/>
              <w:jc w:val="center"/>
              <w:rPr>
                <w:rFonts w:ascii="Times New Roman" w:eastAsia="Times New Roman" w:hAnsi="Times New Roman"/>
                <w:sz w:val="17"/>
                <w:szCs w:val="17"/>
              </w:rPr>
            </w:pPr>
          </w:p>
        </w:tc>
      </w:tr>
      <w:tr w:rsidR="00F94052" w:rsidRPr="00C34885" w:rsidTr="00166C3B">
        <w:trPr>
          <w:trHeight w:val="144"/>
          <w:jc w:val="center"/>
        </w:trPr>
        <w:tc>
          <w:tcPr>
            <w:tcW w:w="3002" w:type="dxa"/>
            <w:gridSpan w:val="2"/>
            <w:tcBorders>
              <w:top w:val="nil"/>
              <w:left w:val="nil"/>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r w:rsidRPr="00C34885">
              <w:rPr>
                <w:rFonts w:ascii="Times New Roman" w:eastAsia="Times New Roman" w:hAnsi="Times New Roman"/>
                <w:sz w:val="17"/>
                <w:szCs w:val="17"/>
              </w:rPr>
              <w:t>Observations</w:t>
            </w:r>
          </w:p>
        </w:tc>
        <w:tc>
          <w:tcPr>
            <w:tcW w:w="1920" w:type="dxa"/>
            <w:gridSpan w:val="2"/>
            <w:tcBorders>
              <w:top w:val="nil"/>
              <w:left w:val="nil"/>
              <w:right w:val="nil"/>
            </w:tcBorders>
            <w:shd w:val="clear" w:color="auto" w:fill="auto"/>
            <w:noWrap/>
            <w:vAlign w:val="bottom"/>
          </w:tcPr>
          <w:p w:rsidR="00F94052" w:rsidRPr="0040175C"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379</w:t>
            </w:r>
          </w:p>
        </w:tc>
        <w:tc>
          <w:tcPr>
            <w:tcW w:w="1310" w:type="dxa"/>
            <w:tcBorders>
              <w:top w:val="nil"/>
              <w:left w:val="nil"/>
              <w:right w:val="nil"/>
            </w:tcBorders>
            <w:shd w:val="clear" w:color="auto" w:fill="auto"/>
            <w:noWrap/>
            <w:vAlign w:val="bottom"/>
            <w:hideMark/>
          </w:tcPr>
          <w:p w:rsidR="00F94052" w:rsidRPr="0040175C"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F43F1A">
              <w:rPr>
                <w:rFonts w:ascii="Times New Roman" w:eastAsia="Times New Roman" w:hAnsi="Times New Roman"/>
                <w:color w:val="000000"/>
                <w:sz w:val="17"/>
                <w:szCs w:val="17"/>
              </w:rPr>
              <w:t>,</w:t>
            </w:r>
            <w:r>
              <w:rPr>
                <w:rFonts w:ascii="Times New Roman" w:eastAsia="Times New Roman" w:hAnsi="Times New Roman"/>
                <w:color w:val="000000"/>
                <w:sz w:val="17"/>
                <w:szCs w:val="17"/>
              </w:rPr>
              <w:t>249</w:t>
            </w:r>
          </w:p>
        </w:tc>
        <w:tc>
          <w:tcPr>
            <w:tcW w:w="1794" w:type="dxa"/>
            <w:tcBorders>
              <w:top w:val="nil"/>
              <w:left w:val="nil"/>
              <w:right w:val="nil"/>
            </w:tcBorders>
            <w:shd w:val="clear" w:color="auto" w:fill="auto"/>
            <w:noWrap/>
            <w:vAlign w:val="bottom"/>
          </w:tcPr>
          <w:p w:rsidR="00F94052" w:rsidRPr="0040175C"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354</w:t>
            </w:r>
          </w:p>
        </w:tc>
        <w:tc>
          <w:tcPr>
            <w:tcW w:w="1582" w:type="dxa"/>
            <w:tcBorders>
              <w:top w:val="nil"/>
              <w:left w:val="nil"/>
              <w:right w:val="nil"/>
            </w:tcBorders>
            <w:shd w:val="clear" w:color="auto" w:fill="auto"/>
            <w:noWrap/>
            <w:vAlign w:val="bottom"/>
          </w:tcPr>
          <w:p w:rsidR="00F94052" w:rsidRPr="0040175C" w:rsidRDefault="00F94052" w:rsidP="00C11A31">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1</w:t>
            </w:r>
            <w:r w:rsidR="00F43F1A">
              <w:rPr>
                <w:rFonts w:ascii="Times New Roman" w:eastAsia="Times New Roman" w:hAnsi="Times New Roman"/>
                <w:color w:val="000000"/>
                <w:sz w:val="17"/>
                <w:szCs w:val="17"/>
              </w:rPr>
              <w:t>,</w:t>
            </w:r>
            <w:r>
              <w:rPr>
                <w:rFonts w:ascii="Times New Roman" w:eastAsia="Times New Roman" w:hAnsi="Times New Roman"/>
                <w:color w:val="000000"/>
                <w:sz w:val="17"/>
                <w:szCs w:val="17"/>
              </w:rPr>
              <w:t>184</w:t>
            </w:r>
          </w:p>
        </w:tc>
      </w:tr>
      <w:tr w:rsidR="00F94052" w:rsidRPr="00C34885" w:rsidTr="00166C3B">
        <w:trPr>
          <w:gridBefore w:val="1"/>
          <w:wBefore w:w="216" w:type="dxa"/>
          <w:trHeight w:hRule="exact" w:val="72"/>
          <w:jc w:val="center"/>
        </w:trPr>
        <w:tc>
          <w:tcPr>
            <w:tcW w:w="2786" w:type="dxa"/>
            <w:tcBorders>
              <w:top w:val="nil"/>
              <w:left w:val="nil"/>
              <w:bottom w:val="single" w:sz="4" w:space="0" w:color="auto"/>
              <w:right w:val="nil"/>
            </w:tcBorders>
            <w:shd w:val="clear" w:color="auto" w:fill="auto"/>
            <w:noWrap/>
            <w:tcMar>
              <w:left w:w="0" w:type="dxa"/>
              <w:right w:w="0" w:type="dxa"/>
            </w:tcMar>
            <w:vAlign w:val="bottom"/>
            <w:hideMark/>
          </w:tcPr>
          <w:p w:rsidR="00F94052" w:rsidRPr="00C34885" w:rsidRDefault="00F94052" w:rsidP="00C11A31">
            <w:pPr>
              <w:spacing w:after="0" w:line="240" w:lineRule="auto"/>
              <w:rPr>
                <w:rFonts w:ascii="Times New Roman" w:eastAsia="Times New Roman" w:hAnsi="Times New Roman"/>
                <w:sz w:val="17"/>
                <w:szCs w:val="17"/>
              </w:rPr>
            </w:pPr>
          </w:p>
        </w:tc>
        <w:tc>
          <w:tcPr>
            <w:tcW w:w="1920" w:type="dxa"/>
            <w:gridSpan w:val="2"/>
            <w:tcBorders>
              <w:top w:val="nil"/>
              <w:left w:val="nil"/>
              <w:bottom w:val="single" w:sz="4" w:space="0" w:color="auto"/>
              <w:right w:val="nil"/>
            </w:tcBorders>
            <w:shd w:val="clear" w:color="auto" w:fill="auto"/>
            <w:noWrap/>
            <w:vAlign w:val="bottom"/>
          </w:tcPr>
          <w:p w:rsidR="00F94052" w:rsidRDefault="00F94052" w:rsidP="00C11A31">
            <w:pPr>
              <w:spacing w:after="0" w:line="240" w:lineRule="auto"/>
              <w:jc w:val="center"/>
              <w:rPr>
                <w:rFonts w:ascii="Times New Roman" w:eastAsia="Times New Roman" w:hAnsi="Times New Roman"/>
                <w:sz w:val="17"/>
                <w:szCs w:val="17"/>
              </w:rPr>
            </w:pPr>
          </w:p>
        </w:tc>
        <w:tc>
          <w:tcPr>
            <w:tcW w:w="1310" w:type="dxa"/>
            <w:tcBorders>
              <w:top w:val="nil"/>
              <w:left w:val="nil"/>
              <w:bottom w:val="single" w:sz="4" w:space="0" w:color="auto"/>
              <w:right w:val="nil"/>
            </w:tcBorders>
            <w:shd w:val="clear" w:color="auto" w:fill="auto"/>
            <w:noWrap/>
            <w:vAlign w:val="bottom"/>
            <w:hideMark/>
          </w:tcPr>
          <w:p w:rsidR="00F94052" w:rsidRDefault="00F94052" w:rsidP="00C11A31">
            <w:pPr>
              <w:spacing w:after="0" w:line="240" w:lineRule="auto"/>
              <w:jc w:val="center"/>
              <w:rPr>
                <w:rFonts w:ascii="Times New Roman" w:eastAsia="Times New Roman" w:hAnsi="Times New Roman"/>
                <w:sz w:val="17"/>
                <w:szCs w:val="17"/>
              </w:rPr>
            </w:pPr>
          </w:p>
        </w:tc>
        <w:tc>
          <w:tcPr>
            <w:tcW w:w="1794" w:type="dxa"/>
            <w:tcBorders>
              <w:top w:val="nil"/>
              <w:left w:val="nil"/>
              <w:bottom w:val="single" w:sz="4" w:space="0" w:color="auto"/>
              <w:right w:val="nil"/>
            </w:tcBorders>
            <w:shd w:val="clear" w:color="auto" w:fill="auto"/>
            <w:noWrap/>
            <w:vAlign w:val="bottom"/>
          </w:tcPr>
          <w:p w:rsidR="00F94052" w:rsidRPr="00C34885" w:rsidRDefault="00F94052" w:rsidP="00C11A31">
            <w:pPr>
              <w:spacing w:after="0" w:line="240" w:lineRule="auto"/>
              <w:jc w:val="center"/>
              <w:rPr>
                <w:rFonts w:ascii="Times New Roman" w:eastAsia="Times New Roman" w:hAnsi="Times New Roman"/>
                <w:sz w:val="17"/>
                <w:szCs w:val="17"/>
              </w:rPr>
            </w:pPr>
          </w:p>
        </w:tc>
        <w:tc>
          <w:tcPr>
            <w:tcW w:w="1582" w:type="dxa"/>
            <w:tcBorders>
              <w:top w:val="nil"/>
              <w:left w:val="nil"/>
              <w:bottom w:val="single" w:sz="4" w:space="0" w:color="auto"/>
              <w:right w:val="nil"/>
            </w:tcBorders>
            <w:shd w:val="clear" w:color="auto" w:fill="auto"/>
            <w:noWrap/>
            <w:vAlign w:val="bottom"/>
          </w:tcPr>
          <w:p w:rsidR="00F94052" w:rsidRPr="00C34885" w:rsidRDefault="00F94052" w:rsidP="00C11A31">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rPr>
          <w:rFonts w:ascii="Times New Roman" w:eastAsia="Times New Roman" w:hAnsi="Times New Roman"/>
          <w:b/>
          <w:bCs/>
          <w:sz w:val="24"/>
          <w:szCs w:val="24"/>
        </w:rPr>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F94052" w:rsidRDefault="00F94052">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4942E7" w:rsidRDefault="004942E7" w:rsidP="004942E7">
      <w:pPr>
        <w:spacing w:after="0" w:line="240" w:lineRule="auto"/>
        <w:jc w:val="both"/>
        <w:rPr>
          <w:rFonts w:ascii="Times New Roman" w:eastAsia="Times New Roman" w:hAnsi="Times New Roman"/>
          <w:b/>
          <w:bCs/>
          <w:sz w:val="24"/>
          <w:szCs w:val="24"/>
        </w:rPr>
      </w:pPr>
      <w:r w:rsidRPr="00A76E05">
        <w:rPr>
          <w:rFonts w:ascii="Times New Roman" w:eastAsia="Times New Roman" w:hAnsi="Times New Roman"/>
          <w:b/>
          <w:bCs/>
          <w:sz w:val="24"/>
          <w:szCs w:val="24"/>
        </w:rPr>
        <w:lastRenderedPageBreak/>
        <w:t>Table 1</w:t>
      </w:r>
      <w:r w:rsidR="00F94052" w:rsidRPr="00A76E05">
        <w:rPr>
          <w:rFonts w:ascii="Times New Roman" w:eastAsia="Times New Roman" w:hAnsi="Times New Roman"/>
          <w:b/>
          <w:bCs/>
          <w:sz w:val="24"/>
          <w:szCs w:val="24"/>
        </w:rPr>
        <w:t>3</w:t>
      </w:r>
      <w:r w:rsidRPr="00A76E05">
        <w:rPr>
          <w:rFonts w:ascii="Times New Roman" w:eastAsia="Times New Roman" w:hAnsi="Times New Roman"/>
          <w:b/>
          <w:bCs/>
          <w:sz w:val="24"/>
          <w:szCs w:val="24"/>
        </w:rPr>
        <w:t>: Robustness tests</w:t>
      </w:r>
    </w:p>
    <w:p w:rsidR="004942E7" w:rsidRPr="00824FB6" w:rsidRDefault="004942E7" w:rsidP="004942E7">
      <w:pPr>
        <w:spacing w:after="0" w:line="240" w:lineRule="auto"/>
        <w:jc w:val="both"/>
        <w:rPr>
          <w:rFonts w:ascii="Times New Roman" w:hAnsi="Times New Roman" w:cs="Times New Roman"/>
          <w:sz w:val="18"/>
          <w:szCs w:val="18"/>
        </w:rPr>
      </w:pPr>
      <w:r w:rsidRPr="007736B5">
        <w:rPr>
          <w:rFonts w:ascii="Times New Roman" w:eastAsia="Times New Roman" w:hAnsi="Times New Roman"/>
          <w:bCs/>
          <w:sz w:val="18"/>
          <w:szCs w:val="18"/>
        </w:rPr>
        <w:t>Th</w:t>
      </w:r>
      <w:r w:rsidR="00FC3B15">
        <w:rPr>
          <w:rFonts w:ascii="Times New Roman" w:eastAsia="Times New Roman" w:hAnsi="Times New Roman"/>
          <w:bCs/>
          <w:sz w:val="18"/>
          <w:szCs w:val="18"/>
        </w:rPr>
        <w:t>e</w:t>
      </w:r>
      <w:r w:rsidRPr="007736B5">
        <w:rPr>
          <w:rFonts w:ascii="Times New Roman" w:eastAsia="Times New Roman" w:hAnsi="Times New Roman"/>
          <w:bCs/>
          <w:sz w:val="18"/>
          <w:szCs w:val="18"/>
        </w:rPr>
        <w:t xml:space="preserve"> table </w:t>
      </w:r>
      <w:r>
        <w:rPr>
          <w:rFonts w:ascii="Times New Roman" w:eastAsia="Times New Roman" w:hAnsi="Times New Roman"/>
          <w:bCs/>
          <w:sz w:val="18"/>
          <w:szCs w:val="18"/>
        </w:rPr>
        <w:t>replicates the regressions in Tables 3 and 5 using different estimation procedures.</w:t>
      </w:r>
      <w:r w:rsidRPr="007736B5">
        <w:rPr>
          <w:rFonts w:ascii="Times New Roman" w:eastAsia="Times New Roman" w:hAnsi="Times New Roman"/>
          <w:bCs/>
          <w:sz w:val="18"/>
          <w:szCs w:val="18"/>
        </w:rPr>
        <w:t xml:space="preserve"> ‘Robust </w:t>
      </w:r>
      <w:r>
        <w:rPr>
          <w:rFonts w:ascii="Times New Roman" w:eastAsia="Times New Roman" w:hAnsi="Times New Roman"/>
          <w:bCs/>
          <w:sz w:val="18"/>
          <w:szCs w:val="18"/>
        </w:rPr>
        <w:t>f</w:t>
      </w:r>
      <w:r w:rsidRPr="007736B5">
        <w:rPr>
          <w:rFonts w:ascii="Times New Roman" w:eastAsia="Times New Roman" w:hAnsi="Times New Roman"/>
          <w:bCs/>
          <w:sz w:val="18"/>
          <w:szCs w:val="18"/>
        </w:rPr>
        <w:t xml:space="preserve">ixed </w:t>
      </w:r>
      <w:r>
        <w:rPr>
          <w:rFonts w:ascii="Times New Roman" w:eastAsia="Times New Roman" w:hAnsi="Times New Roman"/>
          <w:bCs/>
          <w:sz w:val="18"/>
          <w:szCs w:val="18"/>
        </w:rPr>
        <w:t>e</w:t>
      </w:r>
      <w:r w:rsidRPr="007736B5">
        <w:rPr>
          <w:rFonts w:ascii="Times New Roman" w:eastAsia="Times New Roman" w:hAnsi="Times New Roman"/>
          <w:bCs/>
          <w:sz w:val="18"/>
          <w:szCs w:val="18"/>
        </w:rPr>
        <w:t>ffects’</w:t>
      </w:r>
      <w:r w:rsidR="00FC3B15">
        <w:rPr>
          <w:rFonts w:ascii="Times New Roman" w:eastAsia="Times New Roman" w:hAnsi="Times New Roman"/>
          <w:bCs/>
          <w:sz w:val="18"/>
          <w:szCs w:val="18"/>
        </w:rPr>
        <w:t>, which</w:t>
      </w:r>
      <w:r w:rsidR="0070539B">
        <w:rPr>
          <w:rFonts w:ascii="Times New Roman" w:eastAsia="Times New Roman" w:hAnsi="Times New Roman"/>
          <w:bCs/>
          <w:sz w:val="18"/>
          <w:szCs w:val="18"/>
        </w:rPr>
        <w:t xml:space="preserve"> </w:t>
      </w:r>
      <w:r w:rsidRPr="007736B5">
        <w:rPr>
          <w:rFonts w:ascii="Times New Roman" w:eastAsia="Times New Roman" w:hAnsi="Times New Roman"/>
          <w:bCs/>
          <w:sz w:val="18"/>
          <w:szCs w:val="18"/>
        </w:rPr>
        <w:t xml:space="preserve">is a </w:t>
      </w:r>
      <w:r w:rsidR="00E84CDD">
        <w:rPr>
          <w:rFonts w:ascii="Times New Roman" w:eastAsia="Times New Roman" w:hAnsi="Times New Roman"/>
          <w:bCs/>
          <w:sz w:val="18"/>
          <w:szCs w:val="18"/>
        </w:rPr>
        <w:t>firm</w:t>
      </w:r>
      <w:r w:rsidRPr="007736B5">
        <w:rPr>
          <w:rFonts w:ascii="Times New Roman" w:eastAsia="Times New Roman" w:hAnsi="Times New Roman"/>
          <w:bCs/>
          <w:sz w:val="18"/>
          <w:szCs w:val="18"/>
        </w:rPr>
        <w:t>-specific fixed effects mo</w:t>
      </w:r>
      <w:r w:rsidR="00E84CDD">
        <w:rPr>
          <w:rFonts w:ascii="Times New Roman" w:eastAsia="Times New Roman" w:hAnsi="Times New Roman"/>
          <w:bCs/>
          <w:sz w:val="18"/>
          <w:szCs w:val="18"/>
        </w:rPr>
        <w:t>del with robust standard errors;</w:t>
      </w:r>
      <w:r w:rsidRPr="007736B5">
        <w:rPr>
          <w:rFonts w:ascii="Times New Roman" w:eastAsia="Times New Roman" w:hAnsi="Times New Roman"/>
          <w:bCs/>
          <w:sz w:val="18"/>
          <w:szCs w:val="18"/>
        </w:rPr>
        <w:t xml:space="preserve"> </w:t>
      </w:r>
      <w:proofErr w:type="spellStart"/>
      <w:r w:rsidRPr="007736B5">
        <w:rPr>
          <w:rFonts w:ascii="Times New Roman" w:eastAsia="Times New Roman" w:hAnsi="Times New Roman"/>
          <w:bCs/>
          <w:sz w:val="18"/>
          <w:szCs w:val="18"/>
        </w:rPr>
        <w:t>Fama-MacBeth</w:t>
      </w:r>
      <w:proofErr w:type="spellEnd"/>
      <w:r w:rsidRPr="007736B5">
        <w:rPr>
          <w:rFonts w:ascii="Times New Roman" w:eastAsia="Times New Roman" w:hAnsi="Times New Roman"/>
          <w:bCs/>
          <w:sz w:val="18"/>
          <w:szCs w:val="18"/>
        </w:rPr>
        <w:t xml:space="preserve"> (1973) regressions with 6 an</w:t>
      </w:r>
      <w:r w:rsidR="0070539B">
        <w:rPr>
          <w:rFonts w:ascii="Times New Roman" w:eastAsia="Times New Roman" w:hAnsi="Times New Roman"/>
          <w:bCs/>
          <w:sz w:val="18"/>
          <w:szCs w:val="18"/>
        </w:rPr>
        <w:t>nual cross-sections;</w:t>
      </w:r>
      <w:r>
        <w:rPr>
          <w:rFonts w:ascii="Times New Roman" w:eastAsia="Times New Roman" w:hAnsi="Times New Roman"/>
          <w:bCs/>
          <w:sz w:val="18"/>
          <w:szCs w:val="18"/>
        </w:rPr>
        <w:t xml:space="preserve"> and </w:t>
      </w:r>
      <w:r w:rsidRPr="007736B5">
        <w:rPr>
          <w:rFonts w:ascii="Times New Roman" w:eastAsia="Times New Roman" w:hAnsi="Times New Roman"/>
          <w:bCs/>
          <w:sz w:val="18"/>
          <w:szCs w:val="18"/>
        </w:rPr>
        <w:t xml:space="preserve">the same models with </w:t>
      </w:r>
      <w:proofErr w:type="spellStart"/>
      <w:r w:rsidRPr="007736B5">
        <w:rPr>
          <w:rFonts w:ascii="Times New Roman" w:eastAsia="Times New Roman" w:hAnsi="Times New Roman"/>
          <w:bCs/>
          <w:sz w:val="18"/>
          <w:szCs w:val="18"/>
        </w:rPr>
        <w:t>Newey</w:t>
      </w:r>
      <w:proofErr w:type="spellEnd"/>
      <w:r w:rsidRPr="007736B5">
        <w:rPr>
          <w:rFonts w:ascii="Times New Roman" w:eastAsia="Times New Roman" w:hAnsi="Times New Roman"/>
          <w:bCs/>
          <w:sz w:val="18"/>
          <w:szCs w:val="18"/>
        </w:rPr>
        <w:t>-West standard errors.</w:t>
      </w:r>
      <w:r w:rsidR="00824FB6">
        <w:rPr>
          <w:rFonts w:ascii="Times New Roman" w:eastAsia="Times New Roman" w:hAnsi="Times New Roman"/>
          <w:bCs/>
          <w:sz w:val="18"/>
          <w:szCs w:val="18"/>
        </w:rPr>
        <w:t xml:space="preserve"> </w:t>
      </w:r>
      <w:r w:rsidR="00824FB6">
        <w:rPr>
          <w:rFonts w:ascii="Times New Roman" w:hAnsi="Times New Roman" w:cs="Times New Roman"/>
          <w:sz w:val="18"/>
          <w:szCs w:val="18"/>
        </w:rPr>
        <w:t>*, **, *** indicate significance at the 0.1, 0.05, and 0.01 levels, respectively.</w:t>
      </w:r>
    </w:p>
    <w:p w:rsidR="004942E7" w:rsidRDefault="004942E7" w:rsidP="004942E7">
      <w:pPr>
        <w:spacing w:after="0" w:line="240" w:lineRule="auto"/>
        <w:jc w:val="both"/>
        <w:rPr>
          <w:rFonts w:ascii="Times New Roman" w:eastAsia="Times New Roman" w:hAnsi="Times New Roman"/>
          <w:bCs/>
          <w:sz w:val="18"/>
          <w:szCs w:val="18"/>
        </w:rPr>
      </w:pPr>
    </w:p>
    <w:tbl>
      <w:tblPr>
        <w:tblpPr w:leftFromText="180" w:rightFromText="180" w:vertAnchor="text" w:horzAnchor="margin" w:tblpXSpec="center" w:tblpY="1"/>
        <w:tblW w:w="9748" w:type="dxa"/>
        <w:tblLook w:val="04A0" w:firstRow="1" w:lastRow="0" w:firstColumn="1" w:lastColumn="0" w:noHBand="0" w:noVBand="1"/>
      </w:tblPr>
      <w:tblGrid>
        <w:gridCol w:w="2049"/>
        <w:gridCol w:w="2093"/>
        <w:gridCol w:w="1573"/>
        <w:gridCol w:w="1876"/>
        <w:gridCol w:w="7"/>
        <w:gridCol w:w="2214"/>
      </w:tblGrid>
      <w:tr w:rsidR="00F94052" w:rsidRPr="004B6E67" w:rsidTr="0039220B">
        <w:trPr>
          <w:trHeight w:val="255"/>
        </w:trPr>
        <w:tc>
          <w:tcPr>
            <w:tcW w:w="9748" w:type="dxa"/>
            <w:gridSpan w:val="6"/>
            <w:tcBorders>
              <w:top w:val="single" w:sz="4" w:space="0" w:color="auto"/>
            </w:tcBorders>
            <w:shd w:val="clear" w:color="auto" w:fill="auto"/>
            <w:noWrap/>
            <w:vAlign w:val="bottom"/>
            <w:hideMark/>
          </w:tcPr>
          <w:p w:rsidR="00F94052" w:rsidRPr="00F94052" w:rsidRDefault="00F94052" w:rsidP="00324C3A">
            <w:pPr>
              <w:spacing w:after="0" w:line="240" w:lineRule="auto"/>
              <w:rPr>
                <w:rFonts w:ascii="Times New Roman" w:eastAsia="Times New Roman" w:hAnsi="Times New Roman"/>
                <w:sz w:val="20"/>
                <w:szCs w:val="20"/>
              </w:rPr>
            </w:pPr>
            <w:r w:rsidRPr="00F94052">
              <w:rPr>
                <w:rFonts w:ascii="Times New Roman" w:eastAsia="Times New Roman" w:hAnsi="Times New Roman"/>
                <w:sz w:val="20"/>
                <w:szCs w:val="20"/>
              </w:rPr>
              <w:t xml:space="preserve">Panel A. Robustness </w:t>
            </w:r>
            <w:r w:rsidR="00324C3A">
              <w:rPr>
                <w:rFonts w:ascii="Times New Roman" w:eastAsia="Times New Roman" w:hAnsi="Times New Roman"/>
                <w:sz w:val="20"/>
                <w:szCs w:val="20"/>
              </w:rPr>
              <w:t>m</w:t>
            </w:r>
            <w:r w:rsidRPr="00F94052">
              <w:rPr>
                <w:rFonts w:ascii="Times New Roman" w:eastAsia="Times New Roman" w:hAnsi="Times New Roman"/>
                <w:sz w:val="20"/>
                <w:szCs w:val="20"/>
              </w:rPr>
              <w:t>odels for Table 3</w:t>
            </w:r>
          </w:p>
        </w:tc>
      </w:tr>
      <w:tr w:rsidR="004942E7" w:rsidRPr="004B6E67" w:rsidTr="0039220B">
        <w:trPr>
          <w:trHeight w:val="255"/>
        </w:trPr>
        <w:tc>
          <w:tcPr>
            <w:tcW w:w="2049" w:type="dxa"/>
            <w:shd w:val="clear" w:color="auto" w:fill="auto"/>
            <w:noWrap/>
            <w:vAlign w:val="bottom"/>
          </w:tcPr>
          <w:p w:rsidR="004942E7" w:rsidRPr="00C34885" w:rsidRDefault="004942E7" w:rsidP="00482839">
            <w:pPr>
              <w:spacing w:after="0" w:line="240" w:lineRule="auto"/>
              <w:rPr>
                <w:rFonts w:ascii="Times New Roman" w:eastAsia="Times New Roman" w:hAnsi="Times New Roman"/>
                <w:sz w:val="20"/>
                <w:szCs w:val="20"/>
              </w:rPr>
            </w:pPr>
          </w:p>
        </w:tc>
        <w:tc>
          <w:tcPr>
            <w:tcW w:w="7699" w:type="dxa"/>
            <w:gridSpan w:val="5"/>
            <w:tcBorders>
              <w:bottom w:val="single" w:sz="4" w:space="0" w:color="auto"/>
            </w:tcBorders>
            <w:shd w:val="clear" w:color="auto" w:fill="auto"/>
            <w:noWrap/>
            <w:vAlign w:val="bottom"/>
          </w:tcPr>
          <w:p w:rsidR="004942E7" w:rsidRPr="004B6E67" w:rsidRDefault="004942E7" w:rsidP="00F94052">
            <w:pPr>
              <w:spacing w:after="0" w:line="240" w:lineRule="auto"/>
              <w:jc w:val="center"/>
              <w:rPr>
                <w:rFonts w:ascii="Times New Roman" w:eastAsia="Times New Roman" w:hAnsi="Times New Roman"/>
                <w:sz w:val="20"/>
                <w:szCs w:val="20"/>
              </w:rPr>
            </w:pPr>
            <w:r w:rsidRPr="004B6E67">
              <w:rPr>
                <w:rFonts w:ascii="Times New Roman" w:eastAsia="Times New Roman" w:hAnsi="Times New Roman"/>
                <w:sz w:val="20"/>
                <w:szCs w:val="20"/>
              </w:rPr>
              <w:t xml:space="preserve">Dependent </w:t>
            </w:r>
            <w:r w:rsidR="00F94052">
              <w:rPr>
                <w:rFonts w:ascii="Times New Roman" w:eastAsia="Times New Roman" w:hAnsi="Times New Roman"/>
                <w:sz w:val="20"/>
                <w:szCs w:val="20"/>
              </w:rPr>
              <w:t>v</w:t>
            </w:r>
            <w:r w:rsidRPr="004B6E67">
              <w:rPr>
                <w:rFonts w:ascii="Times New Roman" w:eastAsia="Times New Roman" w:hAnsi="Times New Roman"/>
                <w:sz w:val="20"/>
                <w:szCs w:val="20"/>
              </w:rPr>
              <w:t xml:space="preserve">ariable: Dividend </w:t>
            </w:r>
            <w:r w:rsidR="00F94052">
              <w:rPr>
                <w:rFonts w:ascii="Times New Roman" w:eastAsia="Times New Roman" w:hAnsi="Times New Roman"/>
                <w:sz w:val="20"/>
                <w:szCs w:val="20"/>
              </w:rPr>
              <w:t>y</w:t>
            </w:r>
            <w:r w:rsidRPr="004B6E67">
              <w:rPr>
                <w:rFonts w:ascii="Times New Roman" w:eastAsia="Times New Roman" w:hAnsi="Times New Roman"/>
                <w:sz w:val="20"/>
                <w:szCs w:val="20"/>
              </w:rPr>
              <w:t>ield</w:t>
            </w:r>
          </w:p>
        </w:tc>
      </w:tr>
      <w:tr w:rsidR="005E60C4" w:rsidRPr="00C34885" w:rsidTr="0039220B">
        <w:trPr>
          <w:trHeight w:val="144"/>
        </w:trPr>
        <w:tc>
          <w:tcPr>
            <w:tcW w:w="2049" w:type="dxa"/>
            <w:shd w:val="clear" w:color="auto" w:fill="auto"/>
            <w:noWrap/>
            <w:vAlign w:val="center"/>
            <w:hideMark/>
          </w:tcPr>
          <w:p w:rsidR="005E60C4" w:rsidRPr="00830392" w:rsidRDefault="005E60C4" w:rsidP="005E60C4">
            <w:pPr>
              <w:spacing w:after="0" w:line="240" w:lineRule="auto"/>
              <w:jc w:val="center"/>
              <w:rPr>
                <w:rFonts w:ascii="Times New Roman" w:eastAsia="Times New Roman" w:hAnsi="Times New Roman"/>
                <w:sz w:val="17"/>
                <w:szCs w:val="17"/>
              </w:rPr>
            </w:pPr>
          </w:p>
        </w:tc>
        <w:tc>
          <w:tcPr>
            <w:tcW w:w="3634" w:type="dxa"/>
            <w:gridSpan w:val="2"/>
            <w:tcBorders>
              <w:top w:val="single" w:sz="4" w:space="0" w:color="auto"/>
            </w:tcBorders>
            <w:shd w:val="clear" w:color="auto" w:fill="auto"/>
            <w:noWrap/>
            <w:tcMar>
              <w:left w:w="0" w:type="dxa"/>
              <w:right w:w="0" w:type="dxa"/>
            </w:tcMar>
            <w:vAlign w:val="center"/>
            <w:hideMark/>
          </w:tcPr>
          <w:p w:rsidR="005E60C4" w:rsidRDefault="00976338" w:rsidP="00976338">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CEO</w:t>
            </w:r>
            <w:r w:rsidR="00EA213D">
              <w:rPr>
                <w:rFonts w:ascii="Times New Roman" w:eastAsia="Times New Roman" w:hAnsi="Times New Roman"/>
                <w:sz w:val="18"/>
                <w:szCs w:val="18"/>
              </w:rPr>
              <w:t xml:space="preserve"> only</w:t>
            </w:r>
          </w:p>
        </w:tc>
        <w:tc>
          <w:tcPr>
            <w:tcW w:w="4065" w:type="dxa"/>
            <w:gridSpan w:val="3"/>
            <w:tcBorders>
              <w:top w:val="single" w:sz="4" w:space="0" w:color="auto"/>
            </w:tcBorders>
            <w:shd w:val="clear" w:color="auto" w:fill="auto"/>
            <w:noWrap/>
            <w:tcMar>
              <w:left w:w="0" w:type="dxa"/>
              <w:right w:w="0" w:type="dxa"/>
            </w:tcMar>
            <w:vAlign w:val="center"/>
          </w:tcPr>
          <w:p w:rsidR="005E60C4" w:rsidRDefault="00976338" w:rsidP="005E60C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All executives</w:t>
            </w:r>
          </w:p>
        </w:tc>
      </w:tr>
      <w:tr w:rsidR="004942E7" w:rsidRPr="00C34885" w:rsidTr="0039220B">
        <w:trPr>
          <w:trHeight w:val="144"/>
        </w:trPr>
        <w:tc>
          <w:tcPr>
            <w:tcW w:w="2049" w:type="dxa"/>
            <w:shd w:val="clear" w:color="auto" w:fill="auto"/>
            <w:noWrap/>
            <w:vAlign w:val="center"/>
            <w:hideMark/>
          </w:tcPr>
          <w:p w:rsidR="004942E7" w:rsidRPr="00830392" w:rsidRDefault="004942E7" w:rsidP="005E60C4">
            <w:pPr>
              <w:spacing w:after="0" w:line="240" w:lineRule="auto"/>
              <w:jc w:val="center"/>
              <w:rPr>
                <w:rFonts w:ascii="Times New Roman" w:eastAsia="Times New Roman" w:hAnsi="Times New Roman"/>
                <w:sz w:val="17"/>
                <w:szCs w:val="17"/>
              </w:rPr>
            </w:pPr>
          </w:p>
        </w:tc>
        <w:tc>
          <w:tcPr>
            <w:tcW w:w="2077" w:type="dxa"/>
            <w:tcBorders>
              <w:bottom w:val="single" w:sz="4" w:space="0" w:color="auto"/>
            </w:tcBorders>
            <w:shd w:val="clear" w:color="auto" w:fill="auto"/>
            <w:noWrap/>
            <w:tcMar>
              <w:left w:w="0" w:type="dxa"/>
              <w:right w:w="0" w:type="dxa"/>
            </w:tcMar>
            <w:vAlign w:val="center"/>
            <w:hideMark/>
          </w:tcPr>
          <w:p w:rsidR="004942E7" w:rsidRPr="002830FE" w:rsidRDefault="004942E7" w:rsidP="005E60C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Compensation </w:t>
            </w:r>
            <w:r w:rsidR="005E60C4">
              <w:rPr>
                <w:rFonts w:ascii="Times New Roman" w:eastAsia="Times New Roman" w:hAnsi="Times New Roman"/>
                <w:sz w:val="18"/>
                <w:szCs w:val="18"/>
              </w:rPr>
              <w:t>l</w:t>
            </w:r>
            <w:r>
              <w:rPr>
                <w:rFonts w:ascii="Times New Roman" w:eastAsia="Times New Roman" w:hAnsi="Times New Roman"/>
                <w:sz w:val="18"/>
                <w:szCs w:val="18"/>
              </w:rPr>
              <w:t>everage</w:t>
            </w:r>
          </w:p>
        </w:tc>
        <w:tc>
          <w:tcPr>
            <w:tcW w:w="1557" w:type="dxa"/>
            <w:tcBorders>
              <w:bottom w:val="single" w:sz="4" w:space="0" w:color="auto"/>
            </w:tcBorders>
            <w:shd w:val="clear" w:color="auto" w:fill="auto"/>
            <w:noWrap/>
            <w:tcMar>
              <w:left w:w="0" w:type="dxa"/>
              <w:right w:w="0" w:type="dxa"/>
            </w:tcMar>
            <w:vAlign w:val="center"/>
          </w:tcPr>
          <w:p w:rsidR="004942E7" w:rsidRPr="002830FE" w:rsidRDefault="005E60C4" w:rsidP="005E60C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Inside debt</w:t>
            </w:r>
          </w:p>
        </w:tc>
        <w:tc>
          <w:tcPr>
            <w:tcW w:w="1867" w:type="dxa"/>
            <w:gridSpan w:val="2"/>
            <w:tcBorders>
              <w:bottom w:val="single" w:sz="4" w:space="0" w:color="auto"/>
            </w:tcBorders>
            <w:shd w:val="clear" w:color="auto" w:fill="auto"/>
            <w:noWrap/>
            <w:tcMar>
              <w:left w:w="0" w:type="dxa"/>
              <w:right w:w="0" w:type="dxa"/>
            </w:tcMar>
            <w:vAlign w:val="center"/>
          </w:tcPr>
          <w:p w:rsidR="004942E7" w:rsidRPr="002830FE" w:rsidRDefault="004942E7" w:rsidP="005E60C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Compensation</w:t>
            </w:r>
            <w:r w:rsidR="005E60C4">
              <w:rPr>
                <w:rFonts w:ascii="Times New Roman" w:eastAsia="Times New Roman" w:hAnsi="Times New Roman"/>
                <w:sz w:val="18"/>
                <w:szCs w:val="18"/>
              </w:rPr>
              <w:t xml:space="preserve"> l</w:t>
            </w:r>
            <w:r>
              <w:rPr>
                <w:rFonts w:ascii="Times New Roman" w:eastAsia="Times New Roman" w:hAnsi="Times New Roman"/>
                <w:sz w:val="18"/>
                <w:szCs w:val="18"/>
              </w:rPr>
              <w:t>everage</w:t>
            </w:r>
          </w:p>
        </w:tc>
        <w:tc>
          <w:tcPr>
            <w:tcW w:w="2198" w:type="dxa"/>
            <w:tcBorders>
              <w:bottom w:val="single" w:sz="4" w:space="0" w:color="auto"/>
            </w:tcBorders>
            <w:shd w:val="clear" w:color="auto" w:fill="auto"/>
            <w:noWrap/>
            <w:tcMar>
              <w:left w:w="0" w:type="dxa"/>
              <w:right w:w="0" w:type="dxa"/>
            </w:tcMar>
            <w:vAlign w:val="center"/>
          </w:tcPr>
          <w:p w:rsidR="004942E7" w:rsidRPr="002830FE" w:rsidRDefault="005E60C4" w:rsidP="005E60C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Inside debt</w:t>
            </w:r>
          </w:p>
        </w:tc>
      </w:tr>
      <w:tr w:rsidR="005E60C4" w:rsidRPr="00C34885" w:rsidTr="0039220B">
        <w:trPr>
          <w:trHeight w:hRule="exact" w:val="72"/>
        </w:trPr>
        <w:tc>
          <w:tcPr>
            <w:tcW w:w="2049" w:type="dxa"/>
            <w:shd w:val="clear" w:color="auto" w:fill="auto"/>
            <w:noWrap/>
            <w:vAlign w:val="bottom"/>
            <w:hideMark/>
          </w:tcPr>
          <w:p w:rsidR="005E60C4" w:rsidRDefault="005E60C4" w:rsidP="00482839">
            <w:pPr>
              <w:spacing w:after="0" w:line="240" w:lineRule="auto"/>
              <w:rPr>
                <w:rFonts w:ascii="Times New Roman" w:eastAsia="Times New Roman" w:hAnsi="Times New Roman"/>
                <w:sz w:val="17"/>
                <w:szCs w:val="17"/>
              </w:rPr>
            </w:pPr>
          </w:p>
        </w:tc>
        <w:tc>
          <w:tcPr>
            <w:tcW w:w="2077" w:type="dxa"/>
            <w:tcBorders>
              <w:top w:val="single" w:sz="4" w:space="0" w:color="auto"/>
            </w:tcBorders>
            <w:shd w:val="clear" w:color="auto" w:fill="auto"/>
            <w:noWrap/>
            <w:vAlign w:val="bottom"/>
            <w:hideMark/>
          </w:tcPr>
          <w:p w:rsidR="005E60C4" w:rsidRDefault="005E60C4" w:rsidP="00482839">
            <w:pPr>
              <w:spacing w:after="0" w:line="240" w:lineRule="auto"/>
              <w:jc w:val="center"/>
              <w:rPr>
                <w:rFonts w:ascii="Times New Roman" w:eastAsia="Times New Roman" w:hAnsi="Times New Roman"/>
                <w:sz w:val="17"/>
                <w:szCs w:val="17"/>
              </w:rPr>
            </w:pPr>
          </w:p>
        </w:tc>
        <w:tc>
          <w:tcPr>
            <w:tcW w:w="1557" w:type="dxa"/>
            <w:tcBorders>
              <w:top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860" w:type="dxa"/>
            <w:tcBorders>
              <w:top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2205" w:type="dxa"/>
            <w:gridSpan w:val="2"/>
            <w:tcBorders>
              <w:top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r>
      <w:tr w:rsidR="004942E7" w:rsidRPr="00C34885" w:rsidTr="0039220B">
        <w:trPr>
          <w:trHeight w:val="144"/>
        </w:trPr>
        <w:tc>
          <w:tcPr>
            <w:tcW w:w="2049" w:type="dxa"/>
            <w:shd w:val="clear" w:color="auto" w:fill="auto"/>
            <w:noWrap/>
            <w:vAlign w:val="bottom"/>
            <w:hideMark/>
          </w:tcPr>
          <w:p w:rsidR="004942E7" w:rsidRPr="00830392" w:rsidRDefault="004942E7" w:rsidP="00371A3A">
            <w:pPr>
              <w:spacing w:after="0" w:line="240" w:lineRule="auto"/>
              <w:rPr>
                <w:rFonts w:ascii="Times New Roman" w:eastAsia="Times New Roman" w:hAnsi="Times New Roman"/>
                <w:i/>
                <w:iCs/>
                <w:color w:val="000000"/>
                <w:sz w:val="17"/>
                <w:szCs w:val="17"/>
              </w:rPr>
            </w:pPr>
            <w:r>
              <w:rPr>
                <w:rFonts w:ascii="Times New Roman" w:eastAsia="Times New Roman" w:hAnsi="Times New Roman"/>
                <w:sz w:val="17"/>
                <w:szCs w:val="17"/>
              </w:rPr>
              <w:t xml:space="preserve">Original </w:t>
            </w:r>
            <w:r w:rsidR="00371A3A">
              <w:rPr>
                <w:rFonts w:ascii="Times New Roman" w:eastAsia="Times New Roman" w:hAnsi="Times New Roman"/>
                <w:sz w:val="17"/>
                <w:szCs w:val="17"/>
              </w:rPr>
              <w:t>r</w:t>
            </w:r>
            <w:r>
              <w:rPr>
                <w:rFonts w:ascii="Times New Roman" w:eastAsia="Times New Roman" w:hAnsi="Times New Roman"/>
                <w:sz w:val="17"/>
                <w:szCs w:val="17"/>
              </w:rPr>
              <w:t>esults</w:t>
            </w:r>
          </w:p>
        </w:tc>
        <w:tc>
          <w:tcPr>
            <w:tcW w:w="2077" w:type="dxa"/>
            <w:shd w:val="clear" w:color="auto" w:fill="auto"/>
            <w:noWrap/>
            <w:vAlign w:val="bottom"/>
            <w:hideMark/>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-3.1244***</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-0.0492*</w:t>
            </w:r>
          </w:p>
        </w:tc>
        <w:tc>
          <w:tcPr>
            <w:tcW w:w="1860"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w:t>
            </w:r>
            <w:r w:rsidRPr="00C34885">
              <w:rPr>
                <w:rFonts w:ascii="Times New Roman" w:eastAsia="Times New Roman" w:hAnsi="Times New Roman"/>
                <w:sz w:val="17"/>
                <w:szCs w:val="17"/>
              </w:rPr>
              <w:t>3</w:t>
            </w:r>
            <w:r>
              <w:rPr>
                <w:rFonts w:ascii="Times New Roman" w:eastAsia="Times New Roman" w:hAnsi="Times New Roman"/>
                <w:sz w:val="17"/>
                <w:szCs w:val="17"/>
              </w:rPr>
              <w:t>.2055</w:t>
            </w:r>
            <w:r w:rsidRPr="00C34885">
              <w:rPr>
                <w:rFonts w:ascii="Times New Roman" w:eastAsia="Times New Roman" w:hAnsi="Times New Roman"/>
                <w:sz w:val="17"/>
                <w:szCs w:val="17"/>
              </w:rPr>
              <w:t>***</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-0.0466</w:t>
            </w:r>
          </w:p>
        </w:tc>
      </w:tr>
      <w:tr w:rsidR="004942E7" w:rsidRPr="00C34885" w:rsidTr="0039220B">
        <w:trPr>
          <w:trHeight w:val="144"/>
        </w:trPr>
        <w:tc>
          <w:tcPr>
            <w:tcW w:w="2049" w:type="dxa"/>
            <w:shd w:val="clear" w:color="auto" w:fill="auto"/>
            <w:noWrap/>
            <w:vAlign w:val="bottom"/>
          </w:tcPr>
          <w:p w:rsidR="004942E7" w:rsidRPr="00830392" w:rsidRDefault="004942E7"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(-7.28)</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(-2.09)</w:t>
            </w:r>
          </w:p>
        </w:tc>
        <w:tc>
          <w:tcPr>
            <w:tcW w:w="1860"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-8.70</w:t>
            </w:r>
            <w:r w:rsidRPr="00C34885">
              <w:rPr>
                <w:rFonts w:ascii="Times New Roman" w:eastAsia="Times New Roman" w:hAnsi="Times New Roman"/>
                <w:sz w:val="17"/>
                <w:szCs w:val="17"/>
              </w:rPr>
              <w:t>)</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sidRPr="00C34885">
              <w:rPr>
                <w:rFonts w:ascii="Times New Roman" w:eastAsia="Times New Roman" w:hAnsi="Times New Roman"/>
                <w:sz w:val="17"/>
                <w:szCs w:val="17"/>
              </w:rPr>
              <w:t>(</w:t>
            </w:r>
            <w:r>
              <w:rPr>
                <w:rFonts w:ascii="Times New Roman" w:eastAsia="Times New Roman" w:hAnsi="Times New Roman"/>
                <w:sz w:val="17"/>
                <w:szCs w:val="17"/>
              </w:rPr>
              <w:t>-1.74)</w:t>
            </w:r>
          </w:p>
        </w:tc>
      </w:tr>
      <w:tr w:rsidR="005E60C4" w:rsidRPr="00C34885" w:rsidTr="0039220B">
        <w:trPr>
          <w:trHeight w:hRule="exact" w:val="72"/>
        </w:trPr>
        <w:tc>
          <w:tcPr>
            <w:tcW w:w="2049" w:type="dxa"/>
            <w:shd w:val="clear" w:color="auto" w:fill="auto"/>
            <w:noWrap/>
            <w:vAlign w:val="bottom"/>
          </w:tcPr>
          <w:p w:rsidR="005E60C4" w:rsidRPr="00830392" w:rsidRDefault="005E60C4"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557" w:type="dxa"/>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860" w:type="dxa"/>
            <w:shd w:val="clear" w:color="auto" w:fill="auto"/>
            <w:noWrap/>
            <w:vAlign w:val="bottom"/>
          </w:tcPr>
          <w:p w:rsidR="005E60C4" w:rsidRPr="00C34885" w:rsidRDefault="005E60C4" w:rsidP="00482839">
            <w:pPr>
              <w:spacing w:after="0" w:line="240" w:lineRule="auto"/>
              <w:jc w:val="center"/>
              <w:rPr>
                <w:rFonts w:ascii="Times New Roman" w:eastAsia="Times New Roman" w:hAnsi="Times New Roman"/>
                <w:sz w:val="17"/>
                <w:szCs w:val="17"/>
              </w:rPr>
            </w:pPr>
          </w:p>
        </w:tc>
        <w:tc>
          <w:tcPr>
            <w:tcW w:w="2205" w:type="dxa"/>
            <w:gridSpan w:val="2"/>
            <w:shd w:val="clear" w:color="auto" w:fill="auto"/>
            <w:noWrap/>
            <w:vAlign w:val="bottom"/>
          </w:tcPr>
          <w:p w:rsidR="005E60C4" w:rsidRPr="00C34885" w:rsidRDefault="005E60C4" w:rsidP="00482839">
            <w:pPr>
              <w:spacing w:after="0" w:line="240" w:lineRule="auto"/>
              <w:jc w:val="center"/>
              <w:rPr>
                <w:rFonts w:ascii="Times New Roman" w:eastAsia="Times New Roman" w:hAnsi="Times New Roman"/>
                <w:sz w:val="17"/>
                <w:szCs w:val="17"/>
              </w:rPr>
            </w:pPr>
          </w:p>
        </w:tc>
      </w:tr>
      <w:tr w:rsidR="004942E7" w:rsidRPr="00C34885" w:rsidTr="0039220B">
        <w:trPr>
          <w:trHeight w:val="144"/>
        </w:trPr>
        <w:tc>
          <w:tcPr>
            <w:tcW w:w="2049" w:type="dxa"/>
            <w:shd w:val="clear" w:color="auto" w:fill="auto"/>
            <w:noWrap/>
            <w:vAlign w:val="bottom"/>
          </w:tcPr>
          <w:p w:rsidR="004942E7" w:rsidRPr="00830392" w:rsidRDefault="004942E7" w:rsidP="00371A3A">
            <w:pPr>
              <w:spacing w:after="0" w:line="240" w:lineRule="auto"/>
              <w:rPr>
                <w:rFonts w:ascii="Times New Roman" w:eastAsia="Times New Roman" w:hAnsi="Times New Roman"/>
                <w:color w:val="000000"/>
                <w:sz w:val="17"/>
                <w:szCs w:val="17"/>
              </w:rPr>
            </w:pPr>
            <w:r w:rsidRPr="00830392">
              <w:rPr>
                <w:rFonts w:ascii="Times New Roman" w:eastAsia="Times New Roman" w:hAnsi="Times New Roman"/>
                <w:color w:val="000000"/>
                <w:sz w:val="17"/>
                <w:szCs w:val="17"/>
              </w:rPr>
              <w:t xml:space="preserve">Robust </w:t>
            </w:r>
            <w:r w:rsidR="00371A3A">
              <w:rPr>
                <w:rFonts w:ascii="Times New Roman" w:eastAsia="Times New Roman" w:hAnsi="Times New Roman"/>
                <w:color w:val="000000"/>
                <w:sz w:val="17"/>
                <w:szCs w:val="17"/>
              </w:rPr>
              <w:t>f</w:t>
            </w:r>
            <w:r w:rsidRPr="00830392">
              <w:rPr>
                <w:rFonts w:ascii="Times New Roman" w:eastAsia="Times New Roman" w:hAnsi="Times New Roman"/>
                <w:color w:val="000000"/>
                <w:sz w:val="17"/>
                <w:szCs w:val="17"/>
              </w:rPr>
              <w:t xml:space="preserve">ixed </w:t>
            </w:r>
            <w:r w:rsidR="00371A3A">
              <w:rPr>
                <w:rFonts w:ascii="Times New Roman" w:eastAsia="Times New Roman" w:hAnsi="Times New Roman"/>
                <w:color w:val="000000"/>
                <w:sz w:val="17"/>
                <w:szCs w:val="17"/>
              </w:rPr>
              <w:t>e</w:t>
            </w:r>
            <w:r w:rsidRPr="00830392">
              <w:rPr>
                <w:rFonts w:ascii="Times New Roman" w:eastAsia="Times New Roman" w:hAnsi="Times New Roman"/>
                <w:color w:val="000000"/>
                <w:sz w:val="17"/>
                <w:szCs w:val="17"/>
              </w:rPr>
              <w:t>ffects</w:t>
            </w: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-1.306***</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-0.059*</w:t>
            </w:r>
          </w:p>
        </w:tc>
        <w:tc>
          <w:tcPr>
            <w:tcW w:w="1860" w:type="dxa"/>
            <w:shd w:val="clear" w:color="auto" w:fill="auto"/>
            <w:noWrap/>
            <w:vAlign w:val="bottom"/>
          </w:tcPr>
          <w:p w:rsidR="004942E7" w:rsidRPr="00830392"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-1.269***</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-0.050*</w:t>
            </w:r>
          </w:p>
        </w:tc>
      </w:tr>
      <w:tr w:rsidR="004942E7" w:rsidRPr="00C34885" w:rsidTr="0039220B">
        <w:trPr>
          <w:trHeight w:val="144"/>
        </w:trPr>
        <w:tc>
          <w:tcPr>
            <w:tcW w:w="2049" w:type="dxa"/>
            <w:shd w:val="clear" w:color="auto" w:fill="auto"/>
            <w:noWrap/>
            <w:vAlign w:val="bottom"/>
          </w:tcPr>
          <w:p w:rsidR="004942E7" w:rsidRPr="00830392" w:rsidRDefault="004942E7"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(-5.67)</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(-1.80)</w:t>
            </w:r>
          </w:p>
        </w:tc>
        <w:tc>
          <w:tcPr>
            <w:tcW w:w="1860" w:type="dxa"/>
            <w:shd w:val="clear" w:color="auto" w:fill="auto"/>
            <w:noWrap/>
            <w:vAlign w:val="bottom"/>
          </w:tcPr>
          <w:p w:rsidR="004942E7" w:rsidRPr="00830392"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(-5.31)</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(-1.63)</w:t>
            </w:r>
          </w:p>
        </w:tc>
      </w:tr>
      <w:tr w:rsidR="005E60C4" w:rsidRPr="00C34885" w:rsidTr="0039220B">
        <w:trPr>
          <w:trHeight w:hRule="exact" w:val="72"/>
        </w:trPr>
        <w:tc>
          <w:tcPr>
            <w:tcW w:w="2049" w:type="dxa"/>
            <w:shd w:val="clear" w:color="auto" w:fill="auto"/>
            <w:noWrap/>
            <w:vAlign w:val="bottom"/>
          </w:tcPr>
          <w:p w:rsidR="005E60C4" w:rsidRPr="00830392" w:rsidRDefault="005E60C4"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557" w:type="dxa"/>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860" w:type="dxa"/>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2205" w:type="dxa"/>
            <w:gridSpan w:val="2"/>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r>
      <w:tr w:rsidR="004942E7" w:rsidRPr="00C34885" w:rsidTr="0039220B">
        <w:trPr>
          <w:trHeight w:val="144"/>
        </w:trPr>
        <w:tc>
          <w:tcPr>
            <w:tcW w:w="2049" w:type="dxa"/>
            <w:shd w:val="clear" w:color="auto" w:fill="auto"/>
            <w:noWrap/>
            <w:vAlign w:val="bottom"/>
          </w:tcPr>
          <w:p w:rsidR="004942E7" w:rsidRPr="00830392" w:rsidRDefault="004942E7" w:rsidP="00482839">
            <w:pPr>
              <w:spacing w:after="0" w:line="240" w:lineRule="auto"/>
              <w:rPr>
                <w:rFonts w:ascii="Times New Roman" w:eastAsia="Times New Roman" w:hAnsi="Times New Roman"/>
                <w:sz w:val="17"/>
                <w:szCs w:val="17"/>
              </w:rPr>
            </w:pPr>
            <w:proofErr w:type="spellStart"/>
            <w:r w:rsidRPr="00830392">
              <w:rPr>
                <w:rFonts w:ascii="Times New Roman" w:eastAsia="Times New Roman" w:hAnsi="Times New Roman"/>
                <w:sz w:val="17"/>
                <w:szCs w:val="17"/>
              </w:rPr>
              <w:t>Fama-MacBeth</w:t>
            </w:r>
            <w:proofErr w:type="spellEnd"/>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-3.221***</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-0.067**</w:t>
            </w:r>
          </w:p>
        </w:tc>
        <w:tc>
          <w:tcPr>
            <w:tcW w:w="1860" w:type="dxa"/>
            <w:shd w:val="clear" w:color="auto" w:fill="auto"/>
            <w:noWrap/>
            <w:vAlign w:val="bottom"/>
          </w:tcPr>
          <w:p w:rsidR="004942E7" w:rsidRPr="00830392"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-3.295</w:t>
            </w:r>
            <w:r w:rsidRPr="00830392">
              <w:rPr>
                <w:rFonts w:ascii="Times New Roman" w:eastAsia="Times New Roman" w:hAnsi="Times New Roman"/>
                <w:sz w:val="17"/>
                <w:szCs w:val="17"/>
              </w:rPr>
              <w:t>***</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-0.062*</w:t>
            </w:r>
          </w:p>
        </w:tc>
      </w:tr>
      <w:tr w:rsidR="004942E7" w:rsidRPr="00C34885" w:rsidTr="0039220B">
        <w:trPr>
          <w:trHeight w:val="144"/>
        </w:trPr>
        <w:tc>
          <w:tcPr>
            <w:tcW w:w="2049" w:type="dxa"/>
            <w:shd w:val="clear" w:color="auto" w:fill="auto"/>
            <w:noWrap/>
            <w:vAlign w:val="bottom"/>
          </w:tcPr>
          <w:p w:rsidR="004942E7" w:rsidRPr="00830392" w:rsidRDefault="004942E7"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(-6.70)</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(-2.35)</w:t>
            </w:r>
          </w:p>
        </w:tc>
        <w:tc>
          <w:tcPr>
            <w:tcW w:w="1860" w:type="dxa"/>
            <w:shd w:val="clear" w:color="auto" w:fill="auto"/>
            <w:noWrap/>
            <w:vAlign w:val="bottom"/>
          </w:tcPr>
          <w:p w:rsidR="004942E7" w:rsidRPr="00830392" w:rsidRDefault="004942E7" w:rsidP="00482839">
            <w:pPr>
              <w:spacing w:after="0" w:line="240" w:lineRule="auto"/>
              <w:jc w:val="center"/>
              <w:rPr>
                <w:rFonts w:ascii="Times New Roman" w:eastAsia="Times New Roman" w:hAnsi="Times New Roman"/>
                <w:sz w:val="17"/>
                <w:szCs w:val="17"/>
              </w:rPr>
            </w:pPr>
            <w:r w:rsidRPr="00830392">
              <w:rPr>
                <w:rFonts w:ascii="Times New Roman" w:eastAsia="Times New Roman" w:hAnsi="Times New Roman"/>
                <w:sz w:val="17"/>
                <w:szCs w:val="17"/>
              </w:rPr>
              <w:t>(-</w:t>
            </w:r>
            <w:r>
              <w:rPr>
                <w:rFonts w:ascii="Times New Roman" w:eastAsia="Times New Roman" w:hAnsi="Times New Roman"/>
                <w:sz w:val="17"/>
                <w:szCs w:val="17"/>
              </w:rPr>
              <w:t>7.28)</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(-2.20)</w:t>
            </w:r>
          </w:p>
        </w:tc>
      </w:tr>
      <w:tr w:rsidR="005E60C4" w:rsidRPr="00C34885" w:rsidTr="0039220B">
        <w:trPr>
          <w:trHeight w:hRule="exact" w:val="72"/>
        </w:trPr>
        <w:tc>
          <w:tcPr>
            <w:tcW w:w="2049" w:type="dxa"/>
            <w:shd w:val="clear" w:color="auto" w:fill="auto"/>
            <w:noWrap/>
            <w:vAlign w:val="bottom"/>
          </w:tcPr>
          <w:p w:rsidR="005E60C4" w:rsidRPr="00830392" w:rsidRDefault="005E60C4"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557" w:type="dxa"/>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860" w:type="dxa"/>
            <w:shd w:val="clear" w:color="auto" w:fill="auto"/>
            <w:noWrap/>
            <w:vAlign w:val="bottom"/>
          </w:tcPr>
          <w:p w:rsidR="005E60C4" w:rsidRPr="00830392" w:rsidRDefault="005E60C4" w:rsidP="00482839">
            <w:pPr>
              <w:spacing w:after="0" w:line="240" w:lineRule="auto"/>
              <w:jc w:val="center"/>
              <w:rPr>
                <w:rFonts w:ascii="Times New Roman" w:eastAsia="Times New Roman" w:hAnsi="Times New Roman"/>
                <w:sz w:val="17"/>
                <w:szCs w:val="17"/>
              </w:rPr>
            </w:pPr>
          </w:p>
        </w:tc>
        <w:tc>
          <w:tcPr>
            <w:tcW w:w="2205" w:type="dxa"/>
            <w:gridSpan w:val="2"/>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r>
      <w:tr w:rsidR="004942E7" w:rsidRPr="00C34885" w:rsidTr="0039220B">
        <w:trPr>
          <w:trHeight w:val="144"/>
        </w:trPr>
        <w:tc>
          <w:tcPr>
            <w:tcW w:w="2049" w:type="dxa"/>
            <w:shd w:val="clear" w:color="auto" w:fill="auto"/>
            <w:noWrap/>
            <w:vAlign w:val="bottom"/>
          </w:tcPr>
          <w:p w:rsidR="004942E7" w:rsidRPr="00830392" w:rsidRDefault="004942E7" w:rsidP="00482839">
            <w:pPr>
              <w:spacing w:after="0" w:line="240" w:lineRule="auto"/>
              <w:rPr>
                <w:rFonts w:ascii="Times New Roman" w:eastAsia="Times New Roman" w:hAnsi="Times New Roman"/>
                <w:sz w:val="17"/>
                <w:szCs w:val="17"/>
              </w:rPr>
            </w:pPr>
            <w:proofErr w:type="spellStart"/>
            <w:r w:rsidRPr="00830392">
              <w:rPr>
                <w:rFonts w:ascii="Times New Roman" w:eastAsia="Times New Roman" w:hAnsi="Times New Roman"/>
                <w:sz w:val="17"/>
                <w:szCs w:val="17"/>
              </w:rPr>
              <w:t>Newey</w:t>
            </w:r>
            <w:proofErr w:type="spellEnd"/>
            <w:r w:rsidRPr="00830392">
              <w:rPr>
                <w:rFonts w:ascii="Times New Roman" w:eastAsia="Times New Roman" w:hAnsi="Times New Roman"/>
                <w:sz w:val="17"/>
                <w:szCs w:val="17"/>
              </w:rPr>
              <w:t xml:space="preserve">-West </w:t>
            </w: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-3.124***</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-0.049</w:t>
            </w:r>
          </w:p>
        </w:tc>
        <w:tc>
          <w:tcPr>
            <w:tcW w:w="1860" w:type="dxa"/>
            <w:shd w:val="clear" w:color="auto" w:fill="auto"/>
            <w:noWrap/>
            <w:vAlign w:val="bottom"/>
          </w:tcPr>
          <w:p w:rsidR="004942E7" w:rsidRPr="00830392"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-3.030***</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-0.047</w:t>
            </w:r>
          </w:p>
        </w:tc>
      </w:tr>
      <w:tr w:rsidR="004942E7" w:rsidRPr="00C34885" w:rsidTr="0039220B">
        <w:trPr>
          <w:trHeight w:val="144"/>
        </w:trPr>
        <w:tc>
          <w:tcPr>
            <w:tcW w:w="2049" w:type="dxa"/>
            <w:shd w:val="clear" w:color="auto" w:fill="auto"/>
            <w:noWrap/>
            <w:vAlign w:val="bottom"/>
          </w:tcPr>
          <w:p w:rsidR="004942E7" w:rsidRPr="00830392" w:rsidRDefault="004942E7"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(-7.35)</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(-1.33)</w:t>
            </w:r>
          </w:p>
        </w:tc>
        <w:tc>
          <w:tcPr>
            <w:tcW w:w="1860" w:type="dxa"/>
            <w:shd w:val="clear" w:color="auto" w:fill="auto"/>
            <w:noWrap/>
            <w:vAlign w:val="bottom"/>
          </w:tcPr>
          <w:p w:rsidR="004942E7" w:rsidRPr="00830392"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(-7.92)</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(-1.26)</w:t>
            </w:r>
          </w:p>
        </w:tc>
      </w:tr>
      <w:tr w:rsidR="005E60C4" w:rsidRPr="00C34885" w:rsidTr="0039220B">
        <w:trPr>
          <w:trHeight w:hRule="exact" w:val="72"/>
        </w:trPr>
        <w:tc>
          <w:tcPr>
            <w:tcW w:w="2049" w:type="dxa"/>
            <w:tcBorders>
              <w:bottom w:val="single" w:sz="4" w:space="0" w:color="auto"/>
            </w:tcBorders>
            <w:shd w:val="clear" w:color="auto" w:fill="auto"/>
            <w:noWrap/>
            <w:vAlign w:val="bottom"/>
          </w:tcPr>
          <w:p w:rsidR="005E60C4" w:rsidRPr="00830392" w:rsidRDefault="005E60C4" w:rsidP="00482839">
            <w:pPr>
              <w:spacing w:after="0" w:line="240" w:lineRule="auto"/>
              <w:rPr>
                <w:rFonts w:ascii="Times New Roman" w:eastAsia="Times New Roman" w:hAnsi="Times New Roman"/>
                <w:sz w:val="17"/>
                <w:szCs w:val="17"/>
              </w:rPr>
            </w:pPr>
          </w:p>
        </w:tc>
        <w:tc>
          <w:tcPr>
            <w:tcW w:w="2077" w:type="dxa"/>
            <w:tcBorders>
              <w:bottom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557" w:type="dxa"/>
            <w:tcBorders>
              <w:bottom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860" w:type="dxa"/>
            <w:tcBorders>
              <w:bottom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2205" w:type="dxa"/>
            <w:gridSpan w:val="2"/>
            <w:tcBorders>
              <w:bottom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r>
      <w:tr w:rsidR="005E60C4" w:rsidRPr="00C34885" w:rsidTr="0039220B">
        <w:trPr>
          <w:trHeight w:val="144"/>
        </w:trPr>
        <w:tc>
          <w:tcPr>
            <w:tcW w:w="2049" w:type="dxa"/>
            <w:tcBorders>
              <w:bottom w:val="single" w:sz="4" w:space="0" w:color="auto"/>
            </w:tcBorders>
            <w:shd w:val="clear" w:color="auto" w:fill="auto"/>
            <w:noWrap/>
            <w:vAlign w:val="bottom"/>
          </w:tcPr>
          <w:p w:rsidR="005E60C4" w:rsidRPr="00830392" w:rsidRDefault="005E60C4" w:rsidP="00482839">
            <w:pPr>
              <w:spacing w:after="0" w:line="240" w:lineRule="auto"/>
              <w:rPr>
                <w:rFonts w:ascii="Times New Roman" w:eastAsia="Times New Roman" w:hAnsi="Times New Roman"/>
                <w:sz w:val="17"/>
                <w:szCs w:val="17"/>
              </w:rPr>
            </w:pPr>
          </w:p>
        </w:tc>
        <w:tc>
          <w:tcPr>
            <w:tcW w:w="2077" w:type="dxa"/>
            <w:tcBorders>
              <w:bottom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557" w:type="dxa"/>
            <w:tcBorders>
              <w:bottom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1860" w:type="dxa"/>
            <w:tcBorders>
              <w:bottom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c>
          <w:tcPr>
            <w:tcW w:w="2205" w:type="dxa"/>
            <w:gridSpan w:val="2"/>
            <w:tcBorders>
              <w:bottom w:val="single" w:sz="4" w:space="0" w:color="auto"/>
            </w:tcBorders>
            <w:shd w:val="clear" w:color="auto" w:fill="auto"/>
            <w:noWrap/>
            <w:vAlign w:val="bottom"/>
          </w:tcPr>
          <w:p w:rsidR="005E60C4" w:rsidRDefault="005E60C4" w:rsidP="00482839">
            <w:pPr>
              <w:spacing w:after="0" w:line="240" w:lineRule="auto"/>
              <w:jc w:val="center"/>
              <w:rPr>
                <w:rFonts w:ascii="Times New Roman" w:eastAsia="Times New Roman" w:hAnsi="Times New Roman"/>
                <w:sz w:val="17"/>
                <w:szCs w:val="17"/>
              </w:rPr>
            </w:pPr>
          </w:p>
        </w:tc>
      </w:tr>
      <w:tr w:rsidR="00F94052" w:rsidRPr="00C34885" w:rsidTr="0039220B">
        <w:trPr>
          <w:trHeight w:val="255"/>
        </w:trPr>
        <w:tc>
          <w:tcPr>
            <w:tcW w:w="9748" w:type="dxa"/>
            <w:gridSpan w:val="6"/>
            <w:shd w:val="clear" w:color="auto" w:fill="auto"/>
            <w:noWrap/>
            <w:vAlign w:val="bottom"/>
          </w:tcPr>
          <w:p w:rsidR="00F94052" w:rsidRPr="00F94052" w:rsidRDefault="00F94052" w:rsidP="00324C3A">
            <w:pPr>
              <w:spacing w:after="0" w:line="240" w:lineRule="auto"/>
              <w:rPr>
                <w:rFonts w:ascii="Times New Roman" w:eastAsia="Times New Roman" w:hAnsi="Times New Roman"/>
                <w:sz w:val="17"/>
                <w:szCs w:val="17"/>
              </w:rPr>
            </w:pPr>
            <w:r w:rsidRPr="00F94052">
              <w:rPr>
                <w:rFonts w:ascii="Times New Roman" w:eastAsia="Times New Roman" w:hAnsi="Times New Roman"/>
                <w:sz w:val="20"/>
                <w:szCs w:val="20"/>
              </w:rPr>
              <w:t xml:space="preserve">Panel B: Robustness </w:t>
            </w:r>
            <w:r w:rsidR="00324C3A">
              <w:rPr>
                <w:rFonts w:ascii="Times New Roman" w:eastAsia="Times New Roman" w:hAnsi="Times New Roman"/>
                <w:sz w:val="20"/>
                <w:szCs w:val="20"/>
              </w:rPr>
              <w:t>m</w:t>
            </w:r>
            <w:r w:rsidRPr="00F94052">
              <w:rPr>
                <w:rFonts w:ascii="Times New Roman" w:eastAsia="Times New Roman" w:hAnsi="Times New Roman"/>
                <w:sz w:val="20"/>
                <w:szCs w:val="20"/>
              </w:rPr>
              <w:t>odels for Table 5</w:t>
            </w:r>
            <w:r>
              <w:rPr>
                <w:rFonts w:ascii="Times New Roman" w:eastAsia="Times New Roman" w:hAnsi="Times New Roman"/>
                <w:sz w:val="20"/>
                <w:szCs w:val="20"/>
              </w:rPr>
              <w:t xml:space="preserve"> </w:t>
            </w:r>
          </w:p>
        </w:tc>
      </w:tr>
      <w:tr w:rsidR="004942E7" w:rsidRPr="00C34885" w:rsidTr="0039220B">
        <w:trPr>
          <w:trHeight w:val="255"/>
        </w:trPr>
        <w:tc>
          <w:tcPr>
            <w:tcW w:w="2049" w:type="dxa"/>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
        </w:tc>
        <w:tc>
          <w:tcPr>
            <w:tcW w:w="7699" w:type="dxa"/>
            <w:gridSpan w:val="5"/>
            <w:tcBorders>
              <w:bottom w:val="single" w:sz="4" w:space="0" w:color="auto"/>
            </w:tcBorders>
            <w:shd w:val="clear" w:color="auto" w:fill="auto"/>
            <w:noWrap/>
            <w:vAlign w:val="bottom"/>
          </w:tcPr>
          <w:p w:rsidR="004942E7" w:rsidRPr="002830FE" w:rsidRDefault="004942E7" w:rsidP="00F94052">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Dependent </w:t>
            </w:r>
            <w:r w:rsidR="00F94052">
              <w:rPr>
                <w:rFonts w:ascii="Times New Roman" w:eastAsia="Times New Roman" w:hAnsi="Times New Roman"/>
                <w:color w:val="000000"/>
                <w:sz w:val="20"/>
                <w:szCs w:val="20"/>
              </w:rPr>
              <w:t>v</w:t>
            </w:r>
            <w:r>
              <w:rPr>
                <w:rFonts w:ascii="Times New Roman" w:eastAsia="Times New Roman" w:hAnsi="Times New Roman"/>
                <w:color w:val="000000"/>
                <w:sz w:val="20"/>
                <w:szCs w:val="20"/>
              </w:rPr>
              <w:t xml:space="preserve">ariable: </w:t>
            </w:r>
            <w:r w:rsidR="00F94052">
              <w:rPr>
                <w:rFonts w:ascii="Times New Roman" w:eastAsia="Times New Roman" w:hAnsi="Times New Roman"/>
                <w:color w:val="000000"/>
                <w:sz w:val="20"/>
                <w:szCs w:val="20"/>
              </w:rPr>
              <w:t>Dividend payout r</w:t>
            </w:r>
            <w:r>
              <w:rPr>
                <w:rFonts w:ascii="Times New Roman" w:eastAsia="Times New Roman" w:hAnsi="Times New Roman"/>
                <w:color w:val="000000"/>
                <w:sz w:val="20"/>
                <w:szCs w:val="20"/>
              </w:rPr>
              <w:t>atio</w:t>
            </w:r>
          </w:p>
        </w:tc>
      </w:tr>
      <w:tr w:rsidR="00C61F1E" w:rsidRPr="00C34885" w:rsidTr="0039220B">
        <w:trPr>
          <w:trHeight w:val="144"/>
        </w:trPr>
        <w:tc>
          <w:tcPr>
            <w:tcW w:w="2049" w:type="dxa"/>
            <w:shd w:val="clear" w:color="auto" w:fill="auto"/>
            <w:noWrap/>
            <w:vAlign w:val="bottom"/>
          </w:tcPr>
          <w:p w:rsidR="00C61F1E" w:rsidRPr="00C34885" w:rsidRDefault="00C61F1E" w:rsidP="00C61F1E">
            <w:pPr>
              <w:spacing w:after="0" w:line="240" w:lineRule="auto"/>
              <w:rPr>
                <w:rFonts w:ascii="Times New Roman" w:eastAsia="Times New Roman" w:hAnsi="Times New Roman"/>
                <w:sz w:val="17"/>
                <w:szCs w:val="17"/>
              </w:rPr>
            </w:pPr>
          </w:p>
        </w:tc>
        <w:tc>
          <w:tcPr>
            <w:tcW w:w="3634" w:type="dxa"/>
            <w:gridSpan w:val="2"/>
            <w:shd w:val="clear" w:color="auto" w:fill="auto"/>
            <w:noWrap/>
            <w:tcMar>
              <w:left w:w="0" w:type="dxa"/>
              <w:right w:w="0" w:type="dxa"/>
            </w:tcMar>
            <w:vAlign w:val="center"/>
          </w:tcPr>
          <w:p w:rsidR="00C61F1E" w:rsidRDefault="00976338" w:rsidP="00976338">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CEO</w:t>
            </w:r>
            <w:r w:rsidR="00EA213D">
              <w:rPr>
                <w:rFonts w:ascii="Times New Roman" w:eastAsia="Times New Roman" w:hAnsi="Times New Roman"/>
                <w:sz w:val="18"/>
                <w:szCs w:val="18"/>
              </w:rPr>
              <w:t xml:space="preserve"> only</w:t>
            </w:r>
          </w:p>
        </w:tc>
        <w:tc>
          <w:tcPr>
            <w:tcW w:w="4065" w:type="dxa"/>
            <w:gridSpan w:val="3"/>
            <w:shd w:val="clear" w:color="auto" w:fill="auto"/>
            <w:tcMar>
              <w:left w:w="0" w:type="dxa"/>
              <w:right w:w="0" w:type="dxa"/>
            </w:tcMar>
            <w:vAlign w:val="center"/>
          </w:tcPr>
          <w:p w:rsidR="00C61F1E" w:rsidRDefault="00976338" w:rsidP="00C61F1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All executives</w:t>
            </w:r>
          </w:p>
        </w:tc>
      </w:tr>
      <w:tr w:rsidR="00C61F1E" w:rsidRPr="00C34885" w:rsidTr="0039220B">
        <w:trPr>
          <w:trHeight w:val="144"/>
        </w:trPr>
        <w:tc>
          <w:tcPr>
            <w:tcW w:w="2049" w:type="dxa"/>
            <w:shd w:val="clear" w:color="auto" w:fill="auto"/>
            <w:noWrap/>
            <w:vAlign w:val="bottom"/>
          </w:tcPr>
          <w:p w:rsidR="00C61F1E" w:rsidRDefault="00C61F1E" w:rsidP="00C61F1E">
            <w:pPr>
              <w:spacing w:after="0" w:line="240" w:lineRule="auto"/>
              <w:rPr>
                <w:rFonts w:ascii="Times New Roman" w:eastAsia="Times New Roman" w:hAnsi="Times New Roman"/>
                <w:sz w:val="17"/>
                <w:szCs w:val="17"/>
              </w:rPr>
            </w:pPr>
          </w:p>
        </w:tc>
        <w:tc>
          <w:tcPr>
            <w:tcW w:w="2077" w:type="dxa"/>
            <w:tcBorders>
              <w:bottom w:val="single" w:sz="4" w:space="0" w:color="auto"/>
            </w:tcBorders>
            <w:shd w:val="clear" w:color="auto" w:fill="auto"/>
            <w:noWrap/>
            <w:tcMar>
              <w:left w:w="0" w:type="dxa"/>
              <w:right w:w="0" w:type="dxa"/>
            </w:tcMar>
            <w:vAlign w:val="center"/>
          </w:tcPr>
          <w:p w:rsidR="00C61F1E" w:rsidRPr="002830FE" w:rsidRDefault="00C61F1E" w:rsidP="00C61F1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Compensation leverage</w:t>
            </w:r>
          </w:p>
        </w:tc>
        <w:tc>
          <w:tcPr>
            <w:tcW w:w="1557" w:type="dxa"/>
            <w:tcBorders>
              <w:bottom w:val="single" w:sz="4" w:space="0" w:color="auto"/>
            </w:tcBorders>
            <w:shd w:val="clear" w:color="auto" w:fill="auto"/>
            <w:noWrap/>
            <w:tcMar>
              <w:left w:w="0" w:type="dxa"/>
              <w:right w:w="0" w:type="dxa"/>
            </w:tcMar>
            <w:vAlign w:val="center"/>
          </w:tcPr>
          <w:p w:rsidR="00C61F1E" w:rsidRPr="002830FE" w:rsidRDefault="00C61F1E" w:rsidP="00C61F1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Inside debt</w:t>
            </w:r>
          </w:p>
        </w:tc>
        <w:tc>
          <w:tcPr>
            <w:tcW w:w="1860" w:type="dxa"/>
            <w:tcBorders>
              <w:bottom w:val="single" w:sz="4" w:space="0" w:color="auto"/>
            </w:tcBorders>
            <w:shd w:val="clear" w:color="auto" w:fill="auto"/>
            <w:noWrap/>
            <w:tcMar>
              <w:left w:w="0" w:type="dxa"/>
              <w:right w:w="0" w:type="dxa"/>
            </w:tcMar>
            <w:vAlign w:val="center"/>
          </w:tcPr>
          <w:p w:rsidR="00C61F1E" w:rsidRPr="002830FE" w:rsidRDefault="00C61F1E" w:rsidP="00C61F1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Compensation leverage</w:t>
            </w:r>
          </w:p>
        </w:tc>
        <w:tc>
          <w:tcPr>
            <w:tcW w:w="2205" w:type="dxa"/>
            <w:gridSpan w:val="2"/>
            <w:tcBorders>
              <w:bottom w:val="single" w:sz="4" w:space="0" w:color="auto"/>
            </w:tcBorders>
            <w:shd w:val="clear" w:color="auto" w:fill="auto"/>
            <w:noWrap/>
            <w:tcMar>
              <w:left w:w="0" w:type="dxa"/>
              <w:right w:w="0" w:type="dxa"/>
            </w:tcMar>
            <w:vAlign w:val="center"/>
          </w:tcPr>
          <w:p w:rsidR="00C61F1E" w:rsidRPr="002830FE" w:rsidRDefault="00C61F1E" w:rsidP="00C61F1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Inside debt</w:t>
            </w:r>
          </w:p>
        </w:tc>
      </w:tr>
      <w:tr w:rsidR="00C61F1E" w:rsidRPr="00C34885" w:rsidTr="0039220B">
        <w:trPr>
          <w:trHeight w:hRule="exact" w:val="72"/>
        </w:trPr>
        <w:tc>
          <w:tcPr>
            <w:tcW w:w="2049" w:type="dxa"/>
            <w:shd w:val="clear" w:color="auto" w:fill="auto"/>
            <w:noWrap/>
            <w:vAlign w:val="bottom"/>
          </w:tcPr>
          <w:p w:rsidR="00C61F1E" w:rsidRDefault="00C61F1E" w:rsidP="00482839">
            <w:pPr>
              <w:spacing w:after="0" w:line="240" w:lineRule="auto"/>
              <w:rPr>
                <w:rFonts w:ascii="Times New Roman" w:eastAsia="Times New Roman" w:hAnsi="Times New Roman"/>
                <w:sz w:val="17"/>
                <w:szCs w:val="17"/>
              </w:rPr>
            </w:pPr>
          </w:p>
        </w:tc>
        <w:tc>
          <w:tcPr>
            <w:tcW w:w="2077" w:type="dxa"/>
            <w:tcBorders>
              <w:top w:val="single" w:sz="4" w:space="0" w:color="auto"/>
            </w:tcBorders>
            <w:shd w:val="clear" w:color="auto" w:fill="auto"/>
            <w:noWrap/>
            <w:vAlign w:val="bottom"/>
          </w:tcPr>
          <w:p w:rsidR="00C61F1E" w:rsidRDefault="00C61F1E" w:rsidP="00482839">
            <w:pPr>
              <w:spacing w:after="0" w:line="240" w:lineRule="auto"/>
              <w:jc w:val="center"/>
              <w:rPr>
                <w:rFonts w:ascii="Times New Roman" w:eastAsia="Times New Roman" w:hAnsi="Times New Roman"/>
                <w:color w:val="000000"/>
                <w:sz w:val="17"/>
                <w:szCs w:val="17"/>
              </w:rPr>
            </w:pPr>
          </w:p>
        </w:tc>
        <w:tc>
          <w:tcPr>
            <w:tcW w:w="1557" w:type="dxa"/>
            <w:tcBorders>
              <w:top w:val="single" w:sz="4" w:space="0" w:color="auto"/>
            </w:tcBorders>
            <w:shd w:val="clear" w:color="auto" w:fill="auto"/>
            <w:noWrap/>
            <w:vAlign w:val="bottom"/>
          </w:tcPr>
          <w:p w:rsidR="00C61F1E" w:rsidRDefault="00C61F1E" w:rsidP="00482839">
            <w:pPr>
              <w:spacing w:after="0" w:line="240" w:lineRule="auto"/>
              <w:jc w:val="center"/>
              <w:rPr>
                <w:rFonts w:ascii="Times New Roman" w:eastAsia="Times New Roman" w:hAnsi="Times New Roman"/>
                <w:color w:val="000000"/>
                <w:sz w:val="17"/>
                <w:szCs w:val="17"/>
              </w:rPr>
            </w:pPr>
          </w:p>
        </w:tc>
        <w:tc>
          <w:tcPr>
            <w:tcW w:w="1860" w:type="dxa"/>
            <w:tcBorders>
              <w:top w:val="single" w:sz="4" w:space="0" w:color="auto"/>
            </w:tcBorders>
            <w:shd w:val="clear" w:color="auto" w:fill="auto"/>
            <w:noWrap/>
            <w:vAlign w:val="bottom"/>
          </w:tcPr>
          <w:p w:rsidR="00C61F1E" w:rsidRDefault="00C61F1E" w:rsidP="00482839">
            <w:pPr>
              <w:spacing w:after="0" w:line="240" w:lineRule="auto"/>
              <w:jc w:val="center"/>
              <w:rPr>
                <w:rFonts w:ascii="Times New Roman" w:eastAsia="Times New Roman" w:hAnsi="Times New Roman"/>
                <w:color w:val="000000"/>
                <w:sz w:val="17"/>
                <w:szCs w:val="17"/>
              </w:rPr>
            </w:pPr>
          </w:p>
        </w:tc>
        <w:tc>
          <w:tcPr>
            <w:tcW w:w="2205" w:type="dxa"/>
            <w:gridSpan w:val="2"/>
            <w:tcBorders>
              <w:top w:val="single" w:sz="4" w:space="0" w:color="auto"/>
            </w:tcBorders>
            <w:shd w:val="clear" w:color="auto" w:fill="auto"/>
            <w:noWrap/>
            <w:vAlign w:val="bottom"/>
          </w:tcPr>
          <w:p w:rsidR="00C61F1E" w:rsidRDefault="00C61F1E" w:rsidP="00482839">
            <w:pPr>
              <w:spacing w:after="0" w:line="240" w:lineRule="auto"/>
              <w:jc w:val="center"/>
              <w:rPr>
                <w:rFonts w:ascii="Times New Roman" w:eastAsia="Times New Roman" w:hAnsi="Times New Roman"/>
                <w:color w:val="000000"/>
                <w:sz w:val="17"/>
                <w:szCs w:val="17"/>
              </w:rPr>
            </w:pPr>
          </w:p>
        </w:tc>
      </w:tr>
      <w:tr w:rsidR="004942E7" w:rsidRPr="00C34885" w:rsidTr="0039220B">
        <w:trPr>
          <w:trHeight w:val="144"/>
        </w:trPr>
        <w:tc>
          <w:tcPr>
            <w:tcW w:w="2049" w:type="dxa"/>
            <w:shd w:val="clear" w:color="auto" w:fill="auto"/>
            <w:noWrap/>
            <w:vAlign w:val="bottom"/>
          </w:tcPr>
          <w:p w:rsidR="004942E7" w:rsidRDefault="004942E7" w:rsidP="00371A3A">
            <w:pPr>
              <w:spacing w:after="0" w:line="240" w:lineRule="auto"/>
              <w:rPr>
                <w:rFonts w:ascii="Times New Roman" w:eastAsia="Times New Roman" w:hAnsi="Times New Roman"/>
                <w:sz w:val="17"/>
                <w:szCs w:val="17"/>
              </w:rPr>
            </w:pPr>
            <w:r>
              <w:rPr>
                <w:rFonts w:ascii="Times New Roman" w:eastAsia="Times New Roman" w:hAnsi="Times New Roman"/>
                <w:sz w:val="17"/>
                <w:szCs w:val="17"/>
              </w:rPr>
              <w:t xml:space="preserve">Original </w:t>
            </w:r>
            <w:r w:rsidR="00371A3A">
              <w:rPr>
                <w:rFonts w:ascii="Times New Roman" w:eastAsia="Times New Roman" w:hAnsi="Times New Roman"/>
                <w:sz w:val="17"/>
                <w:szCs w:val="17"/>
              </w:rPr>
              <w:t>r</w:t>
            </w:r>
            <w:r>
              <w:rPr>
                <w:rFonts w:ascii="Times New Roman" w:eastAsia="Times New Roman" w:hAnsi="Times New Roman"/>
                <w:sz w:val="17"/>
                <w:szCs w:val="17"/>
              </w:rPr>
              <w:t>esults</w:t>
            </w:r>
          </w:p>
        </w:tc>
        <w:tc>
          <w:tcPr>
            <w:tcW w:w="2077" w:type="dxa"/>
            <w:shd w:val="clear" w:color="auto" w:fill="auto"/>
            <w:noWrap/>
            <w:vAlign w:val="bottom"/>
          </w:tcPr>
          <w:p w:rsidR="004942E7" w:rsidRPr="00CF0E95" w:rsidRDefault="004942E7" w:rsidP="00482839">
            <w:pPr>
              <w:spacing w:after="0" w:line="240" w:lineRule="auto"/>
              <w:jc w:val="center"/>
              <w:rPr>
                <w:rFonts w:ascii="Times New Roman" w:eastAsia="Times New Roman" w:hAnsi="Times New Roman"/>
                <w:color w:val="000000"/>
                <w:sz w:val="17"/>
                <w:szCs w:val="17"/>
                <w:vertAlign w:val="subscript"/>
              </w:rPr>
            </w:pPr>
            <w:r>
              <w:rPr>
                <w:rFonts w:ascii="Times New Roman" w:eastAsia="Times New Roman" w:hAnsi="Times New Roman"/>
                <w:color w:val="000000"/>
                <w:sz w:val="17"/>
                <w:szCs w:val="17"/>
              </w:rPr>
              <w:t>-3.742***</w:t>
            </w:r>
          </w:p>
        </w:tc>
        <w:tc>
          <w:tcPr>
            <w:tcW w:w="1557" w:type="dxa"/>
            <w:shd w:val="clear" w:color="auto" w:fill="auto"/>
            <w:noWrap/>
            <w:vAlign w:val="bottom"/>
          </w:tcPr>
          <w:p w:rsidR="004942E7" w:rsidRPr="00042AF2" w:rsidRDefault="004942E7" w:rsidP="00482839">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-0.2878***</w:t>
            </w:r>
          </w:p>
        </w:tc>
        <w:tc>
          <w:tcPr>
            <w:tcW w:w="1860" w:type="dxa"/>
            <w:shd w:val="clear" w:color="auto" w:fill="auto"/>
            <w:noWrap/>
            <w:vAlign w:val="bottom"/>
          </w:tcPr>
          <w:p w:rsidR="004942E7" w:rsidRPr="00042AF2" w:rsidRDefault="004942E7" w:rsidP="00482839">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-2.3947</w:t>
            </w:r>
            <w:r w:rsidRPr="00042AF2">
              <w:rPr>
                <w:rFonts w:ascii="Times New Roman" w:eastAsia="Times New Roman" w:hAnsi="Times New Roman"/>
                <w:color w:val="000000"/>
                <w:sz w:val="17"/>
                <w:szCs w:val="17"/>
              </w:rPr>
              <w:t xml:space="preserve"> ***</w:t>
            </w:r>
          </w:p>
        </w:tc>
        <w:tc>
          <w:tcPr>
            <w:tcW w:w="2205" w:type="dxa"/>
            <w:gridSpan w:val="2"/>
            <w:shd w:val="clear" w:color="auto" w:fill="auto"/>
            <w:noWrap/>
            <w:vAlign w:val="bottom"/>
          </w:tcPr>
          <w:p w:rsidR="004942E7" w:rsidRPr="00042AF2" w:rsidRDefault="004942E7" w:rsidP="00482839">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-0.2804***</w:t>
            </w:r>
          </w:p>
        </w:tc>
      </w:tr>
      <w:tr w:rsidR="004942E7" w:rsidRPr="00C34885" w:rsidTr="0039220B">
        <w:trPr>
          <w:trHeight w:val="144"/>
        </w:trPr>
        <w:tc>
          <w:tcPr>
            <w:tcW w:w="2049" w:type="dxa"/>
            <w:shd w:val="clear" w:color="auto" w:fill="auto"/>
            <w:noWrap/>
            <w:vAlign w:val="bottom"/>
          </w:tcPr>
          <w:p w:rsidR="004942E7" w:rsidRDefault="004942E7"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4942E7" w:rsidRPr="00042AF2" w:rsidRDefault="004942E7" w:rsidP="00482839">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(-8.37)</w:t>
            </w:r>
          </w:p>
        </w:tc>
        <w:tc>
          <w:tcPr>
            <w:tcW w:w="1557" w:type="dxa"/>
            <w:shd w:val="clear" w:color="auto" w:fill="auto"/>
            <w:noWrap/>
            <w:vAlign w:val="bottom"/>
          </w:tcPr>
          <w:p w:rsidR="004942E7" w:rsidRPr="00042AF2" w:rsidRDefault="004942E7" w:rsidP="00482839">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(-6.20)</w:t>
            </w:r>
          </w:p>
        </w:tc>
        <w:tc>
          <w:tcPr>
            <w:tcW w:w="1860" w:type="dxa"/>
            <w:shd w:val="clear" w:color="auto" w:fill="auto"/>
            <w:noWrap/>
            <w:vAlign w:val="bottom"/>
          </w:tcPr>
          <w:p w:rsidR="004942E7" w:rsidRPr="00042AF2" w:rsidRDefault="004942E7" w:rsidP="00482839">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(-7.91)</w:t>
            </w:r>
          </w:p>
        </w:tc>
        <w:tc>
          <w:tcPr>
            <w:tcW w:w="2205" w:type="dxa"/>
            <w:gridSpan w:val="2"/>
            <w:shd w:val="clear" w:color="auto" w:fill="auto"/>
            <w:noWrap/>
            <w:vAlign w:val="bottom"/>
          </w:tcPr>
          <w:p w:rsidR="004942E7" w:rsidRPr="00042AF2" w:rsidRDefault="004942E7" w:rsidP="00482839">
            <w:pPr>
              <w:spacing w:after="0" w:line="240" w:lineRule="auto"/>
              <w:jc w:val="center"/>
              <w:rPr>
                <w:rFonts w:ascii="Times New Roman" w:eastAsia="Times New Roman" w:hAnsi="Times New Roman"/>
                <w:color w:val="000000"/>
                <w:sz w:val="17"/>
                <w:szCs w:val="17"/>
              </w:rPr>
            </w:pPr>
            <w:r>
              <w:rPr>
                <w:rFonts w:ascii="Times New Roman" w:eastAsia="Times New Roman" w:hAnsi="Times New Roman"/>
                <w:color w:val="000000"/>
                <w:sz w:val="17"/>
                <w:szCs w:val="17"/>
              </w:rPr>
              <w:t>(-4.32)</w:t>
            </w:r>
            <w:r w:rsidRPr="00042AF2">
              <w:rPr>
                <w:rFonts w:ascii="Times New Roman" w:eastAsia="Times New Roman" w:hAnsi="Times New Roman"/>
                <w:color w:val="000000"/>
                <w:sz w:val="17"/>
                <w:szCs w:val="17"/>
              </w:rPr>
              <w:t xml:space="preserve"> </w:t>
            </w:r>
          </w:p>
        </w:tc>
      </w:tr>
      <w:tr w:rsidR="00C61F1E" w:rsidRPr="00C34885" w:rsidTr="0039220B">
        <w:trPr>
          <w:trHeight w:hRule="exact" w:val="72"/>
        </w:trPr>
        <w:tc>
          <w:tcPr>
            <w:tcW w:w="2049" w:type="dxa"/>
            <w:shd w:val="clear" w:color="auto" w:fill="auto"/>
            <w:noWrap/>
            <w:vAlign w:val="bottom"/>
          </w:tcPr>
          <w:p w:rsidR="00C61F1E" w:rsidRDefault="00C61F1E"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C61F1E" w:rsidRDefault="00C61F1E" w:rsidP="00482839">
            <w:pPr>
              <w:spacing w:after="0" w:line="240" w:lineRule="auto"/>
              <w:jc w:val="center"/>
              <w:rPr>
                <w:rFonts w:ascii="Times New Roman" w:eastAsia="Times New Roman" w:hAnsi="Times New Roman"/>
                <w:color w:val="000000"/>
                <w:sz w:val="17"/>
                <w:szCs w:val="17"/>
              </w:rPr>
            </w:pPr>
          </w:p>
        </w:tc>
        <w:tc>
          <w:tcPr>
            <w:tcW w:w="1557" w:type="dxa"/>
            <w:shd w:val="clear" w:color="auto" w:fill="auto"/>
            <w:noWrap/>
            <w:vAlign w:val="bottom"/>
          </w:tcPr>
          <w:p w:rsidR="00C61F1E" w:rsidRDefault="00C61F1E" w:rsidP="00482839">
            <w:pPr>
              <w:spacing w:after="0" w:line="240" w:lineRule="auto"/>
              <w:jc w:val="center"/>
              <w:rPr>
                <w:rFonts w:ascii="Times New Roman" w:eastAsia="Times New Roman" w:hAnsi="Times New Roman"/>
                <w:color w:val="000000"/>
                <w:sz w:val="17"/>
                <w:szCs w:val="17"/>
              </w:rPr>
            </w:pPr>
          </w:p>
        </w:tc>
        <w:tc>
          <w:tcPr>
            <w:tcW w:w="1860" w:type="dxa"/>
            <w:shd w:val="clear" w:color="auto" w:fill="auto"/>
            <w:noWrap/>
            <w:vAlign w:val="bottom"/>
          </w:tcPr>
          <w:p w:rsidR="00C61F1E" w:rsidRDefault="00C61F1E" w:rsidP="00482839">
            <w:pPr>
              <w:spacing w:after="0" w:line="240" w:lineRule="auto"/>
              <w:jc w:val="center"/>
              <w:rPr>
                <w:rFonts w:ascii="Times New Roman" w:eastAsia="Times New Roman" w:hAnsi="Times New Roman"/>
                <w:color w:val="000000"/>
                <w:sz w:val="17"/>
                <w:szCs w:val="17"/>
              </w:rPr>
            </w:pPr>
          </w:p>
        </w:tc>
        <w:tc>
          <w:tcPr>
            <w:tcW w:w="2205" w:type="dxa"/>
            <w:gridSpan w:val="2"/>
            <w:shd w:val="clear" w:color="auto" w:fill="auto"/>
            <w:noWrap/>
            <w:vAlign w:val="bottom"/>
          </w:tcPr>
          <w:p w:rsidR="00C61F1E" w:rsidRDefault="00C61F1E" w:rsidP="00482839">
            <w:pPr>
              <w:spacing w:after="0" w:line="240" w:lineRule="auto"/>
              <w:jc w:val="center"/>
              <w:rPr>
                <w:rFonts w:ascii="Times New Roman" w:eastAsia="Times New Roman" w:hAnsi="Times New Roman"/>
                <w:color w:val="000000"/>
                <w:sz w:val="17"/>
                <w:szCs w:val="17"/>
              </w:rPr>
            </w:pPr>
          </w:p>
        </w:tc>
      </w:tr>
      <w:tr w:rsidR="004942E7" w:rsidRPr="00C34885" w:rsidTr="0039220B">
        <w:trPr>
          <w:trHeight w:val="144"/>
        </w:trPr>
        <w:tc>
          <w:tcPr>
            <w:tcW w:w="2049" w:type="dxa"/>
            <w:shd w:val="clear" w:color="auto" w:fill="auto"/>
            <w:noWrap/>
            <w:vAlign w:val="bottom"/>
          </w:tcPr>
          <w:p w:rsidR="004942E7" w:rsidRPr="00C34885" w:rsidRDefault="004942E7" w:rsidP="00371A3A">
            <w:pPr>
              <w:spacing w:after="0" w:line="240" w:lineRule="auto"/>
              <w:rPr>
                <w:rFonts w:ascii="Times New Roman" w:eastAsia="Times New Roman" w:hAnsi="Times New Roman"/>
                <w:color w:val="000000"/>
                <w:sz w:val="17"/>
                <w:szCs w:val="17"/>
              </w:rPr>
            </w:pPr>
            <w:r>
              <w:rPr>
                <w:rFonts w:ascii="Times New Roman" w:eastAsia="Times New Roman" w:hAnsi="Times New Roman"/>
                <w:color w:val="000000"/>
                <w:sz w:val="17"/>
                <w:szCs w:val="17"/>
              </w:rPr>
              <w:t xml:space="preserve">Robust </w:t>
            </w:r>
            <w:r w:rsidR="00371A3A">
              <w:rPr>
                <w:rFonts w:ascii="Times New Roman" w:eastAsia="Times New Roman" w:hAnsi="Times New Roman"/>
                <w:color w:val="000000"/>
                <w:sz w:val="17"/>
                <w:szCs w:val="17"/>
              </w:rPr>
              <w:t>f</w:t>
            </w:r>
            <w:r>
              <w:rPr>
                <w:rFonts w:ascii="Times New Roman" w:eastAsia="Times New Roman" w:hAnsi="Times New Roman"/>
                <w:color w:val="000000"/>
                <w:sz w:val="17"/>
                <w:szCs w:val="17"/>
              </w:rPr>
              <w:t xml:space="preserve">ixed </w:t>
            </w:r>
            <w:r w:rsidR="00371A3A">
              <w:rPr>
                <w:rFonts w:ascii="Times New Roman" w:eastAsia="Times New Roman" w:hAnsi="Times New Roman"/>
                <w:color w:val="000000"/>
                <w:sz w:val="17"/>
                <w:szCs w:val="17"/>
              </w:rPr>
              <w:t>e</w:t>
            </w:r>
            <w:r>
              <w:rPr>
                <w:rFonts w:ascii="Times New Roman" w:eastAsia="Times New Roman" w:hAnsi="Times New Roman"/>
                <w:color w:val="000000"/>
                <w:sz w:val="17"/>
                <w:szCs w:val="17"/>
              </w:rPr>
              <w:t>ffects</w:t>
            </w: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-4.010**</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0.333</w:t>
            </w:r>
          </w:p>
        </w:tc>
        <w:tc>
          <w:tcPr>
            <w:tcW w:w="1860" w:type="dxa"/>
            <w:shd w:val="clear" w:color="auto" w:fill="auto"/>
            <w:noWrap/>
            <w:vAlign w:val="bottom"/>
          </w:tcPr>
          <w:p w:rsidR="004942E7"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-2.585**</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-0.292*</w:t>
            </w:r>
          </w:p>
        </w:tc>
      </w:tr>
      <w:tr w:rsidR="004942E7" w:rsidRPr="00C34885" w:rsidTr="0039220B">
        <w:trPr>
          <w:trHeight w:val="144"/>
        </w:trPr>
        <w:tc>
          <w:tcPr>
            <w:tcW w:w="2049" w:type="dxa"/>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(-2.02)</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(0.69)</w:t>
            </w:r>
          </w:p>
        </w:tc>
        <w:tc>
          <w:tcPr>
            <w:tcW w:w="1860" w:type="dxa"/>
            <w:shd w:val="clear" w:color="auto" w:fill="auto"/>
            <w:noWrap/>
            <w:vAlign w:val="bottom"/>
          </w:tcPr>
          <w:p w:rsidR="004942E7"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(-2.11)</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(-1.76)</w:t>
            </w:r>
          </w:p>
        </w:tc>
      </w:tr>
      <w:tr w:rsidR="00C61F1E" w:rsidRPr="00C34885" w:rsidTr="0039220B">
        <w:trPr>
          <w:trHeight w:hRule="exact" w:val="72"/>
        </w:trPr>
        <w:tc>
          <w:tcPr>
            <w:tcW w:w="2049" w:type="dxa"/>
            <w:shd w:val="clear" w:color="auto" w:fill="auto"/>
            <w:noWrap/>
            <w:vAlign w:val="bottom"/>
          </w:tcPr>
          <w:p w:rsidR="00C61F1E" w:rsidRPr="00C34885" w:rsidRDefault="00C61F1E"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C61F1E" w:rsidRDefault="00C61F1E" w:rsidP="00482839">
            <w:pPr>
              <w:spacing w:after="0" w:line="240" w:lineRule="auto"/>
              <w:jc w:val="center"/>
              <w:rPr>
                <w:rFonts w:ascii="Times New Roman" w:eastAsia="Times New Roman" w:hAnsi="Times New Roman"/>
                <w:sz w:val="17"/>
                <w:szCs w:val="17"/>
              </w:rPr>
            </w:pPr>
          </w:p>
        </w:tc>
        <w:tc>
          <w:tcPr>
            <w:tcW w:w="1557" w:type="dxa"/>
            <w:shd w:val="clear" w:color="auto" w:fill="auto"/>
            <w:noWrap/>
            <w:vAlign w:val="bottom"/>
          </w:tcPr>
          <w:p w:rsidR="00C61F1E" w:rsidRDefault="00C61F1E" w:rsidP="00482839">
            <w:pPr>
              <w:spacing w:after="0" w:line="240" w:lineRule="auto"/>
              <w:jc w:val="center"/>
              <w:rPr>
                <w:rFonts w:ascii="Times New Roman" w:eastAsia="Times New Roman" w:hAnsi="Times New Roman"/>
                <w:sz w:val="17"/>
                <w:szCs w:val="17"/>
              </w:rPr>
            </w:pPr>
          </w:p>
        </w:tc>
        <w:tc>
          <w:tcPr>
            <w:tcW w:w="1860" w:type="dxa"/>
            <w:shd w:val="clear" w:color="auto" w:fill="auto"/>
            <w:noWrap/>
            <w:vAlign w:val="bottom"/>
          </w:tcPr>
          <w:p w:rsidR="00C61F1E" w:rsidRDefault="00C61F1E" w:rsidP="00482839">
            <w:pPr>
              <w:spacing w:after="0" w:line="240" w:lineRule="auto"/>
              <w:jc w:val="center"/>
              <w:rPr>
                <w:rFonts w:ascii="Times New Roman" w:eastAsia="Times New Roman" w:hAnsi="Times New Roman"/>
                <w:sz w:val="17"/>
                <w:szCs w:val="17"/>
              </w:rPr>
            </w:pPr>
          </w:p>
        </w:tc>
        <w:tc>
          <w:tcPr>
            <w:tcW w:w="2205" w:type="dxa"/>
            <w:gridSpan w:val="2"/>
            <w:shd w:val="clear" w:color="auto" w:fill="auto"/>
            <w:noWrap/>
            <w:vAlign w:val="bottom"/>
          </w:tcPr>
          <w:p w:rsidR="00C61F1E" w:rsidRDefault="00C61F1E" w:rsidP="00482839">
            <w:pPr>
              <w:spacing w:after="0" w:line="240" w:lineRule="auto"/>
              <w:jc w:val="center"/>
              <w:rPr>
                <w:rFonts w:ascii="Times New Roman" w:eastAsia="Times New Roman" w:hAnsi="Times New Roman"/>
                <w:sz w:val="17"/>
                <w:szCs w:val="17"/>
              </w:rPr>
            </w:pPr>
          </w:p>
        </w:tc>
      </w:tr>
      <w:tr w:rsidR="004942E7" w:rsidRPr="00C34885" w:rsidTr="0039220B">
        <w:trPr>
          <w:trHeight w:val="144"/>
        </w:trPr>
        <w:tc>
          <w:tcPr>
            <w:tcW w:w="2049" w:type="dxa"/>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roofErr w:type="spellStart"/>
            <w:r>
              <w:rPr>
                <w:rFonts w:ascii="Times New Roman" w:eastAsia="Times New Roman" w:hAnsi="Times New Roman"/>
                <w:sz w:val="17"/>
                <w:szCs w:val="17"/>
              </w:rPr>
              <w:t>Fama-MacBeth</w:t>
            </w:r>
            <w:proofErr w:type="spellEnd"/>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-1.8571</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-0.7815</w:t>
            </w:r>
          </w:p>
        </w:tc>
        <w:tc>
          <w:tcPr>
            <w:tcW w:w="1860" w:type="dxa"/>
            <w:shd w:val="clear" w:color="auto" w:fill="auto"/>
            <w:noWrap/>
            <w:vAlign w:val="bottom"/>
          </w:tcPr>
          <w:p w:rsidR="004942E7"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-0.839</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-0.267</w:t>
            </w:r>
          </w:p>
        </w:tc>
      </w:tr>
      <w:tr w:rsidR="004942E7" w:rsidRPr="00C34885" w:rsidTr="0039220B">
        <w:trPr>
          <w:trHeight w:val="144"/>
        </w:trPr>
        <w:tc>
          <w:tcPr>
            <w:tcW w:w="2049" w:type="dxa"/>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(-1.01)</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(-1.02)</w:t>
            </w:r>
          </w:p>
        </w:tc>
        <w:tc>
          <w:tcPr>
            <w:tcW w:w="1860" w:type="dxa"/>
            <w:shd w:val="clear" w:color="auto" w:fill="auto"/>
            <w:noWrap/>
            <w:vAlign w:val="bottom"/>
          </w:tcPr>
          <w:p w:rsidR="004942E7"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(-1.02)</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(-1.24)</w:t>
            </w:r>
          </w:p>
        </w:tc>
      </w:tr>
      <w:tr w:rsidR="00C61F1E" w:rsidRPr="00C34885" w:rsidTr="0039220B">
        <w:trPr>
          <w:trHeight w:hRule="exact" w:val="72"/>
        </w:trPr>
        <w:tc>
          <w:tcPr>
            <w:tcW w:w="2049" w:type="dxa"/>
            <w:shd w:val="clear" w:color="auto" w:fill="auto"/>
            <w:noWrap/>
            <w:vAlign w:val="bottom"/>
          </w:tcPr>
          <w:p w:rsidR="00C61F1E" w:rsidRPr="00C34885" w:rsidRDefault="00C61F1E"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C61F1E" w:rsidRDefault="00C61F1E" w:rsidP="00482839">
            <w:pPr>
              <w:spacing w:after="0" w:line="240" w:lineRule="auto"/>
              <w:jc w:val="center"/>
              <w:rPr>
                <w:rFonts w:ascii="Times New Roman" w:eastAsia="Times New Roman" w:hAnsi="Times New Roman"/>
                <w:sz w:val="17"/>
                <w:szCs w:val="17"/>
              </w:rPr>
            </w:pPr>
          </w:p>
        </w:tc>
        <w:tc>
          <w:tcPr>
            <w:tcW w:w="1557" w:type="dxa"/>
            <w:shd w:val="clear" w:color="auto" w:fill="auto"/>
            <w:noWrap/>
            <w:vAlign w:val="bottom"/>
          </w:tcPr>
          <w:p w:rsidR="00C61F1E" w:rsidRDefault="00C61F1E" w:rsidP="00482839">
            <w:pPr>
              <w:spacing w:after="0" w:line="240" w:lineRule="auto"/>
              <w:jc w:val="center"/>
              <w:rPr>
                <w:rFonts w:ascii="Times New Roman" w:eastAsia="Times New Roman" w:hAnsi="Times New Roman"/>
                <w:sz w:val="17"/>
                <w:szCs w:val="17"/>
              </w:rPr>
            </w:pPr>
          </w:p>
        </w:tc>
        <w:tc>
          <w:tcPr>
            <w:tcW w:w="1860" w:type="dxa"/>
            <w:shd w:val="clear" w:color="auto" w:fill="auto"/>
            <w:noWrap/>
            <w:vAlign w:val="bottom"/>
          </w:tcPr>
          <w:p w:rsidR="00C61F1E" w:rsidRDefault="00C61F1E" w:rsidP="00482839">
            <w:pPr>
              <w:spacing w:after="0" w:line="240" w:lineRule="auto"/>
              <w:jc w:val="center"/>
              <w:rPr>
                <w:rFonts w:ascii="Times New Roman" w:eastAsia="Times New Roman" w:hAnsi="Times New Roman"/>
                <w:sz w:val="17"/>
                <w:szCs w:val="17"/>
              </w:rPr>
            </w:pPr>
          </w:p>
        </w:tc>
        <w:tc>
          <w:tcPr>
            <w:tcW w:w="2205" w:type="dxa"/>
            <w:gridSpan w:val="2"/>
            <w:shd w:val="clear" w:color="auto" w:fill="auto"/>
            <w:noWrap/>
            <w:vAlign w:val="bottom"/>
          </w:tcPr>
          <w:p w:rsidR="00C61F1E" w:rsidRDefault="00C61F1E" w:rsidP="00482839">
            <w:pPr>
              <w:spacing w:after="0" w:line="240" w:lineRule="auto"/>
              <w:jc w:val="center"/>
              <w:rPr>
                <w:rFonts w:ascii="Times New Roman" w:eastAsia="Times New Roman" w:hAnsi="Times New Roman"/>
                <w:sz w:val="17"/>
                <w:szCs w:val="17"/>
              </w:rPr>
            </w:pPr>
          </w:p>
        </w:tc>
      </w:tr>
      <w:tr w:rsidR="004942E7" w:rsidRPr="00C34885" w:rsidTr="0039220B">
        <w:trPr>
          <w:trHeight w:val="144"/>
        </w:trPr>
        <w:tc>
          <w:tcPr>
            <w:tcW w:w="2049" w:type="dxa"/>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roofErr w:type="spellStart"/>
            <w:r>
              <w:rPr>
                <w:rFonts w:ascii="Times New Roman" w:eastAsia="Times New Roman" w:hAnsi="Times New Roman"/>
                <w:sz w:val="17"/>
                <w:szCs w:val="17"/>
              </w:rPr>
              <w:t>Newey</w:t>
            </w:r>
            <w:proofErr w:type="spellEnd"/>
            <w:r>
              <w:rPr>
                <w:rFonts w:ascii="Times New Roman" w:eastAsia="Times New Roman" w:hAnsi="Times New Roman"/>
                <w:sz w:val="17"/>
                <w:szCs w:val="17"/>
              </w:rPr>
              <w:t xml:space="preserve">-West </w:t>
            </w: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-5.1330</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-0.5978</w:t>
            </w:r>
          </w:p>
        </w:tc>
        <w:tc>
          <w:tcPr>
            <w:tcW w:w="1860" w:type="dxa"/>
            <w:shd w:val="clear" w:color="auto" w:fill="auto"/>
            <w:noWrap/>
            <w:vAlign w:val="bottom"/>
          </w:tcPr>
          <w:p w:rsidR="004942E7"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-2.536</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-0.292</w:t>
            </w:r>
          </w:p>
        </w:tc>
      </w:tr>
      <w:tr w:rsidR="004942E7" w:rsidRPr="00C34885" w:rsidTr="0039220B">
        <w:trPr>
          <w:trHeight w:val="144"/>
        </w:trPr>
        <w:tc>
          <w:tcPr>
            <w:tcW w:w="2049" w:type="dxa"/>
            <w:shd w:val="clear" w:color="auto" w:fill="auto"/>
            <w:noWrap/>
            <w:vAlign w:val="bottom"/>
          </w:tcPr>
          <w:p w:rsidR="004942E7" w:rsidRPr="00C34885" w:rsidRDefault="004942E7" w:rsidP="00482839">
            <w:pPr>
              <w:spacing w:after="0" w:line="240" w:lineRule="auto"/>
              <w:rPr>
                <w:rFonts w:ascii="Times New Roman" w:eastAsia="Times New Roman" w:hAnsi="Times New Roman"/>
                <w:sz w:val="17"/>
                <w:szCs w:val="17"/>
              </w:rPr>
            </w:pPr>
          </w:p>
        </w:tc>
        <w:tc>
          <w:tcPr>
            <w:tcW w:w="207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(-1.24)</w:t>
            </w:r>
          </w:p>
        </w:tc>
        <w:tc>
          <w:tcPr>
            <w:tcW w:w="1557" w:type="dxa"/>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(-1.16)</w:t>
            </w:r>
          </w:p>
        </w:tc>
        <w:tc>
          <w:tcPr>
            <w:tcW w:w="1860" w:type="dxa"/>
            <w:shd w:val="clear" w:color="auto" w:fill="auto"/>
            <w:noWrap/>
            <w:vAlign w:val="bottom"/>
          </w:tcPr>
          <w:p w:rsidR="004942E7"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(-1.04)</w:t>
            </w:r>
          </w:p>
        </w:tc>
        <w:tc>
          <w:tcPr>
            <w:tcW w:w="2205" w:type="dxa"/>
            <w:gridSpan w:val="2"/>
            <w:shd w:val="clear" w:color="auto" w:fill="auto"/>
            <w:noWrap/>
            <w:vAlign w:val="bottom"/>
          </w:tcPr>
          <w:p w:rsidR="004942E7" w:rsidRPr="00C34885" w:rsidRDefault="004942E7" w:rsidP="00482839">
            <w:pPr>
              <w:spacing w:after="0" w:line="240" w:lineRule="auto"/>
              <w:jc w:val="center"/>
              <w:rPr>
                <w:rFonts w:ascii="Times New Roman" w:eastAsia="Times New Roman" w:hAnsi="Times New Roman"/>
                <w:sz w:val="17"/>
                <w:szCs w:val="17"/>
              </w:rPr>
            </w:pPr>
            <w:r>
              <w:rPr>
                <w:rFonts w:ascii="Times New Roman" w:eastAsia="Times New Roman" w:hAnsi="Times New Roman"/>
                <w:sz w:val="17"/>
                <w:szCs w:val="17"/>
              </w:rPr>
              <w:t>(-1.04)</w:t>
            </w:r>
          </w:p>
        </w:tc>
      </w:tr>
      <w:tr w:rsidR="0070539B" w:rsidRPr="00C34885" w:rsidTr="0039220B">
        <w:trPr>
          <w:trHeight w:hRule="exact" w:val="72"/>
        </w:trPr>
        <w:tc>
          <w:tcPr>
            <w:tcW w:w="2049" w:type="dxa"/>
            <w:tcBorders>
              <w:bottom w:val="single" w:sz="4" w:space="0" w:color="auto"/>
            </w:tcBorders>
            <w:shd w:val="clear" w:color="auto" w:fill="auto"/>
            <w:noWrap/>
            <w:vAlign w:val="bottom"/>
          </w:tcPr>
          <w:p w:rsidR="0070539B" w:rsidRPr="00C34885" w:rsidRDefault="0070539B" w:rsidP="00482839">
            <w:pPr>
              <w:spacing w:after="0" w:line="240" w:lineRule="auto"/>
              <w:rPr>
                <w:rFonts w:ascii="Times New Roman" w:eastAsia="Times New Roman" w:hAnsi="Times New Roman"/>
                <w:sz w:val="17"/>
                <w:szCs w:val="17"/>
              </w:rPr>
            </w:pPr>
          </w:p>
        </w:tc>
        <w:tc>
          <w:tcPr>
            <w:tcW w:w="2077" w:type="dxa"/>
            <w:tcBorders>
              <w:bottom w:val="single" w:sz="4" w:space="0" w:color="auto"/>
            </w:tcBorders>
            <w:shd w:val="clear" w:color="auto" w:fill="auto"/>
            <w:noWrap/>
            <w:vAlign w:val="bottom"/>
          </w:tcPr>
          <w:p w:rsidR="0070539B" w:rsidRDefault="0070539B" w:rsidP="00482839">
            <w:pPr>
              <w:spacing w:after="0" w:line="240" w:lineRule="auto"/>
              <w:jc w:val="center"/>
              <w:rPr>
                <w:rFonts w:ascii="Times New Roman" w:eastAsia="Times New Roman" w:hAnsi="Times New Roman"/>
                <w:sz w:val="17"/>
                <w:szCs w:val="17"/>
              </w:rPr>
            </w:pPr>
          </w:p>
        </w:tc>
        <w:tc>
          <w:tcPr>
            <w:tcW w:w="1557" w:type="dxa"/>
            <w:tcBorders>
              <w:bottom w:val="single" w:sz="4" w:space="0" w:color="auto"/>
            </w:tcBorders>
            <w:shd w:val="clear" w:color="auto" w:fill="auto"/>
            <w:noWrap/>
            <w:vAlign w:val="bottom"/>
          </w:tcPr>
          <w:p w:rsidR="0070539B" w:rsidRDefault="0070539B" w:rsidP="00482839">
            <w:pPr>
              <w:spacing w:after="0" w:line="240" w:lineRule="auto"/>
              <w:jc w:val="center"/>
              <w:rPr>
                <w:rFonts w:ascii="Times New Roman" w:eastAsia="Times New Roman" w:hAnsi="Times New Roman"/>
                <w:sz w:val="17"/>
                <w:szCs w:val="17"/>
              </w:rPr>
            </w:pPr>
          </w:p>
        </w:tc>
        <w:tc>
          <w:tcPr>
            <w:tcW w:w="1860" w:type="dxa"/>
            <w:tcBorders>
              <w:bottom w:val="single" w:sz="4" w:space="0" w:color="auto"/>
            </w:tcBorders>
            <w:shd w:val="clear" w:color="auto" w:fill="auto"/>
            <w:noWrap/>
            <w:vAlign w:val="bottom"/>
          </w:tcPr>
          <w:p w:rsidR="0070539B" w:rsidRDefault="0070539B" w:rsidP="00482839">
            <w:pPr>
              <w:spacing w:after="0" w:line="240" w:lineRule="auto"/>
              <w:jc w:val="center"/>
              <w:rPr>
                <w:rFonts w:ascii="Times New Roman" w:eastAsia="Times New Roman" w:hAnsi="Times New Roman"/>
                <w:sz w:val="17"/>
                <w:szCs w:val="17"/>
              </w:rPr>
            </w:pPr>
          </w:p>
        </w:tc>
        <w:tc>
          <w:tcPr>
            <w:tcW w:w="2205" w:type="dxa"/>
            <w:gridSpan w:val="2"/>
            <w:tcBorders>
              <w:bottom w:val="single" w:sz="4" w:space="0" w:color="auto"/>
            </w:tcBorders>
            <w:shd w:val="clear" w:color="auto" w:fill="auto"/>
            <w:noWrap/>
            <w:vAlign w:val="bottom"/>
          </w:tcPr>
          <w:p w:rsidR="0070539B" w:rsidRDefault="0070539B" w:rsidP="00482839">
            <w:pPr>
              <w:spacing w:after="0" w:line="240" w:lineRule="auto"/>
              <w:jc w:val="center"/>
              <w:rPr>
                <w:rFonts w:ascii="Times New Roman" w:eastAsia="Times New Roman" w:hAnsi="Times New Roman"/>
                <w:sz w:val="17"/>
                <w:szCs w:val="17"/>
              </w:rPr>
            </w:pPr>
          </w:p>
        </w:tc>
      </w:tr>
    </w:tbl>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4942E7" w:rsidRDefault="004942E7" w:rsidP="004942E7">
      <w:pPr>
        <w:spacing w:after="0" w:line="240" w:lineRule="auto"/>
        <w:jc w:val="both"/>
      </w:pPr>
    </w:p>
    <w:p w:rsidR="008E65D9" w:rsidRDefault="00C61F1E" w:rsidP="008E65D9">
      <w:pPr>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br w:type="page"/>
      </w:r>
      <w:r w:rsidR="008E65D9" w:rsidRPr="00A76E05">
        <w:rPr>
          <w:rFonts w:ascii="Times New Roman" w:hAnsi="Times New Roman" w:cs="Times New Roman"/>
          <w:b/>
          <w:bCs/>
          <w:color w:val="000000"/>
          <w:sz w:val="24"/>
        </w:rPr>
        <w:lastRenderedPageBreak/>
        <w:t xml:space="preserve">Table 14: </w:t>
      </w:r>
      <w:r w:rsidR="00017DF5">
        <w:rPr>
          <w:rFonts w:ascii="Times New Roman" w:hAnsi="Times New Roman" w:cs="Times New Roman"/>
          <w:b/>
          <w:bCs/>
          <w:color w:val="000000"/>
          <w:sz w:val="24"/>
        </w:rPr>
        <w:t>R</w:t>
      </w:r>
      <w:r w:rsidR="00A058C6">
        <w:rPr>
          <w:rFonts w:ascii="Times New Roman" w:hAnsi="Times New Roman" w:cs="Times New Roman"/>
          <w:b/>
          <w:bCs/>
          <w:color w:val="000000"/>
          <w:sz w:val="24"/>
        </w:rPr>
        <w:t>egressions of future firm</w:t>
      </w:r>
      <w:r w:rsidR="008E65D9" w:rsidRPr="00A76E05">
        <w:rPr>
          <w:rFonts w:ascii="Times New Roman" w:hAnsi="Times New Roman" w:cs="Times New Roman"/>
          <w:b/>
          <w:bCs/>
          <w:color w:val="000000"/>
          <w:sz w:val="24"/>
        </w:rPr>
        <w:t xml:space="preserve"> performance on the interaction between dividend yiel</w:t>
      </w:r>
      <w:r w:rsidR="00E367EF">
        <w:rPr>
          <w:rFonts w:ascii="Times New Roman" w:hAnsi="Times New Roman" w:cs="Times New Roman"/>
          <w:b/>
          <w:bCs/>
          <w:color w:val="000000"/>
          <w:sz w:val="24"/>
        </w:rPr>
        <w:t>d and CEO compensation leverage</w:t>
      </w:r>
    </w:p>
    <w:p w:rsidR="008E65D9" w:rsidRDefault="00017DF5" w:rsidP="008E65D9">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 xml:space="preserve">The table shows results of pooled OLS regressions. </w:t>
      </w:r>
      <w:r w:rsidR="00A058C6">
        <w:rPr>
          <w:rFonts w:ascii="Times New Roman" w:hAnsi="Times New Roman" w:cs="Times New Roman"/>
          <w:color w:val="000000"/>
          <w:sz w:val="18"/>
          <w:szCs w:val="18"/>
        </w:rPr>
        <w:t>The depended variable</w:t>
      </w:r>
      <w:r w:rsidR="008E65D9">
        <w:rPr>
          <w:rFonts w:ascii="Times New Roman" w:hAnsi="Times New Roman" w:cs="Times New Roman"/>
          <w:color w:val="000000"/>
          <w:sz w:val="18"/>
          <w:szCs w:val="18"/>
        </w:rPr>
        <w:t xml:space="preserve"> is the firm’s performance measured by return on assets (ROA), return on equity (ROE), and return on investment (ROI). ROA is net income divided by book value </w:t>
      </w:r>
      <w:r w:rsidR="008E65D9" w:rsidRPr="00F43F1A">
        <w:rPr>
          <w:rFonts w:ascii="Times New Roman" w:hAnsi="Times New Roman" w:cs="Times New Roman"/>
          <w:color w:val="000000"/>
          <w:sz w:val="18"/>
          <w:szCs w:val="18"/>
        </w:rPr>
        <w:t>of total assets</w:t>
      </w:r>
      <w:r w:rsidR="008E65D9">
        <w:rPr>
          <w:rFonts w:ascii="Times New Roman" w:hAnsi="Times New Roman" w:cs="Times New Roman"/>
          <w:color w:val="000000"/>
          <w:sz w:val="18"/>
          <w:szCs w:val="18"/>
        </w:rPr>
        <w:t xml:space="preserve">; ROE is net income divided by book value of equity; ROI is net income divided by </w:t>
      </w:r>
      <w:r w:rsidR="008E65D9" w:rsidRPr="00F43F1A">
        <w:rPr>
          <w:rFonts w:ascii="Times New Roman" w:hAnsi="Times New Roman" w:cs="Times New Roman"/>
          <w:color w:val="000000"/>
          <w:sz w:val="18"/>
          <w:szCs w:val="18"/>
        </w:rPr>
        <w:t>total investment.</w:t>
      </w:r>
      <w:r w:rsidR="008E65D9">
        <w:rPr>
          <w:rFonts w:ascii="Times New Roman" w:hAnsi="Times New Roman" w:cs="Times New Roman"/>
          <w:color w:val="000000"/>
          <w:sz w:val="18"/>
          <w:szCs w:val="18"/>
        </w:rPr>
        <w:t xml:space="preserve"> All three measures are </w:t>
      </w:r>
      <w:r w:rsidR="003A7158">
        <w:rPr>
          <w:rFonts w:ascii="Times New Roman" w:hAnsi="Times New Roman" w:cs="Times New Roman"/>
          <w:color w:val="000000"/>
          <w:sz w:val="18"/>
          <w:szCs w:val="18"/>
        </w:rPr>
        <w:t>taken in</w:t>
      </w:r>
      <w:r w:rsidR="008E65D9">
        <w:rPr>
          <w:rFonts w:ascii="Times New Roman" w:hAnsi="Times New Roman" w:cs="Times New Roman"/>
          <w:color w:val="000000"/>
          <w:sz w:val="18"/>
          <w:szCs w:val="18"/>
        </w:rPr>
        <w:t xml:space="preserve"> the subsequent year, and </w:t>
      </w:r>
      <w:r w:rsidR="003A7158">
        <w:rPr>
          <w:rFonts w:ascii="Times New Roman" w:hAnsi="Times New Roman" w:cs="Times New Roman"/>
          <w:color w:val="000000"/>
          <w:sz w:val="18"/>
          <w:szCs w:val="18"/>
        </w:rPr>
        <w:t>as</w:t>
      </w:r>
      <w:r w:rsidR="008E65D9">
        <w:rPr>
          <w:rFonts w:ascii="Times New Roman" w:hAnsi="Times New Roman" w:cs="Times New Roman"/>
          <w:color w:val="000000"/>
          <w:sz w:val="18"/>
          <w:szCs w:val="18"/>
        </w:rPr>
        <w:t xml:space="preserve"> averages of the subsequent two and three years, </w:t>
      </w:r>
      <w:r w:rsidR="008E65D9" w:rsidRPr="00F43F1A">
        <w:rPr>
          <w:rFonts w:ascii="Times New Roman" w:hAnsi="Times New Roman" w:cs="Times New Roman"/>
          <w:color w:val="000000"/>
          <w:sz w:val="18"/>
          <w:szCs w:val="18"/>
        </w:rPr>
        <w:t>and all are adjusted to industry average</w:t>
      </w:r>
      <w:r w:rsidR="008E65D9">
        <w:rPr>
          <w:rFonts w:ascii="Times New Roman" w:hAnsi="Times New Roman" w:cs="Times New Roman"/>
          <w:color w:val="000000"/>
          <w:sz w:val="18"/>
          <w:szCs w:val="18"/>
        </w:rPr>
        <w:t>s</w:t>
      </w:r>
      <w:r w:rsidR="008E65D9" w:rsidRPr="00F43F1A">
        <w:rPr>
          <w:rFonts w:ascii="Times New Roman" w:hAnsi="Times New Roman" w:cs="Times New Roman"/>
          <w:color w:val="000000"/>
          <w:sz w:val="18"/>
          <w:szCs w:val="18"/>
        </w:rPr>
        <w:t>.</w:t>
      </w:r>
      <w:r w:rsidR="008E65D9" w:rsidRPr="00332123">
        <w:rPr>
          <w:rFonts w:ascii="Times New Roman" w:hAnsi="Times New Roman" w:cs="Times New Roman"/>
          <w:color w:val="000000"/>
          <w:sz w:val="18"/>
          <w:szCs w:val="18"/>
        </w:rPr>
        <w:t xml:space="preserve"> </w:t>
      </w:r>
      <w:r w:rsidR="008E65D9">
        <w:rPr>
          <w:rFonts w:ascii="Times New Roman" w:eastAsia="Times New Roman" w:hAnsi="Times New Roman"/>
          <w:bCs/>
          <w:sz w:val="18"/>
          <w:szCs w:val="18"/>
        </w:rPr>
        <w:t>The independent varia</w:t>
      </w:r>
      <w:r w:rsidR="00A058C6">
        <w:rPr>
          <w:rFonts w:ascii="Times New Roman" w:eastAsia="Times New Roman" w:hAnsi="Times New Roman"/>
          <w:bCs/>
          <w:sz w:val="18"/>
          <w:szCs w:val="18"/>
        </w:rPr>
        <w:t>bles are industry-adjusted CEO</w:t>
      </w:r>
      <w:r w:rsidR="008E65D9">
        <w:rPr>
          <w:rFonts w:ascii="Times New Roman" w:eastAsia="Times New Roman" w:hAnsi="Times New Roman"/>
          <w:bCs/>
          <w:sz w:val="18"/>
          <w:szCs w:val="18"/>
        </w:rPr>
        <w:t xml:space="preserve"> compensation leverage, industry-adjusted dividend yield, an interaction term between these variables, and a set of control variables defined in Table 1. </w:t>
      </w:r>
      <w:r w:rsidR="008E65D9" w:rsidRPr="007736B5">
        <w:rPr>
          <w:rFonts w:ascii="Times New Roman" w:hAnsi="Times New Roman" w:cs="Times New Roman"/>
          <w:sz w:val="18"/>
          <w:szCs w:val="18"/>
        </w:rPr>
        <w:t>The sample represent</w:t>
      </w:r>
      <w:r w:rsidR="008E65D9">
        <w:rPr>
          <w:rFonts w:ascii="Times New Roman" w:hAnsi="Times New Roman" w:cs="Times New Roman"/>
          <w:sz w:val="18"/>
          <w:szCs w:val="18"/>
        </w:rPr>
        <w:t>s</w:t>
      </w:r>
      <w:r w:rsidR="008E65D9" w:rsidRPr="007736B5">
        <w:rPr>
          <w:rFonts w:ascii="Times New Roman" w:hAnsi="Times New Roman" w:cs="Times New Roman"/>
          <w:sz w:val="18"/>
          <w:szCs w:val="18"/>
        </w:rPr>
        <w:t xml:space="preserve"> data on 272 firms over the period 2000-2009.</w:t>
      </w:r>
      <w:r w:rsidR="008E65D9">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sidR="008E65D9">
        <w:rPr>
          <w:rFonts w:ascii="Times New Roman" w:hAnsi="Times New Roman" w:cs="Times New Roman"/>
          <w:sz w:val="18"/>
          <w:szCs w:val="18"/>
        </w:rPr>
        <w:t xml:space="preserve"> regression coefficients and </w:t>
      </w:r>
      <w:r w:rsidR="008E65D9" w:rsidRPr="00773E03">
        <w:rPr>
          <w:rFonts w:ascii="Times New Roman" w:hAnsi="Times New Roman" w:cs="Times New Roman"/>
          <w:i/>
          <w:sz w:val="18"/>
          <w:szCs w:val="18"/>
        </w:rPr>
        <w:t>t</w:t>
      </w:r>
      <w:r w:rsidR="008E65D9">
        <w:rPr>
          <w:rFonts w:ascii="Times New Roman" w:hAnsi="Times New Roman" w:cs="Times New Roman"/>
          <w:sz w:val="18"/>
          <w:szCs w:val="18"/>
        </w:rPr>
        <w:t xml:space="preserve">-statistics, based on standard errors adjusted for </w:t>
      </w:r>
      <w:proofErr w:type="spellStart"/>
      <w:r w:rsidR="008E65D9">
        <w:rPr>
          <w:rFonts w:ascii="Times New Roman" w:hAnsi="Times New Roman" w:cs="Times New Roman"/>
          <w:sz w:val="18"/>
          <w:szCs w:val="18"/>
        </w:rPr>
        <w:t>heteroskedasticity</w:t>
      </w:r>
      <w:proofErr w:type="spellEnd"/>
      <w:r w:rsidR="008E65D9">
        <w:rPr>
          <w:rFonts w:ascii="Times New Roman" w:hAnsi="Times New Roman" w:cs="Times New Roman"/>
          <w:sz w:val="18"/>
          <w:szCs w:val="18"/>
        </w:rPr>
        <w:t xml:space="preserve"> and autocorrelation following Rogers (1993), with year fixed effects.</w:t>
      </w:r>
      <w:r w:rsidR="00824FB6">
        <w:rPr>
          <w:rFonts w:ascii="Times New Roman" w:hAnsi="Times New Roman" w:cs="Times New Roman"/>
          <w:sz w:val="18"/>
          <w:szCs w:val="18"/>
        </w:rPr>
        <w:t xml:space="preserve"> *, **, *** indicate significance at the 0.1, 0.05, and 0.01 levels, respectively.</w:t>
      </w:r>
    </w:p>
    <w:p w:rsidR="008E65D9" w:rsidRDefault="008E65D9" w:rsidP="008E65D9">
      <w:pPr>
        <w:spacing w:after="0" w:line="240" w:lineRule="auto"/>
        <w:jc w:val="both"/>
        <w:rPr>
          <w:rFonts w:ascii="Times New Roman" w:hAnsi="Times New Roman" w:cs="Times New Roman"/>
          <w:color w:val="000000"/>
          <w:sz w:val="18"/>
          <w:szCs w:val="18"/>
        </w:rPr>
      </w:pPr>
    </w:p>
    <w:tbl>
      <w:tblPr>
        <w:tblW w:w="10080" w:type="dxa"/>
        <w:jc w:val="center"/>
        <w:tblLayout w:type="fixed"/>
        <w:tblCellMar>
          <w:left w:w="29" w:type="dxa"/>
          <w:right w:w="29" w:type="dxa"/>
        </w:tblCellMar>
        <w:tblLook w:val="04A0" w:firstRow="1" w:lastRow="0" w:firstColumn="1" w:lastColumn="0" w:noHBand="0" w:noVBand="1"/>
      </w:tblPr>
      <w:tblGrid>
        <w:gridCol w:w="1297"/>
        <w:gridCol w:w="1019"/>
        <w:gridCol w:w="720"/>
        <w:gridCol w:w="20"/>
        <w:gridCol w:w="893"/>
        <w:gridCol w:w="7"/>
        <w:gridCol w:w="1065"/>
        <w:gridCol w:w="14"/>
        <w:gridCol w:w="721"/>
        <w:gridCol w:w="1071"/>
        <w:gridCol w:w="8"/>
        <w:gridCol w:w="952"/>
        <w:gridCol w:w="38"/>
        <w:gridCol w:w="900"/>
        <w:gridCol w:w="41"/>
        <w:gridCol w:w="864"/>
        <w:gridCol w:w="450"/>
      </w:tblGrid>
      <w:tr w:rsidR="008E65D9" w:rsidRPr="00C07CDE" w:rsidTr="00175925">
        <w:trPr>
          <w:trHeight w:val="144"/>
          <w:jc w:val="center"/>
        </w:trPr>
        <w:tc>
          <w:tcPr>
            <w:tcW w:w="1299" w:type="dxa"/>
            <w:tcBorders>
              <w:top w:val="single" w:sz="4" w:space="0" w:color="auto"/>
              <w:left w:val="nil"/>
              <w:right w:val="nil"/>
            </w:tcBorders>
            <w:shd w:val="clear" w:color="auto" w:fill="auto"/>
            <w:noWrap/>
            <w:vAlign w:val="bottom"/>
            <w:hideMark/>
          </w:tcPr>
          <w:p w:rsidR="008E65D9" w:rsidRPr="00C07CDE" w:rsidRDefault="008E65D9" w:rsidP="00575A5A">
            <w:pPr>
              <w:tabs>
                <w:tab w:val="left" w:pos="660"/>
              </w:tabs>
              <w:spacing w:after="0" w:line="240" w:lineRule="auto"/>
              <w:rPr>
                <w:rFonts w:ascii="Calibri" w:eastAsia="Times New Roman" w:hAnsi="Calibri" w:cs="Calibri"/>
                <w:color w:val="000000"/>
              </w:rPr>
            </w:pPr>
          </w:p>
        </w:tc>
        <w:tc>
          <w:tcPr>
            <w:tcW w:w="2660" w:type="dxa"/>
            <w:gridSpan w:val="5"/>
            <w:tcBorders>
              <w:top w:val="single" w:sz="4" w:space="0" w:color="auto"/>
              <w:left w:val="nil"/>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Year 1</w:t>
            </w:r>
          </w:p>
        </w:tc>
        <w:tc>
          <w:tcPr>
            <w:tcW w:w="2881" w:type="dxa"/>
            <w:gridSpan w:val="5"/>
            <w:tcBorders>
              <w:top w:val="single" w:sz="4" w:space="0" w:color="auto"/>
              <w:left w:val="nil"/>
              <w:right w:val="nil"/>
            </w:tcBorders>
            <w:shd w:val="clear" w:color="auto" w:fill="auto"/>
            <w:noWrap/>
            <w:vAlign w:val="center"/>
            <w:hideMark/>
          </w:tcPr>
          <w:p w:rsidR="008E65D9" w:rsidRPr="000F7983" w:rsidRDefault="000235B2" w:rsidP="00575A5A">
            <w:pPr>
              <w:tabs>
                <w:tab w:val="left" w:pos="660"/>
              </w:tabs>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Y</w:t>
            </w:r>
            <w:r w:rsidR="008E65D9" w:rsidRPr="000F7983">
              <w:rPr>
                <w:rFonts w:ascii="Times New Roman" w:eastAsia="Times New Roman" w:hAnsi="Times New Roman" w:cs="Times New Roman"/>
                <w:bCs/>
                <w:color w:val="000000"/>
                <w:sz w:val="18"/>
                <w:szCs w:val="18"/>
              </w:rPr>
              <w:t>ear</w:t>
            </w:r>
            <w:r w:rsidR="008E65D9">
              <w:rPr>
                <w:rFonts w:ascii="Times New Roman" w:eastAsia="Times New Roman" w:hAnsi="Times New Roman" w:cs="Times New Roman"/>
                <w:bCs/>
                <w:color w:val="000000"/>
                <w:sz w:val="18"/>
                <w:szCs w:val="18"/>
              </w:rPr>
              <w:t>s</w:t>
            </w:r>
            <w:r w:rsidR="008E65D9" w:rsidRPr="000F7983">
              <w:rPr>
                <w:rFonts w:ascii="Times New Roman" w:eastAsia="Times New Roman" w:hAnsi="Times New Roman" w:cs="Times New Roman"/>
                <w:bCs/>
                <w:color w:val="000000"/>
                <w:sz w:val="18"/>
                <w:szCs w:val="18"/>
              </w:rPr>
              <w:t xml:space="preserve"> </w:t>
            </w:r>
            <w:r w:rsidR="008E65D9">
              <w:rPr>
                <w:rFonts w:ascii="Times New Roman" w:eastAsia="Times New Roman" w:hAnsi="Times New Roman" w:cs="Times New Roman"/>
                <w:bCs/>
                <w:color w:val="000000"/>
                <w:sz w:val="18"/>
                <w:szCs w:val="18"/>
              </w:rPr>
              <w:t>1-</w:t>
            </w:r>
            <w:r w:rsidR="008E65D9" w:rsidRPr="000F7983">
              <w:rPr>
                <w:rFonts w:ascii="Times New Roman" w:eastAsia="Times New Roman" w:hAnsi="Times New Roman" w:cs="Times New Roman"/>
                <w:bCs/>
                <w:color w:val="000000"/>
                <w:sz w:val="18"/>
                <w:szCs w:val="18"/>
              </w:rPr>
              <w:t>2</w:t>
            </w:r>
          </w:p>
        </w:tc>
        <w:tc>
          <w:tcPr>
            <w:tcW w:w="3240" w:type="dxa"/>
            <w:gridSpan w:val="6"/>
            <w:tcBorders>
              <w:top w:val="single" w:sz="4" w:space="0" w:color="auto"/>
              <w:left w:val="nil"/>
              <w:right w:val="nil"/>
            </w:tcBorders>
            <w:shd w:val="clear" w:color="auto" w:fill="auto"/>
            <w:noWrap/>
            <w:vAlign w:val="center"/>
            <w:hideMark/>
          </w:tcPr>
          <w:p w:rsidR="008E65D9" w:rsidRPr="000F7983" w:rsidRDefault="000235B2" w:rsidP="00575A5A">
            <w:pPr>
              <w:tabs>
                <w:tab w:val="left" w:pos="660"/>
              </w:tabs>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Y</w:t>
            </w:r>
            <w:r w:rsidR="008E65D9" w:rsidRPr="000F7983">
              <w:rPr>
                <w:rFonts w:ascii="Times New Roman" w:eastAsia="Times New Roman" w:hAnsi="Times New Roman" w:cs="Times New Roman"/>
                <w:bCs/>
                <w:color w:val="000000"/>
                <w:sz w:val="18"/>
                <w:szCs w:val="18"/>
              </w:rPr>
              <w:t>ear</w:t>
            </w:r>
            <w:r w:rsidR="008E65D9">
              <w:rPr>
                <w:rFonts w:ascii="Times New Roman" w:eastAsia="Times New Roman" w:hAnsi="Times New Roman" w:cs="Times New Roman"/>
                <w:bCs/>
                <w:color w:val="000000"/>
                <w:sz w:val="18"/>
                <w:szCs w:val="18"/>
              </w:rPr>
              <w:t>s</w:t>
            </w:r>
            <w:r w:rsidR="008E65D9" w:rsidRPr="000F7983">
              <w:rPr>
                <w:rFonts w:ascii="Times New Roman" w:eastAsia="Times New Roman" w:hAnsi="Times New Roman" w:cs="Times New Roman"/>
                <w:bCs/>
                <w:color w:val="000000"/>
                <w:sz w:val="18"/>
                <w:szCs w:val="18"/>
              </w:rPr>
              <w:t xml:space="preserve"> </w:t>
            </w:r>
            <w:r w:rsidR="008E65D9">
              <w:rPr>
                <w:rFonts w:ascii="Times New Roman" w:eastAsia="Times New Roman" w:hAnsi="Times New Roman" w:cs="Times New Roman"/>
                <w:bCs/>
                <w:color w:val="000000"/>
                <w:sz w:val="18"/>
                <w:szCs w:val="18"/>
              </w:rPr>
              <w:t>1-3</w:t>
            </w:r>
          </w:p>
        </w:tc>
      </w:tr>
      <w:tr w:rsidR="008E65D9" w:rsidRPr="00C07CDE" w:rsidTr="00175925">
        <w:trPr>
          <w:gridAfter w:val="1"/>
          <w:wAfter w:w="450" w:type="dxa"/>
          <w:trHeight w:val="144"/>
          <w:jc w:val="center"/>
        </w:trPr>
        <w:tc>
          <w:tcPr>
            <w:tcW w:w="1299" w:type="dxa"/>
            <w:tcBorders>
              <w:left w:val="nil"/>
              <w:bottom w:val="single" w:sz="8" w:space="0" w:color="auto"/>
              <w:right w:val="nil"/>
            </w:tcBorders>
            <w:shd w:val="clear" w:color="auto" w:fill="auto"/>
            <w:noWrap/>
            <w:vAlign w:val="bottom"/>
            <w:hideMark/>
          </w:tcPr>
          <w:p w:rsidR="008E65D9" w:rsidRPr="00C07CDE" w:rsidRDefault="008E65D9" w:rsidP="00575A5A">
            <w:pPr>
              <w:tabs>
                <w:tab w:val="left" w:pos="660"/>
              </w:tabs>
              <w:spacing w:after="0" w:line="240" w:lineRule="auto"/>
              <w:rPr>
                <w:rFonts w:ascii="Calibri" w:eastAsia="Times New Roman" w:hAnsi="Calibri" w:cs="Calibri"/>
                <w:color w:val="000000"/>
              </w:rPr>
            </w:pPr>
            <w:r w:rsidRPr="00C07CDE">
              <w:rPr>
                <w:rFonts w:ascii="Calibri" w:eastAsia="Times New Roman" w:hAnsi="Calibri" w:cs="Calibri"/>
                <w:color w:val="000000"/>
              </w:rPr>
              <w:t> </w:t>
            </w:r>
          </w:p>
        </w:tc>
        <w:tc>
          <w:tcPr>
            <w:tcW w:w="1020"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ROA</w:t>
            </w:r>
          </w:p>
        </w:tc>
        <w:tc>
          <w:tcPr>
            <w:tcW w:w="740" w:type="dxa"/>
            <w:gridSpan w:val="2"/>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ROE</w:t>
            </w:r>
          </w:p>
        </w:tc>
        <w:tc>
          <w:tcPr>
            <w:tcW w:w="900" w:type="dxa"/>
            <w:gridSpan w:val="2"/>
            <w:tcBorders>
              <w:left w:val="nil"/>
              <w:bottom w:val="single" w:sz="8" w:space="0" w:color="auto"/>
              <w:right w:val="single" w:sz="8" w:space="0" w:color="auto"/>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ROI</w:t>
            </w:r>
          </w:p>
        </w:tc>
        <w:tc>
          <w:tcPr>
            <w:tcW w:w="1080" w:type="dxa"/>
            <w:gridSpan w:val="2"/>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ROA</w:t>
            </w:r>
          </w:p>
        </w:tc>
        <w:tc>
          <w:tcPr>
            <w:tcW w:w="721"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ROE</w:t>
            </w:r>
          </w:p>
        </w:tc>
        <w:tc>
          <w:tcPr>
            <w:tcW w:w="1080" w:type="dxa"/>
            <w:gridSpan w:val="2"/>
            <w:tcBorders>
              <w:left w:val="nil"/>
              <w:bottom w:val="single" w:sz="8" w:space="0" w:color="auto"/>
              <w:right w:val="single" w:sz="8" w:space="0" w:color="auto"/>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ROI</w:t>
            </w:r>
          </w:p>
        </w:tc>
        <w:tc>
          <w:tcPr>
            <w:tcW w:w="990" w:type="dxa"/>
            <w:gridSpan w:val="2"/>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ROA</w:t>
            </w:r>
          </w:p>
        </w:tc>
        <w:tc>
          <w:tcPr>
            <w:tcW w:w="900"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ROE</w:t>
            </w:r>
          </w:p>
        </w:tc>
        <w:tc>
          <w:tcPr>
            <w:tcW w:w="900" w:type="dxa"/>
            <w:gridSpan w:val="2"/>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ROI</w:t>
            </w:r>
          </w:p>
        </w:tc>
      </w:tr>
      <w:tr w:rsidR="008E65D9" w:rsidRPr="00C07CDE" w:rsidTr="00175925">
        <w:trPr>
          <w:gridAfter w:val="1"/>
          <w:wAfter w:w="450" w:type="dxa"/>
          <w:trHeight w:hRule="exact" w:val="72"/>
          <w:jc w:val="center"/>
        </w:trPr>
        <w:tc>
          <w:tcPr>
            <w:tcW w:w="1299"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rPr>
                <w:rFonts w:ascii="Times New Roman" w:eastAsia="Times New Roman" w:hAnsi="Times New Roman" w:cs="Times New Roman"/>
                <w:color w:val="000000"/>
                <w:sz w:val="16"/>
                <w:szCs w:val="16"/>
              </w:rPr>
            </w:pPr>
          </w:p>
        </w:tc>
        <w:tc>
          <w:tcPr>
            <w:tcW w:w="1020"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40" w:type="dxa"/>
            <w:gridSpan w:val="2"/>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00" w:type="dxa"/>
            <w:gridSpan w:val="2"/>
            <w:tcBorders>
              <w:top w:val="single" w:sz="8" w:space="0" w:color="auto"/>
              <w:left w:val="nil"/>
              <w:bottom w:val="nil"/>
              <w:right w:val="single" w:sz="8" w:space="0" w:color="auto"/>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80" w:type="dxa"/>
            <w:gridSpan w:val="2"/>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21"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80" w:type="dxa"/>
            <w:gridSpan w:val="2"/>
            <w:tcBorders>
              <w:top w:val="single" w:sz="8" w:space="0" w:color="auto"/>
              <w:left w:val="nil"/>
              <w:bottom w:val="nil"/>
              <w:right w:val="single" w:sz="8" w:space="0" w:color="auto"/>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90" w:type="dxa"/>
            <w:gridSpan w:val="2"/>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00" w:type="dxa"/>
            <w:gridSpan w:val="2"/>
            <w:tcBorders>
              <w:top w:val="single" w:sz="8" w:space="0" w:color="auto"/>
              <w:lef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sidRPr="004E2142">
              <w:rPr>
                <w:rFonts w:ascii="Times New Roman" w:eastAsia="Times New Roman" w:hAnsi="Times New Roman" w:cs="Times New Roman"/>
                <w:color w:val="000000"/>
                <w:sz w:val="17"/>
                <w:szCs w:val="17"/>
              </w:rPr>
              <w:t>Comp. leverage</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-0.0089</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-0.0493</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-0.0123</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-0.0018</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-0.0506</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-0.0012</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-0.0009</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-0.0119</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0.0019</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(-1.14)</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(-1.29)</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(-0.77)</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(-0.24)</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(-1.17)</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(-0.08)</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(-0.13)</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(-0.26)</w:t>
            </w:r>
          </w:p>
        </w:tc>
        <w:tc>
          <w:tcPr>
            <w:tcW w:w="864" w:type="dxa"/>
            <w:tcBorders>
              <w:top w:val="nil"/>
              <w:left w:val="nil"/>
              <w:bottom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0.13)</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sidRPr="004E2142">
              <w:rPr>
                <w:rFonts w:ascii="Times New Roman" w:eastAsia="Times New Roman" w:hAnsi="Times New Roman" w:cs="Times New Roman"/>
                <w:color w:val="000000"/>
                <w:sz w:val="17"/>
                <w:szCs w:val="17"/>
              </w:rPr>
              <w:t>Dividend yield</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-0.139</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-1.279**</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-0.131</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-0.0964</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-1.825*</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-0.0856</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-0.0967</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-1.410**</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-0.0986</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(-2.48)</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(-0.88)</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(-1.06)</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(-2.17)</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(-0.65)</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(-1.38)</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(-2.59)</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(-1.04)</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Comp. leverage*</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0.843</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3.974**</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3.107**</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1.123*</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6.550**</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3.542**</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1.279**</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6.656***</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3.884***</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E24DDD" w:rsidP="00272F46">
            <w:pPr>
              <w:tabs>
                <w:tab w:val="left" w:pos="660"/>
              </w:tabs>
              <w:spacing w:after="0" w:line="240" w:lineRule="auto"/>
              <w:rPr>
                <w:rFonts w:ascii="Times New Roman" w:eastAsia="Times New Roman" w:hAnsi="Times New Roman" w:cs="Times New Roman"/>
                <w:iCs/>
                <w:color w:val="000000"/>
                <w:sz w:val="17"/>
                <w:szCs w:val="17"/>
              </w:rPr>
            </w:pPr>
            <w:r>
              <w:rPr>
                <w:rFonts w:ascii="Times New Roman" w:eastAsia="Times New Roman" w:hAnsi="Times New Roman" w:cs="Times New Roman"/>
                <w:iCs/>
                <w:color w:val="000000"/>
                <w:sz w:val="17"/>
                <w:szCs w:val="17"/>
              </w:rPr>
              <w:t xml:space="preserve">    </w:t>
            </w:r>
            <w:r w:rsidR="00272F46">
              <w:rPr>
                <w:rFonts w:ascii="Times New Roman" w:eastAsia="Times New Roman" w:hAnsi="Times New Roman" w:cs="Times New Roman"/>
                <w:iCs/>
                <w:color w:val="000000"/>
                <w:sz w:val="17"/>
                <w:szCs w:val="17"/>
              </w:rPr>
              <w:t>Dividend yield</w:t>
            </w:r>
          </w:p>
        </w:tc>
        <w:tc>
          <w:tcPr>
            <w:tcW w:w="1020" w:type="dxa"/>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1.49)</w:t>
            </w:r>
          </w:p>
        </w:tc>
        <w:tc>
          <w:tcPr>
            <w:tcW w:w="720" w:type="dxa"/>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2.47)</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3.35)</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1.97)</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3.13)</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3.33)</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2.47)</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4.58)</w:t>
            </w:r>
          </w:p>
        </w:tc>
        <w:tc>
          <w:tcPr>
            <w:tcW w:w="864" w:type="dxa"/>
            <w:tcBorders>
              <w:top w:val="nil"/>
              <w:left w:val="nil"/>
              <w:bottom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3.73)</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i/>
                <w:iCs/>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Salary and </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Bonus/assets</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(-0.56)</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(-0.66)</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(-0.56)</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(-0.51)</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(-0.55)</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(-0.40)</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(-0.06)</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(-0.09)</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Stock-options/</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0.0006*</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0.0017*</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0.0010**</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0.0006**</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0.0023***</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0.0010**</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0.0005***</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0.0020***</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0.0009***</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assets</w:t>
            </w:r>
          </w:p>
        </w:tc>
        <w:tc>
          <w:tcPr>
            <w:tcW w:w="1020" w:type="dxa"/>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2.08)</w:t>
            </w:r>
          </w:p>
        </w:tc>
        <w:tc>
          <w:tcPr>
            <w:tcW w:w="720" w:type="dxa"/>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2.14)</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2.32)</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3.20)</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3.91)</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3.35)</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4.68)</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4.42)</w:t>
            </w:r>
          </w:p>
        </w:tc>
        <w:tc>
          <w:tcPr>
            <w:tcW w:w="864" w:type="dxa"/>
            <w:tcBorders>
              <w:top w:val="nil"/>
              <w:left w:val="nil"/>
              <w:bottom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4.01)</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Log(</w:t>
            </w:r>
            <w:r w:rsidRPr="004E2142">
              <w:rPr>
                <w:rFonts w:ascii="Times New Roman" w:eastAsia="Times New Roman" w:hAnsi="Times New Roman" w:cs="Times New Roman"/>
                <w:color w:val="000000"/>
                <w:sz w:val="17"/>
                <w:szCs w:val="17"/>
              </w:rPr>
              <w:t>size</w:t>
            </w:r>
            <w:r>
              <w:rPr>
                <w:rFonts w:ascii="Times New Roman" w:eastAsia="Times New Roman" w:hAnsi="Times New Roman" w:cs="Times New Roman"/>
                <w:color w:val="000000"/>
                <w:sz w:val="17"/>
                <w:szCs w:val="17"/>
              </w:rPr>
              <w:t>)</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-0.0114***</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-0.0137</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-0.0039</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-0.0114***</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-0.0173</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-0.0053</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-0.0123***</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-0.0177</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-0.007</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(-3.77)</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(-0.77)</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(-0.57)</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(-4.74)</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(-1.04)</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(-0.86)</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(-7.10)</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(-1.25)</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Book-to-market</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0.0006**</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-0.0003</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-0.0003</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0.0003</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E24DDD"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w:t>
            </w:r>
            <w:r w:rsidR="00272F46">
              <w:rPr>
                <w:rFonts w:ascii="Times New Roman" w:eastAsia="Times New Roman" w:hAnsi="Times New Roman" w:cs="Times New Roman"/>
                <w:color w:val="000000"/>
                <w:sz w:val="17"/>
                <w:szCs w:val="17"/>
              </w:rPr>
              <w:t>atio</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(1.03)</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(-0.38)</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2.52)</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(-0.48)</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(-0.97)</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1.39)</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(-1.75)</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(-1.48)</w:t>
            </w:r>
          </w:p>
        </w:tc>
        <w:tc>
          <w:tcPr>
            <w:tcW w:w="864" w:type="dxa"/>
            <w:tcBorders>
              <w:top w:val="nil"/>
              <w:left w:val="nil"/>
              <w:bottom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0.56)</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Debt/equity</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0.0072**</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-0.0004</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0.0004</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0.0074**</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-0.0005</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0.0036</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-0.0004</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0.40)</w:t>
            </w:r>
          </w:p>
        </w:tc>
        <w:tc>
          <w:tcPr>
            <w:tcW w:w="720" w:type="dxa"/>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2.65)</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(-0.51)</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0.16)</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3.35)</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(-0.85)</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0.30)</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1.42)</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(-0.50)</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Capital exp./</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-0.130**</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-0.650***</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-0.302***</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-0.0994*</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-0.472*</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-0.245**</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-0.125***</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-0.502**</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-0.285***</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assets</w:t>
            </w:r>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(-2.44)</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(-4.20)</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(-3.55)</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(-2.06)</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(-1.99)</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(-2.85)</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(-3.51)</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(-3.01)</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(-4.40)</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Cash flow </w:t>
            </w:r>
            <w:proofErr w:type="spellStart"/>
            <w:r>
              <w:rPr>
                <w:rFonts w:ascii="Times New Roman" w:eastAsia="Times New Roman" w:hAnsi="Times New Roman" w:cs="Times New Roman"/>
                <w:color w:val="000000"/>
                <w:sz w:val="17"/>
                <w:szCs w:val="17"/>
              </w:rPr>
              <w:t>oper</w:t>
            </w:r>
            <w:proofErr w:type="spellEnd"/>
            <w:proofErr w:type="gramStart"/>
            <w:r w:rsidR="00324C3A">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w:t>
            </w:r>
            <w:proofErr w:type="gramEnd"/>
          </w:p>
        </w:tc>
        <w:tc>
          <w:tcPr>
            <w:tcW w:w="10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0.409***</w:t>
            </w:r>
          </w:p>
        </w:tc>
        <w:tc>
          <w:tcPr>
            <w:tcW w:w="720" w:type="dxa"/>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0.901***</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0.618***</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0.373***</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0.631**</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0.553***</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0.374***</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0.659***</w:t>
            </w:r>
          </w:p>
        </w:tc>
        <w:tc>
          <w:tcPr>
            <w:tcW w:w="864" w:type="dxa"/>
            <w:tcBorders>
              <w:top w:val="nil"/>
              <w:left w:val="nil"/>
              <w:bottom w:val="nil"/>
            </w:tcBorders>
            <w:shd w:val="clear" w:color="auto" w:fill="auto"/>
            <w:noWrap/>
            <w:tcMar>
              <w:left w:w="0" w:type="dxa"/>
              <w:right w:w="0" w:type="dxa"/>
            </w:tcMar>
            <w:hideMark/>
          </w:tcPr>
          <w:p w:rsidR="00272F46" w:rsidRDefault="00272F46"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0.559***</w:t>
            </w:r>
          </w:p>
        </w:tc>
      </w:tr>
      <w:tr w:rsidR="00272F46"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272F46" w:rsidRPr="004E2142" w:rsidRDefault="00272F46" w:rsidP="00272F46">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assets</w:t>
            </w:r>
          </w:p>
        </w:tc>
        <w:tc>
          <w:tcPr>
            <w:tcW w:w="1020" w:type="dxa"/>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17.02)</w:t>
            </w:r>
          </w:p>
        </w:tc>
        <w:tc>
          <w:tcPr>
            <w:tcW w:w="720" w:type="dxa"/>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11.13)</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16.97)</w:t>
            </w:r>
          </w:p>
        </w:tc>
        <w:tc>
          <w:tcPr>
            <w:tcW w:w="1073"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11.00)</w:t>
            </w:r>
          </w:p>
        </w:tc>
        <w:tc>
          <w:tcPr>
            <w:tcW w:w="735"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2.64)</w:t>
            </w:r>
          </w:p>
        </w:tc>
        <w:tc>
          <w:tcPr>
            <w:tcW w:w="1072" w:type="dxa"/>
            <w:tcBorders>
              <w:top w:val="nil"/>
              <w:left w:val="nil"/>
              <w:bottom w:val="nil"/>
              <w:right w:val="single" w:sz="8" w:space="0" w:color="auto"/>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10.27)</w:t>
            </w:r>
          </w:p>
        </w:tc>
        <w:tc>
          <w:tcPr>
            <w:tcW w:w="960" w:type="dxa"/>
            <w:gridSpan w:val="2"/>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13.75)</w:t>
            </w:r>
          </w:p>
        </w:tc>
        <w:tc>
          <w:tcPr>
            <w:tcW w:w="979" w:type="dxa"/>
            <w:gridSpan w:val="3"/>
            <w:tcBorders>
              <w:top w:val="nil"/>
              <w:left w:val="nil"/>
              <w:bottom w:val="nil"/>
              <w:right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4.15)</w:t>
            </w:r>
          </w:p>
        </w:tc>
        <w:tc>
          <w:tcPr>
            <w:tcW w:w="864" w:type="dxa"/>
            <w:tcBorders>
              <w:top w:val="nil"/>
              <w:left w:val="nil"/>
              <w:bottom w:val="nil"/>
            </w:tcBorders>
            <w:shd w:val="clear" w:color="auto" w:fill="auto"/>
            <w:noWrap/>
            <w:tcMar>
              <w:left w:w="0" w:type="dxa"/>
              <w:right w:w="0" w:type="dxa"/>
            </w:tcMar>
            <w:hideMark/>
          </w:tcPr>
          <w:p w:rsidR="00272F46" w:rsidRDefault="00C82670" w:rsidP="00272F4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272F46">
              <w:rPr>
                <w:rFonts w:ascii="Times New Roman" w:hAnsi="Times New Roman" w:cs="Times New Roman"/>
                <w:color w:val="000000"/>
                <w:sz w:val="16"/>
                <w:szCs w:val="16"/>
              </w:rPr>
              <w:t>12.45)</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Distance-to-</w:t>
            </w:r>
          </w:p>
        </w:tc>
        <w:tc>
          <w:tcPr>
            <w:tcW w:w="10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0.0032</w:t>
            </w:r>
          </w:p>
        </w:tc>
        <w:tc>
          <w:tcPr>
            <w:tcW w:w="7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0.0092</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0.0036</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0.0041*</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0.0162*</w:t>
            </w:r>
          </w:p>
        </w:tc>
        <w:tc>
          <w:tcPr>
            <w:tcW w:w="1072" w:type="dxa"/>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0.0055</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0.0041*</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0.0134*</w:t>
            </w:r>
          </w:p>
        </w:tc>
        <w:tc>
          <w:tcPr>
            <w:tcW w:w="864" w:type="dxa"/>
            <w:tcBorders>
              <w:top w:val="nil"/>
              <w:left w:val="nil"/>
              <w:bottom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0.0055</w:t>
            </w: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default </w:t>
            </w:r>
          </w:p>
        </w:tc>
        <w:tc>
          <w:tcPr>
            <w:tcW w:w="1020" w:type="dxa"/>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1.53)</w:t>
            </w:r>
          </w:p>
        </w:tc>
        <w:tc>
          <w:tcPr>
            <w:tcW w:w="720" w:type="dxa"/>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1.14)</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0.93)</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2.06)</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2.02)</w:t>
            </w:r>
          </w:p>
        </w:tc>
        <w:tc>
          <w:tcPr>
            <w:tcW w:w="1072" w:type="dxa"/>
            <w:tcBorders>
              <w:top w:val="nil"/>
              <w:left w:val="nil"/>
              <w:bottom w:val="nil"/>
              <w:right w:val="single" w:sz="8" w:space="0" w:color="auto"/>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1.50)</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2.62)</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2.00)</w:t>
            </w:r>
          </w:p>
        </w:tc>
        <w:tc>
          <w:tcPr>
            <w:tcW w:w="864" w:type="dxa"/>
            <w:tcBorders>
              <w:top w:val="nil"/>
              <w:left w:val="nil"/>
              <w:bottom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1.84)</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Firm age</w:t>
            </w:r>
          </w:p>
        </w:tc>
        <w:tc>
          <w:tcPr>
            <w:tcW w:w="10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7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1072" w:type="dxa"/>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864" w:type="dxa"/>
            <w:tcBorders>
              <w:top w:val="nil"/>
              <w:left w:val="nil"/>
              <w:bottom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0.68)</w:t>
            </w:r>
          </w:p>
        </w:tc>
        <w:tc>
          <w:tcPr>
            <w:tcW w:w="720" w:type="dxa"/>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1.46)</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2.52)</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0.49)</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1.22)</w:t>
            </w:r>
          </w:p>
        </w:tc>
        <w:tc>
          <w:tcPr>
            <w:tcW w:w="1072" w:type="dxa"/>
            <w:tcBorders>
              <w:top w:val="nil"/>
              <w:left w:val="nil"/>
              <w:bottom w:val="nil"/>
              <w:right w:val="single" w:sz="8" w:space="0" w:color="auto"/>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2.10)</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0.76)</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1.40)</w:t>
            </w:r>
          </w:p>
        </w:tc>
        <w:tc>
          <w:tcPr>
            <w:tcW w:w="864" w:type="dxa"/>
            <w:tcBorders>
              <w:top w:val="nil"/>
              <w:left w:val="nil"/>
              <w:bottom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2.05)</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Past stock return</w:t>
            </w:r>
          </w:p>
        </w:tc>
        <w:tc>
          <w:tcPr>
            <w:tcW w:w="10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0.0044**</w:t>
            </w:r>
          </w:p>
        </w:tc>
        <w:tc>
          <w:tcPr>
            <w:tcW w:w="7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0.0162</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0.0091*</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0.0040*</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0.0182</w:t>
            </w:r>
          </w:p>
        </w:tc>
        <w:tc>
          <w:tcPr>
            <w:tcW w:w="1072" w:type="dxa"/>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0.0076*</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0.0025</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0.0123</w:t>
            </w:r>
          </w:p>
        </w:tc>
        <w:tc>
          <w:tcPr>
            <w:tcW w:w="864" w:type="dxa"/>
            <w:tcBorders>
              <w:top w:val="nil"/>
              <w:left w:val="nil"/>
              <w:bottom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0.0049</w:t>
            </w: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2.47)</w:t>
            </w:r>
          </w:p>
        </w:tc>
        <w:tc>
          <w:tcPr>
            <w:tcW w:w="720" w:type="dxa"/>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1.81)</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2.00)</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2.17)</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1.54)</w:t>
            </w:r>
          </w:p>
        </w:tc>
        <w:tc>
          <w:tcPr>
            <w:tcW w:w="1072" w:type="dxa"/>
            <w:tcBorders>
              <w:top w:val="nil"/>
              <w:left w:val="nil"/>
              <w:bottom w:val="nil"/>
              <w:right w:val="single" w:sz="8" w:space="0" w:color="auto"/>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1.98)</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1.68)</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1.38)</w:t>
            </w:r>
          </w:p>
        </w:tc>
        <w:tc>
          <w:tcPr>
            <w:tcW w:w="864" w:type="dxa"/>
            <w:tcBorders>
              <w:top w:val="nil"/>
              <w:left w:val="nil"/>
              <w:bottom w:val="nil"/>
            </w:tcBorders>
            <w:shd w:val="clear" w:color="auto" w:fill="auto"/>
            <w:noWrap/>
            <w:tcMar>
              <w:left w:w="0" w:type="dxa"/>
              <w:right w:w="0" w:type="dxa"/>
            </w:tcMar>
            <w:hideMark/>
          </w:tcPr>
          <w:p w:rsidR="003C6507" w:rsidRDefault="00C82670"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C6507">
              <w:rPr>
                <w:rFonts w:ascii="Times New Roman" w:hAnsi="Times New Roman" w:cs="Times New Roman"/>
                <w:color w:val="000000"/>
                <w:sz w:val="16"/>
                <w:szCs w:val="16"/>
              </w:rPr>
              <w:t>1.44)</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Liquidity </w:t>
            </w:r>
          </w:p>
        </w:tc>
        <w:tc>
          <w:tcPr>
            <w:tcW w:w="10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-0.0146</w:t>
            </w:r>
          </w:p>
        </w:tc>
        <w:tc>
          <w:tcPr>
            <w:tcW w:w="7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-0.0096</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-0.0179</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-0.0057</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-0.0019</w:t>
            </w:r>
          </w:p>
        </w:tc>
        <w:tc>
          <w:tcPr>
            <w:tcW w:w="1072" w:type="dxa"/>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-0.0054</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-0.0126</w:t>
            </w:r>
          </w:p>
        </w:tc>
        <w:tc>
          <w:tcPr>
            <w:tcW w:w="864" w:type="dxa"/>
            <w:tcBorders>
              <w:top w:val="nil"/>
              <w:left w:val="nil"/>
              <w:bottom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-0.006</w:t>
            </w: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constraint</w:t>
            </w:r>
          </w:p>
        </w:tc>
        <w:tc>
          <w:tcPr>
            <w:tcW w:w="10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(-0.95)</w:t>
            </w:r>
          </w:p>
        </w:tc>
        <w:tc>
          <w:tcPr>
            <w:tcW w:w="7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(-0.15)</w:t>
            </w:r>
          </w:p>
        </w:tc>
        <w:tc>
          <w:tcPr>
            <w:tcW w:w="913" w:type="dxa"/>
            <w:gridSpan w:val="2"/>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(-0.73)</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(-0.44)</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w:t>
            </w:r>
          </w:p>
        </w:tc>
        <w:tc>
          <w:tcPr>
            <w:tcW w:w="1072" w:type="dxa"/>
            <w:tcBorders>
              <w:top w:val="nil"/>
              <w:left w:val="nil"/>
              <w:bottom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(-0.48)</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(-0.45)</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(-0.36)</w:t>
            </w:r>
          </w:p>
        </w:tc>
        <w:tc>
          <w:tcPr>
            <w:tcW w:w="864" w:type="dxa"/>
            <w:tcBorders>
              <w:top w:val="nil"/>
              <w:left w:val="nil"/>
              <w:bottom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(-0.36)</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Tax loss</w:t>
            </w:r>
          </w:p>
        </w:tc>
        <w:tc>
          <w:tcPr>
            <w:tcW w:w="10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-0.0084***</w:t>
            </w:r>
          </w:p>
        </w:tc>
        <w:tc>
          <w:tcPr>
            <w:tcW w:w="7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-0.0046</w:t>
            </w:r>
          </w:p>
        </w:tc>
        <w:tc>
          <w:tcPr>
            <w:tcW w:w="913" w:type="dxa"/>
            <w:gridSpan w:val="2"/>
            <w:tcBorders>
              <w:top w:val="nil"/>
              <w:left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-0.0101*</w:t>
            </w:r>
          </w:p>
        </w:tc>
        <w:tc>
          <w:tcPr>
            <w:tcW w:w="1073"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-0.0089***</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-0.0136</w:t>
            </w:r>
          </w:p>
        </w:tc>
        <w:tc>
          <w:tcPr>
            <w:tcW w:w="1072" w:type="dxa"/>
            <w:tcBorders>
              <w:top w:val="nil"/>
              <w:left w:val="nil"/>
              <w:right w:val="single" w:sz="8"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-1.007***</w:t>
            </w:r>
          </w:p>
        </w:tc>
        <w:tc>
          <w:tcPr>
            <w:tcW w:w="960"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-0.0083***</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-0.0105</w:t>
            </w:r>
          </w:p>
        </w:tc>
        <w:tc>
          <w:tcPr>
            <w:tcW w:w="864" w:type="dxa"/>
            <w:tcBorders>
              <w:top w:val="nil"/>
              <w:left w:val="nil"/>
              <w:bottom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-0.0097***</w:t>
            </w:r>
          </w:p>
        </w:tc>
      </w:tr>
      <w:tr w:rsidR="003C6507" w:rsidRPr="00C07CDE" w:rsidTr="00175925">
        <w:trPr>
          <w:gridAfter w:val="1"/>
          <w:wAfter w:w="445" w:type="dxa"/>
          <w:trHeight w:val="144"/>
          <w:jc w:val="center"/>
        </w:trPr>
        <w:tc>
          <w:tcPr>
            <w:tcW w:w="1299" w:type="dxa"/>
            <w:tcBorders>
              <w:top w:val="nil"/>
              <w:left w:val="nil"/>
              <w:bottom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(-3.52)</w:t>
            </w:r>
          </w:p>
        </w:tc>
        <w:tc>
          <w:tcPr>
            <w:tcW w:w="720" w:type="dxa"/>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(-0.48)</w:t>
            </w:r>
          </w:p>
        </w:tc>
        <w:tc>
          <w:tcPr>
            <w:tcW w:w="913" w:type="dxa"/>
            <w:gridSpan w:val="2"/>
            <w:tcBorders>
              <w:top w:val="nil"/>
              <w:left w:val="nil"/>
              <w:bottom w:val="nil"/>
              <w:right w:val="single" w:sz="4"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(-2.30)</w:t>
            </w:r>
          </w:p>
        </w:tc>
        <w:tc>
          <w:tcPr>
            <w:tcW w:w="1073" w:type="dxa"/>
            <w:gridSpan w:val="2"/>
            <w:tcBorders>
              <w:top w:val="nil"/>
              <w:left w:val="single" w:sz="4" w:space="0" w:color="auto"/>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(-4.67)</w:t>
            </w:r>
          </w:p>
        </w:tc>
        <w:tc>
          <w:tcPr>
            <w:tcW w:w="735" w:type="dxa"/>
            <w:gridSpan w:val="2"/>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w:t>
            </w:r>
          </w:p>
        </w:tc>
        <w:tc>
          <w:tcPr>
            <w:tcW w:w="1072" w:type="dxa"/>
            <w:tcBorders>
              <w:top w:val="nil"/>
              <w:left w:val="nil"/>
              <w:bottom w:val="nil"/>
              <w:right w:val="single" w:sz="4"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(-4.06)</w:t>
            </w:r>
          </w:p>
        </w:tc>
        <w:tc>
          <w:tcPr>
            <w:tcW w:w="960" w:type="dxa"/>
            <w:gridSpan w:val="2"/>
            <w:tcBorders>
              <w:top w:val="nil"/>
              <w:left w:val="single" w:sz="4" w:space="0" w:color="auto"/>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(-5.92)</w:t>
            </w:r>
          </w:p>
        </w:tc>
        <w:tc>
          <w:tcPr>
            <w:tcW w:w="979" w:type="dxa"/>
            <w:gridSpan w:val="3"/>
            <w:tcBorders>
              <w:top w:val="nil"/>
              <w:left w:val="nil"/>
              <w:bottom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(-1.82)</w:t>
            </w:r>
          </w:p>
        </w:tc>
        <w:tc>
          <w:tcPr>
            <w:tcW w:w="864" w:type="dxa"/>
            <w:tcBorders>
              <w:top w:val="nil"/>
              <w:left w:val="nil"/>
              <w:bottom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(-4.64)</w:t>
            </w: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4"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gridSpan w:val="2"/>
            <w:tcBorders>
              <w:top w:val="nil"/>
              <w:left w:val="single" w:sz="4" w:space="0" w:color="auto"/>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4" w:space="0" w:color="auto"/>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gridSpan w:val="2"/>
            <w:tcBorders>
              <w:top w:val="nil"/>
              <w:left w:val="single" w:sz="4" w:space="0" w:color="auto"/>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864" w:type="dxa"/>
            <w:tcBorders>
              <w:top w:val="nil"/>
              <w:left w:val="nil"/>
              <w:bottom w:val="nil"/>
            </w:tcBorders>
            <w:shd w:val="clear" w:color="auto" w:fill="auto"/>
            <w:noWrap/>
            <w:tcMar>
              <w:left w:w="0" w:type="dxa"/>
              <w:right w:w="0" w:type="dxa"/>
            </w:tcMar>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8E65D9" w:rsidRPr="00C07CDE" w:rsidTr="00175925">
        <w:trPr>
          <w:gridAfter w:val="1"/>
          <w:wAfter w:w="445" w:type="dxa"/>
          <w:trHeight w:hRule="exact" w:val="72"/>
          <w:jc w:val="center"/>
        </w:trPr>
        <w:tc>
          <w:tcPr>
            <w:tcW w:w="1299" w:type="dxa"/>
            <w:tcBorders>
              <w:top w:val="nil"/>
              <w:left w:val="nil"/>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720" w:type="dxa"/>
            <w:tcBorders>
              <w:top w:val="nil"/>
              <w:left w:val="nil"/>
              <w:bottom w:val="nil"/>
              <w:right w:val="nil"/>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913" w:type="dxa"/>
            <w:gridSpan w:val="2"/>
            <w:tcBorders>
              <w:top w:val="nil"/>
              <w:left w:val="nil"/>
              <w:bottom w:val="nil"/>
              <w:right w:val="single" w:sz="4" w:space="0" w:color="auto"/>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73" w:type="dxa"/>
            <w:gridSpan w:val="2"/>
            <w:tcBorders>
              <w:top w:val="nil"/>
              <w:left w:val="single" w:sz="4" w:space="0" w:color="auto"/>
              <w:bottom w:val="nil"/>
              <w:right w:val="nil"/>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735" w:type="dxa"/>
            <w:gridSpan w:val="2"/>
            <w:tcBorders>
              <w:top w:val="nil"/>
              <w:left w:val="nil"/>
              <w:bottom w:val="nil"/>
              <w:right w:val="nil"/>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72" w:type="dxa"/>
            <w:tcBorders>
              <w:top w:val="nil"/>
              <w:left w:val="nil"/>
              <w:bottom w:val="nil"/>
              <w:right w:val="single" w:sz="4" w:space="0" w:color="auto"/>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960" w:type="dxa"/>
            <w:gridSpan w:val="2"/>
            <w:tcBorders>
              <w:top w:val="nil"/>
              <w:left w:val="single" w:sz="4" w:space="0" w:color="auto"/>
              <w:bottom w:val="nil"/>
              <w:right w:val="nil"/>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979" w:type="dxa"/>
            <w:gridSpan w:val="3"/>
            <w:tcBorders>
              <w:top w:val="nil"/>
              <w:left w:val="nil"/>
              <w:bottom w:val="nil"/>
              <w:right w:val="nil"/>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864" w:type="dxa"/>
            <w:tcBorders>
              <w:top w:val="nil"/>
              <w:left w:val="nil"/>
              <w:bottom w:val="nil"/>
              <w:right w:val="nil"/>
            </w:tcBorders>
            <w:shd w:val="clear" w:color="auto" w:fill="auto"/>
            <w:noWrap/>
            <w:tcMar>
              <w:left w:w="0" w:type="dxa"/>
              <w:right w:w="0" w:type="dxa"/>
            </w:tcMar>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r>
      <w:tr w:rsidR="00220A01" w:rsidRPr="00C07CDE" w:rsidTr="00175925">
        <w:trPr>
          <w:gridAfter w:val="1"/>
          <w:wAfter w:w="445" w:type="dxa"/>
          <w:trHeight w:val="144"/>
          <w:jc w:val="center"/>
        </w:trPr>
        <w:tc>
          <w:tcPr>
            <w:tcW w:w="1299" w:type="dxa"/>
            <w:tcBorders>
              <w:top w:val="nil"/>
              <w:left w:val="nil"/>
              <w:right w:val="nil"/>
            </w:tcBorders>
            <w:shd w:val="clear" w:color="auto" w:fill="auto"/>
            <w:noWrap/>
            <w:vAlign w:val="center"/>
          </w:tcPr>
          <w:p w:rsidR="00220A01" w:rsidRPr="003C6507" w:rsidRDefault="00220A01" w:rsidP="00220A01">
            <w:pPr>
              <w:tabs>
                <w:tab w:val="left" w:pos="660"/>
              </w:tabs>
              <w:spacing w:after="0" w:line="240" w:lineRule="auto"/>
              <w:rPr>
                <w:rFonts w:ascii="Times New Roman" w:eastAsia="Times New Roman" w:hAnsi="Times New Roman" w:cs="Times New Roman"/>
                <w:color w:val="000000"/>
                <w:sz w:val="17"/>
                <w:szCs w:val="17"/>
                <w:highlight w:val="yellow"/>
              </w:rPr>
            </w:pPr>
            <w:r w:rsidRPr="00C91DF3">
              <w:rPr>
                <w:rFonts w:ascii="Times New Roman" w:eastAsia="Times New Roman" w:hAnsi="Times New Roman" w:cs="Times New Roman"/>
                <w:color w:val="000000"/>
                <w:sz w:val="17"/>
                <w:szCs w:val="17"/>
              </w:rPr>
              <w:t>R-squared</w:t>
            </w:r>
          </w:p>
        </w:tc>
        <w:tc>
          <w:tcPr>
            <w:tcW w:w="1020" w:type="dxa"/>
            <w:tcBorders>
              <w:top w:val="nil"/>
              <w:left w:val="nil"/>
              <w:right w:val="nil"/>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0.3186</w:t>
            </w:r>
          </w:p>
        </w:tc>
        <w:tc>
          <w:tcPr>
            <w:tcW w:w="720" w:type="dxa"/>
            <w:tcBorders>
              <w:top w:val="nil"/>
              <w:left w:val="nil"/>
              <w:right w:val="nil"/>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0.1209</w:t>
            </w:r>
          </w:p>
        </w:tc>
        <w:tc>
          <w:tcPr>
            <w:tcW w:w="913" w:type="dxa"/>
            <w:gridSpan w:val="2"/>
            <w:tcBorders>
              <w:top w:val="nil"/>
              <w:left w:val="nil"/>
              <w:right w:val="single" w:sz="4" w:space="0" w:color="auto"/>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0.2386</w:t>
            </w:r>
          </w:p>
        </w:tc>
        <w:tc>
          <w:tcPr>
            <w:tcW w:w="1073" w:type="dxa"/>
            <w:gridSpan w:val="2"/>
            <w:tcBorders>
              <w:top w:val="nil"/>
              <w:left w:val="single" w:sz="4" w:space="0" w:color="auto"/>
              <w:right w:val="nil"/>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0.3776</w:t>
            </w:r>
          </w:p>
        </w:tc>
        <w:tc>
          <w:tcPr>
            <w:tcW w:w="735" w:type="dxa"/>
            <w:gridSpan w:val="2"/>
            <w:tcBorders>
              <w:top w:val="nil"/>
              <w:left w:val="nil"/>
              <w:right w:val="nil"/>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0.1298</w:t>
            </w:r>
          </w:p>
        </w:tc>
        <w:tc>
          <w:tcPr>
            <w:tcW w:w="1072" w:type="dxa"/>
            <w:tcBorders>
              <w:top w:val="nil"/>
              <w:left w:val="nil"/>
              <w:right w:val="single" w:sz="4" w:space="0" w:color="auto"/>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0.2754</w:t>
            </w:r>
          </w:p>
        </w:tc>
        <w:tc>
          <w:tcPr>
            <w:tcW w:w="960" w:type="dxa"/>
            <w:gridSpan w:val="2"/>
            <w:tcBorders>
              <w:top w:val="nil"/>
              <w:left w:val="single" w:sz="4" w:space="0" w:color="auto"/>
              <w:right w:val="nil"/>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0.4357</w:t>
            </w:r>
          </w:p>
        </w:tc>
        <w:tc>
          <w:tcPr>
            <w:tcW w:w="979" w:type="dxa"/>
            <w:gridSpan w:val="3"/>
            <w:tcBorders>
              <w:top w:val="nil"/>
              <w:left w:val="nil"/>
              <w:right w:val="nil"/>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0.1577</w:t>
            </w:r>
          </w:p>
        </w:tc>
        <w:tc>
          <w:tcPr>
            <w:tcW w:w="864" w:type="dxa"/>
            <w:tcBorders>
              <w:top w:val="nil"/>
              <w:left w:val="nil"/>
              <w:right w:val="nil"/>
            </w:tcBorders>
            <w:shd w:val="clear" w:color="auto" w:fill="auto"/>
            <w:noWrap/>
            <w:tcMar>
              <w:left w:w="0" w:type="dxa"/>
              <w:right w:w="0" w:type="dxa"/>
            </w:tcMar>
            <w:vAlign w:val="center"/>
          </w:tcPr>
          <w:p w:rsidR="00220A01" w:rsidRDefault="00220A01" w:rsidP="00220A01">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0.3149</w:t>
            </w:r>
          </w:p>
        </w:tc>
      </w:tr>
      <w:tr w:rsidR="003C6507" w:rsidRPr="00C07CDE" w:rsidTr="00175925">
        <w:trPr>
          <w:gridAfter w:val="1"/>
          <w:wAfter w:w="445" w:type="dxa"/>
          <w:trHeight w:val="144"/>
          <w:jc w:val="center"/>
        </w:trPr>
        <w:tc>
          <w:tcPr>
            <w:tcW w:w="1299" w:type="dxa"/>
            <w:tcBorders>
              <w:top w:val="nil"/>
              <w:left w:val="nil"/>
              <w:right w:val="nil"/>
            </w:tcBorders>
            <w:shd w:val="clear" w:color="auto" w:fill="auto"/>
            <w:noWrap/>
            <w:vAlign w:val="center"/>
            <w:hideMark/>
          </w:tcPr>
          <w:p w:rsidR="003C6507" w:rsidRPr="004E2142" w:rsidRDefault="003C6507" w:rsidP="003C6507">
            <w:pPr>
              <w:tabs>
                <w:tab w:val="left" w:pos="660"/>
              </w:tabs>
              <w:spacing w:after="0" w:line="240" w:lineRule="auto"/>
              <w:rPr>
                <w:rFonts w:ascii="Times New Roman" w:eastAsia="Times New Roman" w:hAnsi="Times New Roman" w:cs="Times New Roman"/>
                <w:color w:val="000000"/>
                <w:sz w:val="17"/>
                <w:szCs w:val="17"/>
              </w:rPr>
            </w:pPr>
            <w:r w:rsidRPr="004E2142">
              <w:rPr>
                <w:rFonts w:ascii="Times New Roman" w:eastAsia="Times New Roman" w:hAnsi="Times New Roman" w:cs="Times New Roman"/>
                <w:color w:val="000000"/>
                <w:sz w:val="17"/>
                <w:szCs w:val="17"/>
              </w:rPr>
              <w:t>Observations</w:t>
            </w:r>
          </w:p>
        </w:tc>
        <w:tc>
          <w:tcPr>
            <w:tcW w:w="1020" w:type="dxa"/>
            <w:tcBorders>
              <w:top w:val="nil"/>
              <w:left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w:t>
            </w:r>
          </w:p>
        </w:tc>
        <w:tc>
          <w:tcPr>
            <w:tcW w:w="720" w:type="dxa"/>
            <w:tcBorders>
              <w:top w:val="nil"/>
              <w:left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w:t>
            </w:r>
          </w:p>
        </w:tc>
        <w:tc>
          <w:tcPr>
            <w:tcW w:w="913" w:type="dxa"/>
            <w:gridSpan w:val="2"/>
            <w:tcBorders>
              <w:top w:val="nil"/>
              <w:left w:val="nil"/>
              <w:right w:val="single" w:sz="4"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1,425</w:t>
            </w:r>
          </w:p>
        </w:tc>
        <w:tc>
          <w:tcPr>
            <w:tcW w:w="1073" w:type="dxa"/>
            <w:gridSpan w:val="2"/>
            <w:tcBorders>
              <w:top w:val="nil"/>
              <w:left w:val="single" w:sz="4" w:space="0" w:color="auto"/>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1,420</w:t>
            </w:r>
          </w:p>
        </w:tc>
        <w:tc>
          <w:tcPr>
            <w:tcW w:w="735" w:type="dxa"/>
            <w:gridSpan w:val="2"/>
            <w:tcBorders>
              <w:top w:val="nil"/>
              <w:left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1,420</w:t>
            </w:r>
          </w:p>
        </w:tc>
        <w:tc>
          <w:tcPr>
            <w:tcW w:w="1072" w:type="dxa"/>
            <w:tcBorders>
              <w:top w:val="nil"/>
              <w:left w:val="nil"/>
              <w:right w:val="single" w:sz="4" w:space="0" w:color="auto"/>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1,420</w:t>
            </w:r>
          </w:p>
        </w:tc>
        <w:tc>
          <w:tcPr>
            <w:tcW w:w="960" w:type="dxa"/>
            <w:gridSpan w:val="2"/>
            <w:tcBorders>
              <w:top w:val="nil"/>
              <w:left w:val="single" w:sz="4" w:space="0" w:color="auto"/>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1,410</w:t>
            </w:r>
          </w:p>
        </w:tc>
        <w:tc>
          <w:tcPr>
            <w:tcW w:w="979" w:type="dxa"/>
            <w:gridSpan w:val="3"/>
            <w:tcBorders>
              <w:top w:val="nil"/>
              <w:left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1,410</w:t>
            </w:r>
          </w:p>
        </w:tc>
        <w:tc>
          <w:tcPr>
            <w:tcW w:w="864" w:type="dxa"/>
            <w:tcBorders>
              <w:top w:val="nil"/>
              <w:left w:val="nil"/>
              <w:right w:val="nil"/>
            </w:tcBorders>
            <w:shd w:val="clear" w:color="auto" w:fill="auto"/>
            <w:noWrap/>
            <w:tcMar>
              <w:left w:w="0" w:type="dxa"/>
              <w:right w:w="0" w:type="dxa"/>
            </w:tcMar>
            <w:hideMark/>
          </w:tcPr>
          <w:p w:rsidR="003C6507" w:rsidRDefault="003C6507" w:rsidP="003C6507">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1,410</w:t>
            </w:r>
          </w:p>
        </w:tc>
      </w:tr>
      <w:tr w:rsidR="008E65D9" w:rsidRPr="00C07CDE" w:rsidTr="00175925">
        <w:trPr>
          <w:gridAfter w:val="1"/>
          <w:wAfter w:w="445" w:type="dxa"/>
          <w:trHeight w:hRule="exact" w:val="72"/>
          <w:jc w:val="center"/>
        </w:trPr>
        <w:tc>
          <w:tcPr>
            <w:tcW w:w="1299"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rPr>
                <w:rFonts w:ascii="Times New Roman" w:eastAsia="Times New Roman" w:hAnsi="Times New Roman" w:cs="Times New Roman"/>
                <w:color w:val="000000"/>
                <w:sz w:val="16"/>
                <w:szCs w:val="16"/>
              </w:rPr>
            </w:pPr>
          </w:p>
        </w:tc>
        <w:tc>
          <w:tcPr>
            <w:tcW w:w="1020"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20"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13" w:type="dxa"/>
            <w:gridSpan w:val="2"/>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73" w:type="dxa"/>
            <w:gridSpan w:val="2"/>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35" w:type="dxa"/>
            <w:gridSpan w:val="2"/>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72"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60" w:type="dxa"/>
            <w:gridSpan w:val="2"/>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79" w:type="dxa"/>
            <w:gridSpan w:val="3"/>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864"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r>
      <w:tr w:rsidR="008E65D9" w:rsidRPr="00C07CDE" w:rsidTr="00175925">
        <w:trPr>
          <w:gridAfter w:val="1"/>
          <w:wAfter w:w="450" w:type="dxa"/>
          <w:trHeight w:val="144"/>
          <w:jc w:val="center"/>
        </w:trPr>
        <w:tc>
          <w:tcPr>
            <w:tcW w:w="1299"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rPr>
                <w:rFonts w:ascii="Times New Roman" w:eastAsia="Times New Roman" w:hAnsi="Times New Roman" w:cs="Times New Roman"/>
                <w:color w:val="000000"/>
                <w:sz w:val="16"/>
                <w:szCs w:val="16"/>
              </w:rPr>
            </w:pPr>
          </w:p>
        </w:tc>
        <w:tc>
          <w:tcPr>
            <w:tcW w:w="1020"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40" w:type="dxa"/>
            <w:gridSpan w:val="2"/>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00" w:type="dxa"/>
            <w:gridSpan w:val="2"/>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80" w:type="dxa"/>
            <w:gridSpan w:val="2"/>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21"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80" w:type="dxa"/>
            <w:gridSpan w:val="2"/>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90" w:type="dxa"/>
            <w:gridSpan w:val="2"/>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00"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00" w:type="dxa"/>
            <w:gridSpan w:val="2"/>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r>
    </w:tbl>
    <w:p w:rsidR="008E65D9" w:rsidRDefault="008E65D9" w:rsidP="008E65D9">
      <w:pPr>
        <w:spacing w:after="0" w:line="240" w:lineRule="auto"/>
        <w:jc w:val="both"/>
      </w:pPr>
    </w:p>
    <w:p w:rsidR="008E65D9" w:rsidRDefault="008E65D9" w:rsidP="008E65D9">
      <w:pPr>
        <w:spacing w:after="0" w:line="240" w:lineRule="auto"/>
        <w:jc w:val="both"/>
      </w:pPr>
    </w:p>
    <w:p w:rsidR="008E65D9" w:rsidRDefault="008E65D9" w:rsidP="008E65D9">
      <w:pPr>
        <w:spacing w:after="0" w:line="240" w:lineRule="auto"/>
        <w:jc w:val="both"/>
      </w:pPr>
    </w:p>
    <w:p w:rsidR="008E65D9" w:rsidRDefault="008E65D9" w:rsidP="008E65D9">
      <w:pPr>
        <w:spacing w:after="0" w:line="240" w:lineRule="auto"/>
        <w:jc w:val="both"/>
      </w:pPr>
    </w:p>
    <w:p w:rsidR="008E65D9" w:rsidRDefault="008E65D9" w:rsidP="008E65D9">
      <w:pPr>
        <w:spacing w:after="0" w:line="240" w:lineRule="auto"/>
        <w:jc w:val="both"/>
      </w:pPr>
    </w:p>
    <w:p w:rsidR="008E65D9" w:rsidRDefault="008E65D9" w:rsidP="008E65D9">
      <w:pPr>
        <w:spacing w:after="0" w:line="240" w:lineRule="auto"/>
        <w:jc w:val="both"/>
      </w:pPr>
    </w:p>
    <w:p w:rsidR="008E65D9" w:rsidRDefault="008E65D9" w:rsidP="008E65D9">
      <w:pPr>
        <w:spacing w:after="0" w:line="240" w:lineRule="auto"/>
        <w:jc w:val="both"/>
      </w:pPr>
    </w:p>
    <w:p w:rsidR="008E65D9" w:rsidRDefault="008E65D9" w:rsidP="008E65D9">
      <w:pPr>
        <w:spacing w:after="0" w:line="240" w:lineRule="auto"/>
        <w:jc w:val="both"/>
        <w:rPr>
          <w:rFonts w:ascii="Times New Roman" w:hAnsi="Times New Roman" w:cs="Times New Roman"/>
          <w:b/>
          <w:bCs/>
          <w:color w:val="000000"/>
          <w:sz w:val="24"/>
        </w:rPr>
      </w:pPr>
      <w:r w:rsidRPr="00A76E05">
        <w:rPr>
          <w:rFonts w:ascii="Times New Roman" w:hAnsi="Times New Roman" w:cs="Times New Roman"/>
          <w:b/>
          <w:bCs/>
          <w:color w:val="000000"/>
          <w:sz w:val="24"/>
        </w:rPr>
        <w:lastRenderedPageBreak/>
        <w:t>Table 15: 2SLS regressions of future</w:t>
      </w:r>
      <w:r w:rsidR="00A058C6">
        <w:rPr>
          <w:rFonts w:ascii="Times New Roman" w:hAnsi="Times New Roman" w:cs="Times New Roman"/>
          <w:b/>
          <w:bCs/>
          <w:color w:val="000000"/>
          <w:sz w:val="24"/>
        </w:rPr>
        <w:t xml:space="preserve"> firm</w:t>
      </w:r>
      <w:r w:rsidRPr="00A76E05">
        <w:rPr>
          <w:rFonts w:ascii="Times New Roman" w:hAnsi="Times New Roman" w:cs="Times New Roman"/>
          <w:b/>
          <w:bCs/>
          <w:color w:val="000000"/>
          <w:sz w:val="24"/>
        </w:rPr>
        <w:t xml:space="preserve"> performance on the interaction between div</w:t>
      </w:r>
      <w:r w:rsidR="00E367EF">
        <w:rPr>
          <w:rFonts w:ascii="Times New Roman" w:hAnsi="Times New Roman" w:cs="Times New Roman"/>
          <w:b/>
          <w:bCs/>
          <w:color w:val="000000"/>
          <w:sz w:val="24"/>
        </w:rPr>
        <w:t>idend yield and CEO inside debt</w:t>
      </w:r>
    </w:p>
    <w:p w:rsidR="008E65D9" w:rsidRDefault="00017DF5" w:rsidP="008E65D9">
      <w:pPr>
        <w:spacing w:after="0" w:line="240" w:lineRule="auto"/>
        <w:jc w:val="both"/>
        <w:rPr>
          <w:rFonts w:ascii="Times New Roman" w:hAnsi="Times New Roman" w:cs="Times New Roman"/>
          <w:sz w:val="18"/>
          <w:szCs w:val="18"/>
        </w:rPr>
      </w:pPr>
      <w:r>
        <w:rPr>
          <w:rFonts w:ascii="Times New Roman" w:eastAsia="Times New Roman" w:hAnsi="Times New Roman"/>
          <w:bCs/>
          <w:sz w:val="18"/>
          <w:szCs w:val="18"/>
        </w:rPr>
        <w:t xml:space="preserve">The table shows results of pooled OLS regressions. </w:t>
      </w:r>
      <w:r w:rsidR="00A058C6">
        <w:rPr>
          <w:rFonts w:ascii="Times New Roman" w:hAnsi="Times New Roman" w:cs="Times New Roman"/>
          <w:color w:val="000000"/>
          <w:sz w:val="18"/>
          <w:szCs w:val="18"/>
        </w:rPr>
        <w:t>The depended variable</w:t>
      </w:r>
      <w:r w:rsidR="008E65D9">
        <w:rPr>
          <w:rFonts w:ascii="Times New Roman" w:hAnsi="Times New Roman" w:cs="Times New Roman"/>
          <w:color w:val="000000"/>
          <w:sz w:val="18"/>
          <w:szCs w:val="18"/>
        </w:rPr>
        <w:t xml:space="preserve"> is the firm’s performance measured by return on assets (ROA), return on equity (ROE), and return on investment (ROI). ROA is net income divided by book value of </w:t>
      </w:r>
      <w:r w:rsidR="008E65D9" w:rsidRPr="00F43F1A">
        <w:rPr>
          <w:rFonts w:ascii="Times New Roman" w:hAnsi="Times New Roman" w:cs="Times New Roman"/>
          <w:color w:val="000000"/>
          <w:sz w:val="18"/>
          <w:szCs w:val="18"/>
        </w:rPr>
        <w:t>total assets;</w:t>
      </w:r>
      <w:r w:rsidR="008E65D9">
        <w:rPr>
          <w:rFonts w:ascii="Times New Roman" w:hAnsi="Times New Roman" w:cs="Times New Roman"/>
          <w:color w:val="000000"/>
          <w:sz w:val="18"/>
          <w:szCs w:val="18"/>
        </w:rPr>
        <w:t xml:space="preserve"> ROE is net income divided by book value of equity; ROI is net income divided by </w:t>
      </w:r>
      <w:r w:rsidR="008E65D9" w:rsidRPr="00012608">
        <w:rPr>
          <w:rFonts w:ascii="Times New Roman" w:hAnsi="Times New Roman" w:cs="Times New Roman"/>
          <w:color w:val="000000"/>
          <w:sz w:val="18"/>
          <w:szCs w:val="18"/>
        </w:rPr>
        <w:t>total investment</w:t>
      </w:r>
      <w:r w:rsidR="008E65D9">
        <w:rPr>
          <w:rFonts w:ascii="Times New Roman" w:hAnsi="Times New Roman" w:cs="Times New Roman"/>
          <w:color w:val="000000"/>
          <w:sz w:val="18"/>
          <w:szCs w:val="18"/>
        </w:rPr>
        <w:t xml:space="preserve">. All three measures are </w:t>
      </w:r>
      <w:r w:rsidR="003A7158">
        <w:rPr>
          <w:rFonts w:ascii="Times New Roman" w:hAnsi="Times New Roman" w:cs="Times New Roman"/>
          <w:color w:val="000000"/>
          <w:sz w:val="18"/>
          <w:szCs w:val="18"/>
        </w:rPr>
        <w:t>taken in</w:t>
      </w:r>
      <w:r w:rsidR="008E65D9">
        <w:rPr>
          <w:rFonts w:ascii="Times New Roman" w:hAnsi="Times New Roman" w:cs="Times New Roman"/>
          <w:color w:val="000000"/>
          <w:sz w:val="18"/>
          <w:szCs w:val="18"/>
        </w:rPr>
        <w:t xml:space="preserve"> the subsequent year, and </w:t>
      </w:r>
      <w:r w:rsidR="003A7158">
        <w:rPr>
          <w:rFonts w:ascii="Times New Roman" w:hAnsi="Times New Roman" w:cs="Times New Roman"/>
          <w:color w:val="000000"/>
          <w:sz w:val="18"/>
          <w:szCs w:val="18"/>
        </w:rPr>
        <w:t>as</w:t>
      </w:r>
      <w:r w:rsidR="008E65D9">
        <w:rPr>
          <w:rFonts w:ascii="Times New Roman" w:hAnsi="Times New Roman" w:cs="Times New Roman"/>
          <w:color w:val="000000"/>
          <w:sz w:val="18"/>
          <w:szCs w:val="18"/>
        </w:rPr>
        <w:t xml:space="preserve"> averages of the subsequent two and three years, </w:t>
      </w:r>
      <w:r w:rsidR="008E65D9" w:rsidRPr="00F43F1A">
        <w:rPr>
          <w:rFonts w:ascii="Times New Roman" w:hAnsi="Times New Roman" w:cs="Times New Roman"/>
          <w:color w:val="000000"/>
          <w:sz w:val="18"/>
          <w:szCs w:val="18"/>
        </w:rPr>
        <w:t>and all are adjusted to industry average</w:t>
      </w:r>
      <w:r w:rsidR="008E65D9">
        <w:rPr>
          <w:rFonts w:ascii="Times New Roman" w:hAnsi="Times New Roman" w:cs="Times New Roman"/>
          <w:color w:val="000000"/>
          <w:sz w:val="18"/>
          <w:szCs w:val="18"/>
        </w:rPr>
        <w:t>s</w:t>
      </w:r>
      <w:r w:rsidR="008E65D9" w:rsidRPr="00012608">
        <w:rPr>
          <w:rFonts w:ascii="Times New Roman" w:hAnsi="Times New Roman" w:cs="Times New Roman"/>
          <w:color w:val="000000"/>
          <w:sz w:val="18"/>
          <w:szCs w:val="18"/>
        </w:rPr>
        <w:t>.</w:t>
      </w:r>
      <w:r w:rsidR="008E65D9">
        <w:rPr>
          <w:rFonts w:ascii="Times New Roman" w:hAnsi="Times New Roman" w:cs="Times New Roman"/>
          <w:color w:val="000000"/>
          <w:sz w:val="18"/>
          <w:szCs w:val="18"/>
        </w:rPr>
        <w:t xml:space="preserve"> </w:t>
      </w:r>
      <w:r w:rsidR="008E65D9">
        <w:rPr>
          <w:rFonts w:ascii="Times New Roman" w:eastAsia="Times New Roman" w:hAnsi="Times New Roman"/>
          <w:bCs/>
          <w:sz w:val="18"/>
          <w:szCs w:val="18"/>
        </w:rPr>
        <w:t>The independent varia</w:t>
      </w:r>
      <w:r w:rsidR="00A058C6">
        <w:rPr>
          <w:rFonts w:ascii="Times New Roman" w:eastAsia="Times New Roman" w:hAnsi="Times New Roman"/>
          <w:bCs/>
          <w:sz w:val="18"/>
          <w:szCs w:val="18"/>
        </w:rPr>
        <w:t>bles are industry-adjusted CEO</w:t>
      </w:r>
      <w:r w:rsidR="008E65D9">
        <w:rPr>
          <w:rFonts w:ascii="Times New Roman" w:eastAsia="Times New Roman" w:hAnsi="Times New Roman"/>
          <w:bCs/>
          <w:sz w:val="18"/>
          <w:szCs w:val="18"/>
        </w:rPr>
        <w:t xml:space="preserve"> inside debt, industry-adjusted dividend yield, an interaction term between these variables, and a set of control variables defined in Table 1. </w:t>
      </w:r>
      <w:r w:rsidR="008E65D9" w:rsidRPr="007736B5">
        <w:rPr>
          <w:rFonts w:ascii="Times New Roman" w:hAnsi="Times New Roman" w:cs="Times New Roman"/>
          <w:sz w:val="18"/>
          <w:szCs w:val="18"/>
        </w:rPr>
        <w:t>The sample represent</w:t>
      </w:r>
      <w:r w:rsidR="008E65D9">
        <w:rPr>
          <w:rFonts w:ascii="Times New Roman" w:hAnsi="Times New Roman" w:cs="Times New Roman"/>
          <w:sz w:val="18"/>
          <w:szCs w:val="18"/>
        </w:rPr>
        <w:t>s</w:t>
      </w:r>
      <w:r w:rsidR="008E65D9" w:rsidRPr="007736B5">
        <w:rPr>
          <w:rFonts w:ascii="Times New Roman" w:hAnsi="Times New Roman" w:cs="Times New Roman"/>
          <w:sz w:val="18"/>
          <w:szCs w:val="18"/>
        </w:rPr>
        <w:t xml:space="preserve"> data on 272 firms over the period 2000-2009.</w:t>
      </w:r>
      <w:r w:rsidR="008E65D9">
        <w:rPr>
          <w:rFonts w:ascii="Times New Roman" w:hAnsi="Times New Roman" w:cs="Times New Roman"/>
          <w:sz w:val="18"/>
          <w:szCs w:val="18"/>
        </w:rPr>
        <w:t xml:space="preserve"> The table present</w:t>
      </w:r>
      <w:r w:rsidR="00FC3B15">
        <w:rPr>
          <w:rFonts w:ascii="Times New Roman" w:hAnsi="Times New Roman" w:cs="Times New Roman"/>
          <w:sz w:val="18"/>
          <w:szCs w:val="18"/>
        </w:rPr>
        <w:t>s</w:t>
      </w:r>
      <w:r w:rsidR="008E65D9">
        <w:rPr>
          <w:rFonts w:ascii="Times New Roman" w:hAnsi="Times New Roman" w:cs="Times New Roman"/>
          <w:sz w:val="18"/>
          <w:szCs w:val="18"/>
        </w:rPr>
        <w:t xml:space="preserve"> regression coefficients and </w:t>
      </w:r>
      <w:r w:rsidR="008E65D9" w:rsidRPr="00773E03">
        <w:rPr>
          <w:rFonts w:ascii="Times New Roman" w:hAnsi="Times New Roman" w:cs="Times New Roman"/>
          <w:i/>
          <w:sz w:val="18"/>
          <w:szCs w:val="18"/>
        </w:rPr>
        <w:t>t</w:t>
      </w:r>
      <w:r w:rsidR="008E65D9">
        <w:rPr>
          <w:rFonts w:ascii="Times New Roman" w:hAnsi="Times New Roman" w:cs="Times New Roman"/>
          <w:sz w:val="18"/>
          <w:szCs w:val="18"/>
        </w:rPr>
        <w:t xml:space="preserve">-statistics, based on standard errors adjusted for </w:t>
      </w:r>
      <w:proofErr w:type="spellStart"/>
      <w:r w:rsidR="008E65D9">
        <w:rPr>
          <w:rFonts w:ascii="Times New Roman" w:hAnsi="Times New Roman" w:cs="Times New Roman"/>
          <w:sz w:val="18"/>
          <w:szCs w:val="18"/>
        </w:rPr>
        <w:t>heteroskedasticity</w:t>
      </w:r>
      <w:proofErr w:type="spellEnd"/>
      <w:r w:rsidR="008E65D9">
        <w:rPr>
          <w:rFonts w:ascii="Times New Roman" w:hAnsi="Times New Roman" w:cs="Times New Roman"/>
          <w:sz w:val="18"/>
          <w:szCs w:val="18"/>
        </w:rPr>
        <w:t xml:space="preserve"> and autocorrelation following Rogers (1993), with year fixed effects.</w:t>
      </w:r>
      <w:r w:rsidR="00824FB6">
        <w:rPr>
          <w:rFonts w:ascii="Times New Roman" w:hAnsi="Times New Roman" w:cs="Times New Roman"/>
          <w:sz w:val="18"/>
          <w:szCs w:val="18"/>
        </w:rPr>
        <w:t xml:space="preserve"> *, **, *** indicate significance at the 0.1, 0.05, and 0.01 levels, respectively.</w:t>
      </w:r>
    </w:p>
    <w:p w:rsidR="008E65D9" w:rsidRDefault="008E65D9" w:rsidP="008E65D9">
      <w:pPr>
        <w:spacing w:after="0" w:line="240" w:lineRule="auto"/>
        <w:jc w:val="both"/>
        <w:rPr>
          <w:rFonts w:ascii="Times New Roman" w:hAnsi="Times New Roman" w:cs="Times New Roman"/>
          <w:color w:val="000000"/>
          <w:sz w:val="18"/>
          <w:szCs w:val="18"/>
        </w:rPr>
      </w:pPr>
    </w:p>
    <w:tbl>
      <w:tblPr>
        <w:tblW w:w="10080" w:type="dxa"/>
        <w:jc w:val="center"/>
        <w:tblLayout w:type="fixed"/>
        <w:tblCellMar>
          <w:left w:w="14" w:type="dxa"/>
          <w:right w:w="14" w:type="dxa"/>
        </w:tblCellMar>
        <w:tblLook w:val="04A0" w:firstRow="1" w:lastRow="0" w:firstColumn="1" w:lastColumn="0" w:noHBand="0" w:noVBand="1"/>
      </w:tblPr>
      <w:tblGrid>
        <w:gridCol w:w="1300"/>
        <w:gridCol w:w="1020"/>
        <w:gridCol w:w="948"/>
        <w:gridCol w:w="913"/>
        <w:gridCol w:w="1073"/>
        <w:gridCol w:w="735"/>
        <w:gridCol w:w="1072"/>
        <w:gridCol w:w="960"/>
        <w:gridCol w:w="979"/>
        <w:gridCol w:w="1080"/>
      </w:tblGrid>
      <w:tr w:rsidR="008E65D9" w:rsidRPr="00C07CDE" w:rsidTr="00F96650">
        <w:trPr>
          <w:trHeight w:val="144"/>
          <w:jc w:val="center"/>
        </w:trPr>
        <w:tc>
          <w:tcPr>
            <w:tcW w:w="1300" w:type="dxa"/>
            <w:tcBorders>
              <w:top w:val="single" w:sz="4" w:space="0" w:color="auto"/>
              <w:left w:val="nil"/>
              <w:right w:val="nil"/>
            </w:tcBorders>
            <w:shd w:val="clear" w:color="auto" w:fill="auto"/>
            <w:noWrap/>
            <w:vAlign w:val="bottom"/>
            <w:hideMark/>
          </w:tcPr>
          <w:p w:rsidR="008E65D9" w:rsidRPr="00C07CDE" w:rsidRDefault="008E65D9" w:rsidP="00575A5A">
            <w:pPr>
              <w:tabs>
                <w:tab w:val="left" w:pos="660"/>
              </w:tabs>
              <w:spacing w:after="0" w:line="240" w:lineRule="auto"/>
              <w:rPr>
                <w:rFonts w:ascii="Calibri" w:eastAsia="Times New Roman" w:hAnsi="Calibri" w:cs="Calibri"/>
                <w:color w:val="000000"/>
              </w:rPr>
            </w:pPr>
          </w:p>
        </w:tc>
        <w:tc>
          <w:tcPr>
            <w:tcW w:w="2881" w:type="dxa"/>
            <w:gridSpan w:val="3"/>
            <w:tcBorders>
              <w:top w:val="single" w:sz="4" w:space="0" w:color="auto"/>
              <w:left w:val="nil"/>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Year 1</w:t>
            </w:r>
          </w:p>
        </w:tc>
        <w:tc>
          <w:tcPr>
            <w:tcW w:w="2880" w:type="dxa"/>
            <w:gridSpan w:val="3"/>
            <w:tcBorders>
              <w:top w:val="single" w:sz="4" w:space="0" w:color="auto"/>
              <w:left w:val="nil"/>
              <w:right w:val="nil"/>
            </w:tcBorders>
            <w:shd w:val="clear" w:color="auto" w:fill="auto"/>
            <w:noWrap/>
            <w:vAlign w:val="center"/>
            <w:hideMark/>
          </w:tcPr>
          <w:p w:rsidR="008E65D9" w:rsidRPr="000F7983" w:rsidRDefault="000235B2" w:rsidP="00575A5A">
            <w:pPr>
              <w:tabs>
                <w:tab w:val="left" w:pos="660"/>
              </w:tabs>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Y</w:t>
            </w:r>
            <w:r w:rsidR="008E65D9" w:rsidRPr="000F7983">
              <w:rPr>
                <w:rFonts w:ascii="Times New Roman" w:eastAsia="Times New Roman" w:hAnsi="Times New Roman" w:cs="Times New Roman"/>
                <w:bCs/>
                <w:color w:val="000000"/>
                <w:sz w:val="18"/>
                <w:szCs w:val="18"/>
              </w:rPr>
              <w:t>ear</w:t>
            </w:r>
            <w:r w:rsidR="008E65D9">
              <w:rPr>
                <w:rFonts w:ascii="Times New Roman" w:eastAsia="Times New Roman" w:hAnsi="Times New Roman" w:cs="Times New Roman"/>
                <w:bCs/>
                <w:color w:val="000000"/>
                <w:sz w:val="18"/>
                <w:szCs w:val="18"/>
              </w:rPr>
              <w:t>s</w:t>
            </w:r>
            <w:r w:rsidR="008E65D9" w:rsidRPr="000F7983">
              <w:rPr>
                <w:rFonts w:ascii="Times New Roman" w:eastAsia="Times New Roman" w:hAnsi="Times New Roman" w:cs="Times New Roman"/>
                <w:bCs/>
                <w:color w:val="000000"/>
                <w:sz w:val="18"/>
                <w:szCs w:val="18"/>
              </w:rPr>
              <w:t xml:space="preserve"> </w:t>
            </w:r>
            <w:r w:rsidR="008E65D9">
              <w:rPr>
                <w:rFonts w:ascii="Times New Roman" w:eastAsia="Times New Roman" w:hAnsi="Times New Roman" w:cs="Times New Roman"/>
                <w:bCs/>
                <w:color w:val="000000"/>
                <w:sz w:val="18"/>
                <w:szCs w:val="18"/>
              </w:rPr>
              <w:t>1-</w:t>
            </w:r>
            <w:r w:rsidR="008E65D9" w:rsidRPr="000F7983">
              <w:rPr>
                <w:rFonts w:ascii="Times New Roman" w:eastAsia="Times New Roman" w:hAnsi="Times New Roman" w:cs="Times New Roman"/>
                <w:bCs/>
                <w:color w:val="000000"/>
                <w:sz w:val="18"/>
                <w:szCs w:val="18"/>
              </w:rPr>
              <w:t>2</w:t>
            </w:r>
          </w:p>
        </w:tc>
        <w:tc>
          <w:tcPr>
            <w:tcW w:w="3019" w:type="dxa"/>
            <w:gridSpan w:val="3"/>
            <w:tcBorders>
              <w:top w:val="single" w:sz="4" w:space="0" w:color="auto"/>
              <w:left w:val="nil"/>
              <w:right w:val="nil"/>
            </w:tcBorders>
            <w:shd w:val="clear" w:color="auto" w:fill="auto"/>
            <w:noWrap/>
            <w:vAlign w:val="center"/>
            <w:hideMark/>
          </w:tcPr>
          <w:p w:rsidR="008E65D9" w:rsidRPr="000F7983" w:rsidRDefault="000235B2" w:rsidP="00575A5A">
            <w:pPr>
              <w:tabs>
                <w:tab w:val="left" w:pos="660"/>
              </w:tabs>
              <w:spacing w:after="0" w:line="240" w:lineRule="auto"/>
              <w:jc w:val="cente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Y</w:t>
            </w:r>
            <w:r w:rsidR="008E65D9" w:rsidRPr="000F7983">
              <w:rPr>
                <w:rFonts w:ascii="Times New Roman" w:eastAsia="Times New Roman" w:hAnsi="Times New Roman" w:cs="Times New Roman"/>
                <w:bCs/>
                <w:color w:val="000000"/>
                <w:sz w:val="18"/>
                <w:szCs w:val="18"/>
              </w:rPr>
              <w:t>ear</w:t>
            </w:r>
            <w:r w:rsidR="008E65D9">
              <w:rPr>
                <w:rFonts w:ascii="Times New Roman" w:eastAsia="Times New Roman" w:hAnsi="Times New Roman" w:cs="Times New Roman"/>
                <w:bCs/>
                <w:color w:val="000000"/>
                <w:sz w:val="18"/>
                <w:szCs w:val="18"/>
              </w:rPr>
              <w:t>s</w:t>
            </w:r>
            <w:r w:rsidR="008E65D9" w:rsidRPr="000F7983">
              <w:rPr>
                <w:rFonts w:ascii="Times New Roman" w:eastAsia="Times New Roman" w:hAnsi="Times New Roman" w:cs="Times New Roman"/>
                <w:bCs/>
                <w:color w:val="000000"/>
                <w:sz w:val="18"/>
                <w:szCs w:val="18"/>
              </w:rPr>
              <w:t xml:space="preserve"> </w:t>
            </w:r>
            <w:r w:rsidR="008E65D9">
              <w:rPr>
                <w:rFonts w:ascii="Times New Roman" w:eastAsia="Times New Roman" w:hAnsi="Times New Roman" w:cs="Times New Roman"/>
                <w:bCs/>
                <w:color w:val="000000"/>
                <w:sz w:val="18"/>
                <w:szCs w:val="18"/>
              </w:rPr>
              <w:t>1-3</w:t>
            </w:r>
          </w:p>
        </w:tc>
      </w:tr>
      <w:tr w:rsidR="008E65D9" w:rsidRPr="00C07CDE" w:rsidTr="00F96650">
        <w:trPr>
          <w:trHeight w:val="144"/>
          <w:jc w:val="center"/>
        </w:trPr>
        <w:tc>
          <w:tcPr>
            <w:tcW w:w="1300" w:type="dxa"/>
            <w:tcBorders>
              <w:left w:val="nil"/>
              <w:bottom w:val="single" w:sz="8" w:space="0" w:color="auto"/>
              <w:right w:val="nil"/>
            </w:tcBorders>
            <w:shd w:val="clear" w:color="auto" w:fill="auto"/>
            <w:noWrap/>
            <w:vAlign w:val="bottom"/>
            <w:hideMark/>
          </w:tcPr>
          <w:p w:rsidR="008E65D9" w:rsidRPr="00C07CDE" w:rsidRDefault="008E65D9" w:rsidP="00575A5A">
            <w:pPr>
              <w:tabs>
                <w:tab w:val="left" w:pos="660"/>
              </w:tabs>
              <w:spacing w:after="0" w:line="240" w:lineRule="auto"/>
              <w:rPr>
                <w:rFonts w:ascii="Calibri" w:eastAsia="Times New Roman" w:hAnsi="Calibri" w:cs="Calibri"/>
                <w:color w:val="000000"/>
              </w:rPr>
            </w:pPr>
            <w:r w:rsidRPr="00C07CDE">
              <w:rPr>
                <w:rFonts w:ascii="Calibri" w:eastAsia="Times New Roman" w:hAnsi="Calibri" w:cs="Calibri"/>
                <w:color w:val="000000"/>
              </w:rPr>
              <w:t> </w:t>
            </w:r>
          </w:p>
        </w:tc>
        <w:tc>
          <w:tcPr>
            <w:tcW w:w="1020"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ROA</w:t>
            </w:r>
          </w:p>
        </w:tc>
        <w:tc>
          <w:tcPr>
            <w:tcW w:w="948"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ROE</w:t>
            </w:r>
          </w:p>
        </w:tc>
        <w:tc>
          <w:tcPr>
            <w:tcW w:w="913" w:type="dxa"/>
            <w:tcBorders>
              <w:left w:val="nil"/>
              <w:bottom w:val="single" w:sz="8" w:space="0" w:color="auto"/>
              <w:right w:val="single" w:sz="8" w:space="0" w:color="auto"/>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ROI</w:t>
            </w:r>
          </w:p>
        </w:tc>
        <w:tc>
          <w:tcPr>
            <w:tcW w:w="1073"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ROA</w:t>
            </w:r>
          </w:p>
        </w:tc>
        <w:tc>
          <w:tcPr>
            <w:tcW w:w="735"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ROE</w:t>
            </w:r>
          </w:p>
        </w:tc>
        <w:tc>
          <w:tcPr>
            <w:tcW w:w="1072" w:type="dxa"/>
            <w:tcBorders>
              <w:left w:val="nil"/>
              <w:bottom w:val="single" w:sz="8" w:space="0" w:color="auto"/>
              <w:right w:val="single" w:sz="8" w:space="0" w:color="auto"/>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ROI</w:t>
            </w:r>
          </w:p>
        </w:tc>
        <w:tc>
          <w:tcPr>
            <w:tcW w:w="960"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ROA</w:t>
            </w:r>
          </w:p>
        </w:tc>
        <w:tc>
          <w:tcPr>
            <w:tcW w:w="979"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ROE</w:t>
            </w:r>
          </w:p>
        </w:tc>
        <w:tc>
          <w:tcPr>
            <w:tcW w:w="1080" w:type="dxa"/>
            <w:tcBorders>
              <w:left w:val="nil"/>
              <w:bottom w:val="single" w:sz="8" w:space="0" w:color="auto"/>
              <w:right w:val="nil"/>
            </w:tcBorders>
            <w:shd w:val="clear" w:color="auto" w:fill="auto"/>
            <w:noWrap/>
            <w:vAlign w:val="center"/>
            <w:hideMark/>
          </w:tcPr>
          <w:p w:rsidR="008E65D9" w:rsidRPr="000F7983" w:rsidRDefault="008E65D9" w:rsidP="00575A5A">
            <w:pPr>
              <w:tabs>
                <w:tab w:val="left" w:pos="660"/>
              </w:tabs>
              <w:spacing w:after="0" w:line="240" w:lineRule="auto"/>
              <w:jc w:val="center"/>
              <w:rPr>
                <w:rFonts w:ascii="Times New Roman" w:eastAsia="Times New Roman" w:hAnsi="Times New Roman" w:cs="Times New Roman"/>
                <w:bCs/>
                <w:color w:val="000000"/>
                <w:sz w:val="18"/>
                <w:szCs w:val="18"/>
              </w:rPr>
            </w:pPr>
            <w:r w:rsidRPr="000F7983">
              <w:rPr>
                <w:rFonts w:ascii="Times New Roman" w:eastAsia="Times New Roman" w:hAnsi="Times New Roman" w:cs="Times New Roman"/>
                <w:bCs/>
                <w:color w:val="000000"/>
                <w:sz w:val="18"/>
                <w:szCs w:val="18"/>
              </w:rPr>
              <w:t>ROI</w:t>
            </w:r>
          </w:p>
        </w:tc>
      </w:tr>
      <w:tr w:rsidR="008E65D9" w:rsidRPr="00C07CDE" w:rsidTr="00F96650">
        <w:trPr>
          <w:trHeight w:hRule="exact" w:val="72"/>
          <w:jc w:val="center"/>
        </w:trPr>
        <w:tc>
          <w:tcPr>
            <w:tcW w:w="1300"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rPr>
                <w:rFonts w:ascii="Times New Roman" w:eastAsia="Times New Roman" w:hAnsi="Times New Roman" w:cs="Times New Roman"/>
                <w:color w:val="000000"/>
                <w:sz w:val="16"/>
                <w:szCs w:val="16"/>
              </w:rPr>
            </w:pPr>
          </w:p>
        </w:tc>
        <w:tc>
          <w:tcPr>
            <w:tcW w:w="1020"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48"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13" w:type="dxa"/>
            <w:tcBorders>
              <w:top w:val="single" w:sz="8" w:space="0" w:color="auto"/>
              <w:left w:val="nil"/>
              <w:bottom w:val="nil"/>
              <w:right w:val="single" w:sz="8" w:space="0" w:color="auto"/>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73"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35"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72" w:type="dxa"/>
            <w:tcBorders>
              <w:top w:val="single" w:sz="8" w:space="0" w:color="auto"/>
              <w:left w:val="nil"/>
              <w:bottom w:val="nil"/>
              <w:right w:val="single" w:sz="8" w:space="0" w:color="auto"/>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60"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79" w:type="dxa"/>
            <w:tcBorders>
              <w:top w:val="single" w:sz="8"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80" w:type="dxa"/>
            <w:tcBorders>
              <w:top w:val="single" w:sz="8" w:space="0" w:color="auto"/>
              <w:lef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Inside debt</w:t>
            </w:r>
          </w:p>
        </w:tc>
        <w:tc>
          <w:tcPr>
            <w:tcW w:w="1020"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0.0021</w:t>
            </w:r>
          </w:p>
        </w:tc>
        <w:tc>
          <w:tcPr>
            <w:tcW w:w="948"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0.0085**</w:t>
            </w:r>
          </w:p>
        </w:tc>
        <w:tc>
          <w:tcPr>
            <w:tcW w:w="913" w:type="dxa"/>
            <w:tcBorders>
              <w:top w:val="nil"/>
              <w:left w:val="nil"/>
              <w:bottom w:val="nil"/>
              <w:right w:val="single" w:sz="8" w:space="0" w:color="auto"/>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0.0047**</w:t>
            </w:r>
          </w:p>
        </w:tc>
        <w:tc>
          <w:tcPr>
            <w:tcW w:w="1073"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0.0024***</w:t>
            </w:r>
          </w:p>
        </w:tc>
        <w:tc>
          <w:tcPr>
            <w:tcW w:w="735"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0.0107**</w:t>
            </w:r>
          </w:p>
        </w:tc>
        <w:tc>
          <w:tcPr>
            <w:tcW w:w="1072" w:type="dxa"/>
            <w:tcBorders>
              <w:top w:val="nil"/>
              <w:left w:val="nil"/>
              <w:bottom w:val="nil"/>
              <w:right w:val="single" w:sz="8" w:space="0" w:color="auto"/>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0.0049**</w:t>
            </w:r>
          </w:p>
        </w:tc>
        <w:tc>
          <w:tcPr>
            <w:tcW w:w="960"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0.0011**</w:t>
            </w:r>
          </w:p>
        </w:tc>
        <w:tc>
          <w:tcPr>
            <w:tcW w:w="979"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0.0081***</w:t>
            </w:r>
          </w:p>
        </w:tc>
        <w:tc>
          <w:tcPr>
            <w:tcW w:w="1080" w:type="dxa"/>
            <w:tcBorders>
              <w:top w:val="nil"/>
              <w:left w:val="nil"/>
              <w:bottom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0.0035***</w:t>
            </w: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1.69)</w:t>
            </w:r>
          </w:p>
        </w:tc>
        <w:tc>
          <w:tcPr>
            <w:tcW w:w="948" w:type="dxa"/>
            <w:tcBorders>
              <w:top w:val="nil"/>
              <w:left w:val="nil"/>
              <w:bottom w:val="nil"/>
              <w:right w:val="nil"/>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2.48)</w:t>
            </w:r>
          </w:p>
        </w:tc>
        <w:tc>
          <w:tcPr>
            <w:tcW w:w="913" w:type="dxa"/>
            <w:tcBorders>
              <w:top w:val="nil"/>
              <w:left w:val="nil"/>
              <w:bottom w:val="nil"/>
              <w:right w:val="single" w:sz="8" w:space="0" w:color="auto"/>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2.36)</w:t>
            </w:r>
          </w:p>
        </w:tc>
        <w:tc>
          <w:tcPr>
            <w:tcW w:w="1073" w:type="dxa"/>
            <w:tcBorders>
              <w:top w:val="nil"/>
              <w:left w:val="nil"/>
              <w:bottom w:val="nil"/>
              <w:right w:val="nil"/>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3.82)</w:t>
            </w:r>
          </w:p>
        </w:tc>
        <w:tc>
          <w:tcPr>
            <w:tcW w:w="735" w:type="dxa"/>
            <w:tcBorders>
              <w:top w:val="nil"/>
              <w:left w:val="nil"/>
              <w:bottom w:val="nil"/>
              <w:right w:val="nil"/>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3.11)</w:t>
            </w:r>
          </w:p>
        </w:tc>
        <w:tc>
          <w:tcPr>
            <w:tcW w:w="1072" w:type="dxa"/>
            <w:tcBorders>
              <w:top w:val="nil"/>
              <w:left w:val="nil"/>
              <w:bottom w:val="nil"/>
              <w:right w:val="single" w:sz="8" w:space="0" w:color="auto"/>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3.05)</w:t>
            </w:r>
          </w:p>
        </w:tc>
        <w:tc>
          <w:tcPr>
            <w:tcW w:w="960" w:type="dxa"/>
            <w:tcBorders>
              <w:top w:val="nil"/>
              <w:left w:val="nil"/>
              <w:bottom w:val="nil"/>
              <w:right w:val="nil"/>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2.72)</w:t>
            </w:r>
          </w:p>
        </w:tc>
        <w:tc>
          <w:tcPr>
            <w:tcW w:w="979" w:type="dxa"/>
            <w:tcBorders>
              <w:top w:val="nil"/>
              <w:left w:val="nil"/>
              <w:bottom w:val="nil"/>
              <w:right w:val="nil"/>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3.48)</w:t>
            </w:r>
          </w:p>
        </w:tc>
        <w:tc>
          <w:tcPr>
            <w:tcW w:w="1080" w:type="dxa"/>
            <w:tcBorders>
              <w:top w:val="nil"/>
              <w:left w:val="nil"/>
              <w:bottom w:val="nil"/>
            </w:tcBorders>
            <w:shd w:val="clear" w:color="auto" w:fill="auto"/>
            <w:noWrap/>
            <w:tcMar>
              <w:left w:w="0" w:type="dxa"/>
              <w:right w:w="0" w:type="dxa"/>
            </w:tcMar>
            <w:hideMark/>
          </w:tcPr>
          <w:p w:rsidR="00F96650" w:rsidRDefault="00E21F0C"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4.41)</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r w:rsidRPr="004E2142">
              <w:rPr>
                <w:rFonts w:ascii="Times New Roman" w:eastAsia="Times New Roman" w:hAnsi="Times New Roman" w:cs="Times New Roman"/>
                <w:color w:val="000000"/>
                <w:sz w:val="17"/>
                <w:szCs w:val="17"/>
              </w:rPr>
              <w:t>Dividend yield</w:t>
            </w:r>
          </w:p>
        </w:tc>
        <w:tc>
          <w:tcPr>
            <w:tcW w:w="1020"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-0.0284</w:t>
            </w:r>
          </w:p>
        </w:tc>
        <w:tc>
          <w:tcPr>
            <w:tcW w:w="948"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-0.786</w:t>
            </w:r>
          </w:p>
        </w:tc>
        <w:tc>
          <w:tcPr>
            <w:tcW w:w="913" w:type="dxa"/>
            <w:tcBorders>
              <w:top w:val="nil"/>
              <w:left w:val="nil"/>
              <w:bottom w:val="nil"/>
              <w:right w:val="single" w:sz="8" w:space="0" w:color="auto"/>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0.0474</w:t>
            </w:r>
          </w:p>
        </w:tc>
        <w:tc>
          <w:tcPr>
            <w:tcW w:w="1073"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-0.0363</w:t>
            </w:r>
          </w:p>
        </w:tc>
        <w:tc>
          <w:tcPr>
            <w:tcW w:w="735"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-1.311</w:t>
            </w:r>
          </w:p>
        </w:tc>
        <w:tc>
          <w:tcPr>
            <w:tcW w:w="1072" w:type="dxa"/>
            <w:tcBorders>
              <w:top w:val="nil"/>
              <w:left w:val="nil"/>
              <w:bottom w:val="nil"/>
              <w:right w:val="single" w:sz="8" w:space="0" w:color="auto"/>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0.0191</w:t>
            </w:r>
          </w:p>
        </w:tc>
        <w:tc>
          <w:tcPr>
            <w:tcW w:w="960"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-0.0508</w:t>
            </w:r>
          </w:p>
        </w:tc>
        <w:tc>
          <w:tcPr>
            <w:tcW w:w="979"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-1.147*</w:t>
            </w:r>
          </w:p>
        </w:tc>
        <w:tc>
          <w:tcPr>
            <w:tcW w:w="1080" w:type="dxa"/>
            <w:tcBorders>
              <w:top w:val="nil"/>
              <w:left w:val="nil"/>
              <w:bottom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-0.0039</w:t>
            </w: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(-0.27)</w:t>
            </w:r>
          </w:p>
        </w:tc>
        <w:tc>
          <w:tcPr>
            <w:tcW w:w="948"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w:t>
            </w:r>
          </w:p>
        </w:tc>
        <w:tc>
          <w:tcPr>
            <w:tcW w:w="913" w:type="dxa"/>
            <w:tcBorders>
              <w:top w:val="nil"/>
              <w:left w:val="nil"/>
              <w:bottom w:val="nil"/>
              <w:right w:val="single" w:sz="8" w:space="0" w:color="auto"/>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0.31)</w:t>
            </w:r>
          </w:p>
        </w:tc>
        <w:tc>
          <w:tcPr>
            <w:tcW w:w="1073"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(-0.36)</w:t>
            </w:r>
          </w:p>
        </w:tc>
        <w:tc>
          <w:tcPr>
            <w:tcW w:w="735"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(-1.58)</w:t>
            </w:r>
          </w:p>
        </w:tc>
        <w:tc>
          <w:tcPr>
            <w:tcW w:w="1072" w:type="dxa"/>
            <w:tcBorders>
              <w:top w:val="nil"/>
              <w:left w:val="nil"/>
              <w:bottom w:val="nil"/>
              <w:right w:val="single" w:sz="8" w:space="0" w:color="auto"/>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0.12)</w:t>
            </w:r>
          </w:p>
        </w:tc>
        <w:tc>
          <w:tcPr>
            <w:tcW w:w="960"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(-0.59)</w:t>
            </w:r>
          </w:p>
        </w:tc>
        <w:tc>
          <w:tcPr>
            <w:tcW w:w="979"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(-2.17)</w:t>
            </w:r>
          </w:p>
        </w:tc>
        <w:tc>
          <w:tcPr>
            <w:tcW w:w="1080" w:type="dxa"/>
            <w:tcBorders>
              <w:top w:val="nil"/>
              <w:left w:val="nil"/>
              <w:bottom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(-0.03)</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Inside debt*</w:t>
            </w:r>
          </w:p>
        </w:tc>
        <w:tc>
          <w:tcPr>
            <w:tcW w:w="1020"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0.278**</w:t>
            </w:r>
          </w:p>
        </w:tc>
        <w:tc>
          <w:tcPr>
            <w:tcW w:w="948"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1.167*</w:t>
            </w:r>
          </w:p>
        </w:tc>
        <w:tc>
          <w:tcPr>
            <w:tcW w:w="913" w:type="dxa"/>
            <w:tcBorders>
              <w:top w:val="nil"/>
              <w:left w:val="nil"/>
              <w:bottom w:val="nil"/>
              <w:right w:val="single" w:sz="8" w:space="0" w:color="auto"/>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0.692***</w:t>
            </w:r>
          </w:p>
        </w:tc>
        <w:tc>
          <w:tcPr>
            <w:tcW w:w="1073"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0.351*</w:t>
            </w:r>
          </w:p>
        </w:tc>
        <w:tc>
          <w:tcPr>
            <w:tcW w:w="735"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2.144*</w:t>
            </w:r>
          </w:p>
        </w:tc>
        <w:tc>
          <w:tcPr>
            <w:tcW w:w="1072" w:type="dxa"/>
            <w:tcBorders>
              <w:top w:val="nil"/>
              <w:left w:val="nil"/>
              <w:bottom w:val="nil"/>
              <w:right w:val="single" w:sz="8" w:space="0" w:color="auto"/>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0.816**</w:t>
            </w:r>
          </w:p>
        </w:tc>
        <w:tc>
          <w:tcPr>
            <w:tcW w:w="960"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0.268**</w:t>
            </w:r>
          </w:p>
        </w:tc>
        <w:tc>
          <w:tcPr>
            <w:tcW w:w="979"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1.671**</w:t>
            </w:r>
          </w:p>
        </w:tc>
        <w:tc>
          <w:tcPr>
            <w:tcW w:w="1080" w:type="dxa"/>
            <w:tcBorders>
              <w:top w:val="nil"/>
              <w:left w:val="nil"/>
              <w:bottom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0.742***</w:t>
            </w: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1A7C27" w:rsidP="00F96650">
            <w:pPr>
              <w:tabs>
                <w:tab w:val="left" w:pos="660"/>
              </w:tabs>
              <w:spacing w:after="0" w:line="240" w:lineRule="auto"/>
              <w:rPr>
                <w:rFonts w:ascii="Times New Roman" w:eastAsia="Times New Roman" w:hAnsi="Times New Roman" w:cs="Times New Roman"/>
                <w:iCs/>
                <w:color w:val="000000"/>
                <w:sz w:val="17"/>
                <w:szCs w:val="17"/>
              </w:rPr>
            </w:pPr>
            <w:r>
              <w:rPr>
                <w:rFonts w:ascii="Times New Roman" w:eastAsia="Times New Roman" w:hAnsi="Times New Roman" w:cs="Times New Roman"/>
                <w:iCs/>
                <w:color w:val="000000"/>
                <w:sz w:val="17"/>
                <w:szCs w:val="17"/>
              </w:rPr>
              <w:t xml:space="preserve">    </w:t>
            </w:r>
            <w:r w:rsidR="00F96650">
              <w:rPr>
                <w:rFonts w:ascii="Times New Roman" w:eastAsia="Times New Roman" w:hAnsi="Times New Roman" w:cs="Times New Roman"/>
                <w:iCs/>
                <w:color w:val="000000"/>
                <w:sz w:val="17"/>
                <w:szCs w:val="17"/>
              </w:rPr>
              <w:t>Dividend yield</w:t>
            </w:r>
          </w:p>
        </w:tc>
        <w:tc>
          <w:tcPr>
            <w:tcW w:w="1020"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2.54)</w:t>
            </w:r>
          </w:p>
        </w:tc>
        <w:tc>
          <w:tcPr>
            <w:tcW w:w="948"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1.85)</w:t>
            </w:r>
          </w:p>
        </w:tc>
        <w:tc>
          <w:tcPr>
            <w:tcW w:w="913" w:type="dxa"/>
            <w:tcBorders>
              <w:top w:val="nil"/>
              <w:left w:val="nil"/>
              <w:bottom w:val="nil"/>
              <w:right w:val="single" w:sz="8" w:space="0" w:color="auto"/>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3.92)</w:t>
            </w:r>
          </w:p>
        </w:tc>
        <w:tc>
          <w:tcPr>
            <w:tcW w:w="1073"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2.30)</w:t>
            </w:r>
          </w:p>
        </w:tc>
        <w:tc>
          <w:tcPr>
            <w:tcW w:w="735"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1.97)</w:t>
            </w:r>
          </w:p>
        </w:tc>
        <w:tc>
          <w:tcPr>
            <w:tcW w:w="1072" w:type="dxa"/>
            <w:tcBorders>
              <w:top w:val="nil"/>
              <w:left w:val="nil"/>
              <w:bottom w:val="nil"/>
              <w:right w:val="single" w:sz="8" w:space="0" w:color="auto"/>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3.18)</w:t>
            </w:r>
          </w:p>
        </w:tc>
        <w:tc>
          <w:tcPr>
            <w:tcW w:w="960"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2.37)</w:t>
            </w:r>
          </w:p>
        </w:tc>
        <w:tc>
          <w:tcPr>
            <w:tcW w:w="979"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2.40)</w:t>
            </w:r>
          </w:p>
        </w:tc>
        <w:tc>
          <w:tcPr>
            <w:tcW w:w="1080" w:type="dxa"/>
            <w:tcBorders>
              <w:top w:val="nil"/>
              <w:left w:val="nil"/>
              <w:bottom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4.08)</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i/>
                <w:iCs/>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Salary and </w:t>
            </w:r>
          </w:p>
        </w:tc>
        <w:tc>
          <w:tcPr>
            <w:tcW w:w="1020"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48"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-0.0005</w:t>
            </w:r>
          </w:p>
        </w:tc>
        <w:tc>
          <w:tcPr>
            <w:tcW w:w="913" w:type="dxa"/>
            <w:tcBorders>
              <w:top w:val="nil"/>
              <w:left w:val="nil"/>
              <w:bottom w:val="nil"/>
              <w:right w:val="single" w:sz="8" w:space="0" w:color="auto"/>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-0.0003</w:t>
            </w:r>
          </w:p>
        </w:tc>
        <w:tc>
          <w:tcPr>
            <w:tcW w:w="1073"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735"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-0.0004</w:t>
            </w:r>
          </w:p>
        </w:tc>
        <w:tc>
          <w:tcPr>
            <w:tcW w:w="1072" w:type="dxa"/>
            <w:tcBorders>
              <w:top w:val="nil"/>
              <w:left w:val="nil"/>
              <w:bottom w:val="nil"/>
              <w:right w:val="single" w:sz="8" w:space="0" w:color="auto"/>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60"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79"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-0.0003</w:t>
            </w:r>
          </w:p>
        </w:tc>
        <w:tc>
          <w:tcPr>
            <w:tcW w:w="1080" w:type="dxa"/>
            <w:tcBorders>
              <w:top w:val="nil"/>
              <w:left w:val="nil"/>
              <w:bottom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Bonus/assets</w:t>
            </w:r>
          </w:p>
        </w:tc>
        <w:tc>
          <w:tcPr>
            <w:tcW w:w="1020"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(-0.76)</w:t>
            </w:r>
          </w:p>
        </w:tc>
        <w:tc>
          <w:tcPr>
            <w:tcW w:w="948"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(-1.13)</w:t>
            </w:r>
          </w:p>
        </w:tc>
        <w:tc>
          <w:tcPr>
            <w:tcW w:w="913" w:type="dxa"/>
            <w:tcBorders>
              <w:top w:val="nil"/>
              <w:left w:val="nil"/>
              <w:bottom w:val="nil"/>
              <w:right w:val="single" w:sz="8" w:space="0" w:color="auto"/>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w:t>
            </w:r>
          </w:p>
        </w:tc>
        <w:tc>
          <w:tcPr>
            <w:tcW w:w="1073"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(-0.87)</w:t>
            </w:r>
          </w:p>
        </w:tc>
        <w:tc>
          <w:tcPr>
            <w:tcW w:w="735"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w:t>
            </w:r>
          </w:p>
        </w:tc>
        <w:tc>
          <w:tcPr>
            <w:tcW w:w="1072" w:type="dxa"/>
            <w:tcBorders>
              <w:top w:val="nil"/>
              <w:left w:val="nil"/>
              <w:bottom w:val="nil"/>
              <w:right w:val="single" w:sz="8" w:space="0" w:color="auto"/>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(-1.08)</w:t>
            </w:r>
          </w:p>
        </w:tc>
        <w:tc>
          <w:tcPr>
            <w:tcW w:w="960"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(-0.43)</w:t>
            </w:r>
          </w:p>
        </w:tc>
        <w:tc>
          <w:tcPr>
            <w:tcW w:w="979" w:type="dxa"/>
            <w:tcBorders>
              <w:top w:val="nil"/>
              <w:left w:val="nil"/>
              <w:bottom w:val="nil"/>
              <w:right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(-1.69)</w:t>
            </w:r>
          </w:p>
        </w:tc>
        <w:tc>
          <w:tcPr>
            <w:tcW w:w="1080" w:type="dxa"/>
            <w:tcBorders>
              <w:top w:val="nil"/>
              <w:left w:val="nil"/>
              <w:bottom w:val="nil"/>
            </w:tcBorders>
            <w:shd w:val="clear" w:color="auto" w:fill="auto"/>
            <w:noWrap/>
            <w:tcMar>
              <w:left w:w="0" w:type="dxa"/>
              <w:right w:w="0" w:type="dxa"/>
            </w:tcMar>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(-0.74)</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Stock-options/</w:t>
            </w:r>
          </w:p>
        </w:tc>
        <w:tc>
          <w:tcPr>
            <w:tcW w:w="1020"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0.0007</w:t>
            </w:r>
          </w:p>
        </w:tc>
        <w:tc>
          <w:tcPr>
            <w:tcW w:w="948"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0.0019*</w:t>
            </w:r>
          </w:p>
        </w:tc>
        <w:tc>
          <w:tcPr>
            <w:tcW w:w="913" w:type="dxa"/>
            <w:tcBorders>
              <w:top w:val="nil"/>
              <w:left w:val="nil"/>
              <w:bottom w:val="nil"/>
              <w:right w:val="single" w:sz="8" w:space="0" w:color="auto"/>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0.0011*</w:t>
            </w:r>
          </w:p>
        </w:tc>
        <w:tc>
          <w:tcPr>
            <w:tcW w:w="1073"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0.0007**</w:t>
            </w:r>
          </w:p>
        </w:tc>
        <w:tc>
          <w:tcPr>
            <w:tcW w:w="735"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0.0025***</w:t>
            </w:r>
          </w:p>
        </w:tc>
        <w:tc>
          <w:tcPr>
            <w:tcW w:w="1072" w:type="dxa"/>
            <w:tcBorders>
              <w:top w:val="nil"/>
              <w:left w:val="nil"/>
              <w:bottom w:val="nil"/>
              <w:right w:val="single" w:sz="8" w:space="0" w:color="auto"/>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0.0010**</w:t>
            </w:r>
          </w:p>
        </w:tc>
        <w:tc>
          <w:tcPr>
            <w:tcW w:w="960"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0.0005**</w:t>
            </w:r>
          </w:p>
        </w:tc>
        <w:tc>
          <w:tcPr>
            <w:tcW w:w="979" w:type="dxa"/>
            <w:tcBorders>
              <w:top w:val="nil"/>
              <w:left w:val="nil"/>
              <w:bottom w:val="nil"/>
              <w:right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0.0020***</w:t>
            </w:r>
          </w:p>
        </w:tc>
        <w:tc>
          <w:tcPr>
            <w:tcW w:w="1080" w:type="dxa"/>
            <w:tcBorders>
              <w:top w:val="nil"/>
              <w:left w:val="nil"/>
              <w:bottom w:val="nil"/>
            </w:tcBorders>
            <w:shd w:val="clear" w:color="auto" w:fill="auto"/>
            <w:noWrap/>
            <w:hideMark/>
          </w:tcPr>
          <w:p w:rsidR="00F96650" w:rsidRDefault="00F96650"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0.0008**</w:t>
            </w:r>
          </w:p>
        </w:tc>
      </w:tr>
      <w:tr w:rsidR="00F96650"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F96650" w:rsidRPr="004E2142" w:rsidRDefault="00F96650" w:rsidP="00F96650">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assets</w:t>
            </w:r>
          </w:p>
        </w:tc>
        <w:tc>
          <w:tcPr>
            <w:tcW w:w="1020"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1.66)</w:t>
            </w:r>
          </w:p>
        </w:tc>
        <w:tc>
          <w:tcPr>
            <w:tcW w:w="948"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2.00)</w:t>
            </w:r>
          </w:p>
        </w:tc>
        <w:tc>
          <w:tcPr>
            <w:tcW w:w="913" w:type="dxa"/>
            <w:tcBorders>
              <w:top w:val="nil"/>
              <w:left w:val="nil"/>
              <w:bottom w:val="nil"/>
              <w:right w:val="single" w:sz="8" w:space="0" w:color="auto"/>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1.93)</w:t>
            </w:r>
          </w:p>
        </w:tc>
        <w:tc>
          <w:tcPr>
            <w:tcW w:w="1073"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2.35)</w:t>
            </w:r>
          </w:p>
        </w:tc>
        <w:tc>
          <w:tcPr>
            <w:tcW w:w="735"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3.93)</w:t>
            </w:r>
          </w:p>
        </w:tc>
        <w:tc>
          <w:tcPr>
            <w:tcW w:w="1072" w:type="dxa"/>
            <w:tcBorders>
              <w:top w:val="nil"/>
              <w:left w:val="nil"/>
              <w:bottom w:val="nil"/>
              <w:right w:val="single" w:sz="8" w:space="0" w:color="auto"/>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2.71)</w:t>
            </w:r>
          </w:p>
        </w:tc>
        <w:tc>
          <w:tcPr>
            <w:tcW w:w="960"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2.90)</w:t>
            </w:r>
          </w:p>
        </w:tc>
        <w:tc>
          <w:tcPr>
            <w:tcW w:w="979" w:type="dxa"/>
            <w:tcBorders>
              <w:top w:val="nil"/>
              <w:left w:val="nil"/>
              <w:bottom w:val="nil"/>
              <w:right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4.33)</w:t>
            </w:r>
          </w:p>
        </w:tc>
        <w:tc>
          <w:tcPr>
            <w:tcW w:w="1080" w:type="dxa"/>
            <w:tcBorders>
              <w:top w:val="nil"/>
              <w:left w:val="nil"/>
              <w:bottom w:val="nil"/>
            </w:tcBorders>
            <w:shd w:val="clear" w:color="auto" w:fill="auto"/>
            <w:noWrap/>
            <w:hideMark/>
          </w:tcPr>
          <w:p w:rsidR="00F96650" w:rsidRDefault="009413D9" w:rsidP="00F9665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96650">
              <w:rPr>
                <w:rFonts w:ascii="Times New Roman" w:hAnsi="Times New Roman" w:cs="Times New Roman"/>
                <w:color w:val="000000"/>
                <w:sz w:val="16"/>
                <w:szCs w:val="16"/>
              </w:rPr>
              <w:t>3.04)</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Log(</w:t>
            </w:r>
            <w:r w:rsidRPr="004E2142">
              <w:rPr>
                <w:rFonts w:ascii="Times New Roman" w:eastAsia="Times New Roman" w:hAnsi="Times New Roman" w:cs="Times New Roman"/>
                <w:color w:val="000000"/>
                <w:sz w:val="17"/>
                <w:szCs w:val="17"/>
              </w:rPr>
              <w:t>size</w:t>
            </w:r>
            <w:r>
              <w:rPr>
                <w:rFonts w:ascii="Times New Roman" w:eastAsia="Times New Roman" w:hAnsi="Times New Roman" w:cs="Times New Roman"/>
                <w:color w:val="000000"/>
                <w:sz w:val="17"/>
                <w:szCs w:val="17"/>
              </w:rPr>
              <w:t>)</w:t>
            </w: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-0.0108**</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-0.0098</w:t>
            </w:r>
          </w:p>
        </w:tc>
        <w:tc>
          <w:tcPr>
            <w:tcW w:w="913"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-0.0022</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-0.0112***</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-0.0153</w:t>
            </w:r>
          </w:p>
        </w:tc>
        <w:tc>
          <w:tcPr>
            <w:tcW w:w="1072"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-0.0042</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-0.0128***</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-0.0172</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-0.0069</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(-3.20)</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(-0.50)</w:t>
            </w:r>
          </w:p>
        </w:tc>
        <w:tc>
          <w:tcPr>
            <w:tcW w:w="913"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(-0.27)</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(-4.55)</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(-0.85)</w:t>
            </w:r>
          </w:p>
        </w:tc>
        <w:tc>
          <w:tcPr>
            <w:tcW w:w="1072"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(-0.61)</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(-7.51)</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(-1.14)</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(-1.25)</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Book-to-market</w:t>
            </w: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0.0007</w:t>
            </w:r>
          </w:p>
        </w:tc>
        <w:tc>
          <w:tcPr>
            <w:tcW w:w="913"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0.0007***</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-0.0006</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1072"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0.0004</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-0.0004</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ratio</w:t>
            </w: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(-1.09)</w:t>
            </w:r>
          </w:p>
        </w:tc>
        <w:tc>
          <w:tcPr>
            <w:tcW w:w="948"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0.16)</w:t>
            </w:r>
          </w:p>
        </w:tc>
        <w:tc>
          <w:tcPr>
            <w:tcW w:w="913" w:type="dxa"/>
            <w:tcBorders>
              <w:top w:val="nil"/>
              <w:left w:val="nil"/>
              <w:bottom w:val="nil"/>
              <w:right w:val="single" w:sz="8" w:space="0" w:color="auto"/>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4.00)</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(-0.60)</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(-0.43)</w:t>
            </w:r>
          </w:p>
        </w:tc>
        <w:tc>
          <w:tcPr>
            <w:tcW w:w="1072" w:type="dxa"/>
            <w:tcBorders>
              <w:top w:val="nil"/>
              <w:left w:val="nil"/>
              <w:bottom w:val="nil"/>
              <w:right w:val="single" w:sz="8" w:space="0" w:color="auto"/>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1.38)</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(-1.91)</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(-1.05)</w:t>
            </w:r>
          </w:p>
        </w:tc>
        <w:tc>
          <w:tcPr>
            <w:tcW w:w="1080" w:type="dxa"/>
            <w:tcBorders>
              <w:top w:val="nil"/>
              <w:left w:val="nil"/>
              <w:bottom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0.64)</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Debt/equity</w:t>
            </w: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0.0063</w:t>
            </w:r>
          </w:p>
        </w:tc>
        <w:tc>
          <w:tcPr>
            <w:tcW w:w="913"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-0.0003</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0.0081**</w:t>
            </w:r>
          </w:p>
        </w:tc>
        <w:tc>
          <w:tcPr>
            <w:tcW w:w="1072"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-0.0005</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0.0036</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-0.0003</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0.11)</w:t>
            </w:r>
          </w:p>
        </w:tc>
        <w:tc>
          <w:tcPr>
            <w:tcW w:w="948"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1.36)</w:t>
            </w:r>
          </w:p>
        </w:tc>
        <w:tc>
          <w:tcPr>
            <w:tcW w:w="913"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(-0.39)</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(-0.13)</w:t>
            </w:r>
          </w:p>
        </w:tc>
        <w:tc>
          <w:tcPr>
            <w:tcW w:w="735"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2.52)</w:t>
            </w:r>
          </w:p>
        </w:tc>
        <w:tc>
          <w:tcPr>
            <w:tcW w:w="1072"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(-0.67)</w:t>
            </w:r>
          </w:p>
        </w:tc>
        <w:tc>
          <w:tcPr>
            <w:tcW w:w="960"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0.14)</w:t>
            </w:r>
          </w:p>
        </w:tc>
        <w:tc>
          <w:tcPr>
            <w:tcW w:w="979"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1.10)</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(-0.28)</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Capital exp./</w:t>
            </w:r>
          </w:p>
        </w:tc>
        <w:tc>
          <w:tcPr>
            <w:tcW w:w="102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-0.127**</w:t>
            </w:r>
          </w:p>
        </w:tc>
        <w:tc>
          <w:tcPr>
            <w:tcW w:w="948"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-0.623***</w:t>
            </w:r>
          </w:p>
        </w:tc>
        <w:tc>
          <w:tcPr>
            <w:tcW w:w="913"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-0.294***</w:t>
            </w:r>
          </w:p>
        </w:tc>
        <w:tc>
          <w:tcPr>
            <w:tcW w:w="1073"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-0.0976**</w:t>
            </w:r>
          </w:p>
        </w:tc>
        <w:tc>
          <w:tcPr>
            <w:tcW w:w="735"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-0.441*</w:t>
            </w:r>
          </w:p>
        </w:tc>
        <w:tc>
          <w:tcPr>
            <w:tcW w:w="1072"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-0.239**</w:t>
            </w:r>
          </w:p>
        </w:tc>
        <w:tc>
          <w:tcPr>
            <w:tcW w:w="96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-0.120***</w:t>
            </w:r>
          </w:p>
        </w:tc>
        <w:tc>
          <w:tcPr>
            <w:tcW w:w="979"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-0.470**</w:t>
            </w:r>
          </w:p>
        </w:tc>
        <w:tc>
          <w:tcPr>
            <w:tcW w:w="1080" w:type="dxa"/>
            <w:tcBorders>
              <w:top w:val="nil"/>
              <w:left w:val="nil"/>
              <w:bottom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-0.277***</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assets</w:t>
            </w:r>
          </w:p>
        </w:tc>
        <w:tc>
          <w:tcPr>
            <w:tcW w:w="102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(-2.94)</w:t>
            </w:r>
          </w:p>
        </w:tc>
        <w:tc>
          <w:tcPr>
            <w:tcW w:w="948"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(-4.06)</w:t>
            </w:r>
          </w:p>
        </w:tc>
        <w:tc>
          <w:tcPr>
            <w:tcW w:w="913"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(-4.01)</w:t>
            </w:r>
          </w:p>
        </w:tc>
        <w:tc>
          <w:tcPr>
            <w:tcW w:w="1073"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(-2.36)</w:t>
            </w:r>
          </w:p>
        </w:tc>
        <w:tc>
          <w:tcPr>
            <w:tcW w:w="735"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(-1.92)</w:t>
            </w:r>
          </w:p>
        </w:tc>
        <w:tc>
          <w:tcPr>
            <w:tcW w:w="1072"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(-3.15)</w:t>
            </w:r>
          </w:p>
        </w:tc>
        <w:tc>
          <w:tcPr>
            <w:tcW w:w="96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(-3.67)</w:t>
            </w:r>
          </w:p>
        </w:tc>
        <w:tc>
          <w:tcPr>
            <w:tcW w:w="979"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(-2.81)</w:t>
            </w:r>
          </w:p>
        </w:tc>
        <w:tc>
          <w:tcPr>
            <w:tcW w:w="1080" w:type="dxa"/>
            <w:tcBorders>
              <w:top w:val="nil"/>
              <w:left w:val="nil"/>
              <w:bottom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(-4.64)</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Cash flow </w:t>
            </w:r>
            <w:proofErr w:type="spellStart"/>
            <w:r>
              <w:rPr>
                <w:rFonts w:ascii="Times New Roman" w:eastAsia="Times New Roman" w:hAnsi="Times New Roman" w:cs="Times New Roman"/>
                <w:color w:val="000000"/>
                <w:sz w:val="17"/>
                <w:szCs w:val="17"/>
              </w:rPr>
              <w:t>oper</w:t>
            </w:r>
            <w:proofErr w:type="spellEnd"/>
            <w:proofErr w:type="gramStart"/>
            <w:r w:rsidR="00324C3A">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w:t>
            </w:r>
            <w:proofErr w:type="gramEnd"/>
          </w:p>
        </w:tc>
        <w:tc>
          <w:tcPr>
            <w:tcW w:w="102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0.405***</w:t>
            </w:r>
          </w:p>
        </w:tc>
        <w:tc>
          <w:tcPr>
            <w:tcW w:w="948"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0.933***</w:t>
            </w:r>
          </w:p>
        </w:tc>
        <w:tc>
          <w:tcPr>
            <w:tcW w:w="913"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0.625***</w:t>
            </w:r>
          </w:p>
        </w:tc>
        <w:tc>
          <w:tcPr>
            <w:tcW w:w="1073"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0.362***</w:t>
            </w:r>
          </w:p>
        </w:tc>
        <w:tc>
          <w:tcPr>
            <w:tcW w:w="735"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0.617**</w:t>
            </w:r>
          </w:p>
        </w:tc>
        <w:tc>
          <w:tcPr>
            <w:tcW w:w="1072"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0.549***</w:t>
            </w:r>
          </w:p>
        </w:tc>
        <w:tc>
          <w:tcPr>
            <w:tcW w:w="96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0.363***</w:t>
            </w:r>
          </w:p>
        </w:tc>
        <w:tc>
          <w:tcPr>
            <w:tcW w:w="979"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0.648***</w:t>
            </w:r>
          </w:p>
        </w:tc>
        <w:tc>
          <w:tcPr>
            <w:tcW w:w="1080" w:type="dxa"/>
            <w:tcBorders>
              <w:top w:val="nil"/>
              <w:left w:val="nil"/>
              <w:bottom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0.554***</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assets</w:t>
            </w:r>
          </w:p>
        </w:tc>
        <w:tc>
          <w:tcPr>
            <w:tcW w:w="1020" w:type="dxa"/>
            <w:tcBorders>
              <w:top w:val="nil"/>
              <w:left w:val="nil"/>
              <w:bottom w:val="nil"/>
              <w:right w:val="nil"/>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14.78)</w:t>
            </w:r>
          </w:p>
        </w:tc>
        <w:tc>
          <w:tcPr>
            <w:tcW w:w="948" w:type="dxa"/>
            <w:tcBorders>
              <w:top w:val="nil"/>
              <w:left w:val="nil"/>
              <w:bottom w:val="nil"/>
              <w:right w:val="nil"/>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10.61)</w:t>
            </w:r>
          </w:p>
        </w:tc>
        <w:tc>
          <w:tcPr>
            <w:tcW w:w="913" w:type="dxa"/>
            <w:tcBorders>
              <w:top w:val="nil"/>
              <w:left w:val="nil"/>
              <w:bottom w:val="nil"/>
              <w:right w:val="single" w:sz="8" w:space="0" w:color="auto"/>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14.57)</w:t>
            </w:r>
          </w:p>
        </w:tc>
        <w:tc>
          <w:tcPr>
            <w:tcW w:w="1073" w:type="dxa"/>
            <w:tcBorders>
              <w:top w:val="nil"/>
              <w:left w:val="nil"/>
              <w:bottom w:val="nil"/>
              <w:right w:val="nil"/>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9.77)</w:t>
            </w:r>
          </w:p>
        </w:tc>
        <w:tc>
          <w:tcPr>
            <w:tcW w:w="735" w:type="dxa"/>
            <w:tcBorders>
              <w:top w:val="nil"/>
              <w:left w:val="nil"/>
              <w:bottom w:val="nil"/>
              <w:right w:val="nil"/>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2.46)</w:t>
            </w:r>
          </w:p>
        </w:tc>
        <w:tc>
          <w:tcPr>
            <w:tcW w:w="1072" w:type="dxa"/>
            <w:tcBorders>
              <w:top w:val="nil"/>
              <w:left w:val="nil"/>
              <w:bottom w:val="nil"/>
              <w:right w:val="single" w:sz="8" w:space="0" w:color="auto"/>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9.35)</w:t>
            </w:r>
          </w:p>
        </w:tc>
        <w:tc>
          <w:tcPr>
            <w:tcW w:w="960" w:type="dxa"/>
            <w:tcBorders>
              <w:top w:val="nil"/>
              <w:left w:val="nil"/>
              <w:bottom w:val="nil"/>
              <w:right w:val="nil"/>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11.82)</w:t>
            </w:r>
          </w:p>
        </w:tc>
        <w:tc>
          <w:tcPr>
            <w:tcW w:w="979" w:type="dxa"/>
            <w:tcBorders>
              <w:top w:val="nil"/>
              <w:left w:val="nil"/>
              <w:bottom w:val="nil"/>
              <w:right w:val="nil"/>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3.90)</w:t>
            </w:r>
          </w:p>
        </w:tc>
        <w:tc>
          <w:tcPr>
            <w:tcW w:w="1080" w:type="dxa"/>
            <w:tcBorders>
              <w:top w:val="nil"/>
              <w:left w:val="nil"/>
              <w:bottom w:val="nil"/>
            </w:tcBorders>
            <w:shd w:val="clear" w:color="auto" w:fill="auto"/>
            <w:noWrap/>
            <w:tcMar>
              <w:left w:w="0" w:type="dxa"/>
              <w:right w:w="0" w:type="dxa"/>
            </w:tcMar>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11.04)</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Distance-to-</w:t>
            </w: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0.0033</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0.0087</w:t>
            </w:r>
          </w:p>
        </w:tc>
        <w:tc>
          <w:tcPr>
            <w:tcW w:w="913"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0.0041</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0.0038</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0.0151</w:t>
            </w:r>
          </w:p>
        </w:tc>
        <w:tc>
          <w:tcPr>
            <w:tcW w:w="1072"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0.0053</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0.0041**</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0.0132*</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0.0058*</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default </w:t>
            </w:r>
          </w:p>
        </w:tc>
        <w:tc>
          <w:tcPr>
            <w:tcW w:w="1020"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1.60)</w:t>
            </w:r>
          </w:p>
        </w:tc>
        <w:tc>
          <w:tcPr>
            <w:tcW w:w="948"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1.03)</w:t>
            </w:r>
          </w:p>
        </w:tc>
        <w:tc>
          <w:tcPr>
            <w:tcW w:w="913" w:type="dxa"/>
            <w:tcBorders>
              <w:top w:val="nil"/>
              <w:left w:val="nil"/>
              <w:bottom w:val="nil"/>
              <w:right w:val="single" w:sz="8" w:space="0" w:color="auto"/>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1.07)</w:t>
            </w:r>
          </w:p>
        </w:tc>
        <w:tc>
          <w:tcPr>
            <w:tcW w:w="1073"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1.85)</w:t>
            </w:r>
          </w:p>
        </w:tc>
        <w:tc>
          <w:tcPr>
            <w:tcW w:w="735"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1.84)</w:t>
            </w:r>
          </w:p>
        </w:tc>
        <w:tc>
          <w:tcPr>
            <w:tcW w:w="1072" w:type="dxa"/>
            <w:tcBorders>
              <w:top w:val="nil"/>
              <w:left w:val="nil"/>
              <w:bottom w:val="nil"/>
              <w:right w:val="single" w:sz="8" w:space="0" w:color="auto"/>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1.44)</w:t>
            </w:r>
          </w:p>
        </w:tc>
        <w:tc>
          <w:tcPr>
            <w:tcW w:w="960"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2.57)</w:t>
            </w:r>
          </w:p>
        </w:tc>
        <w:tc>
          <w:tcPr>
            <w:tcW w:w="979"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2.00)</w:t>
            </w:r>
          </w:p>
        </w:tc>
        <w:tc>
          <w:tcPr>
            <w:tcW w:w="1080" w:type="dxa"/>
            <w:tcBorders>
              <w:top w:val="nil"/>
              <w:left w:val="nil"/>
              <w:bottom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2.01)</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Firm age</w:t>
            </w: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13"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1072"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0.0002</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0.0001**</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0.96)</w:t>
            </w:r>
          </w:p>
        </w:tc>
        <w:tc>
          <w:tcPr>
            <w:tcW w:w="948"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1.66)</w:t>
            </w:r>
          </w:p>
        </w:tc>
        <w:tc>
          <w:tcPr>
            <w:tcW w:w="913" w:type="dxa"/>
            <w:tcBorders>
              <w:top w:val="nil"/>
              <w:left w:val="nil"/>
              <w:bottom w:val="nil"/>
              <w:right w:val="single" w:sz="8" w:space="0" w:color="auto"/>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3.07)</w:t>
            </w:r>
          </w:p>
        </w:tc>
        <w:tc>
          <w:tcPr>
            <w:tcW w:w="1073"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0.79)</w:t>
            </w:r>
          </w:p>
        </w:tc>
        <w:tc>
          <w:tcPr>
            <w:tcW w:w="735"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1.41)</w:t>
            </w:r>
          </w:p>
        </w:tc>
        <w:tc>
          <w:tcPr>
            <w:tcW w:w="1072" w:type="dxa"/>
            <w:tcBorders>
              <w:top w:val="nil"/>
              <w:left w:val="nil"/>
              <w:bottom w:val="nil"/>
              <w:right w:val="single" w:sz="8" w:space="0" w:color="auto"/>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2.38)</w:t>
            </w:r>
          </w:p>
        </w:tc>
        <w:tc>
          <w:tcPr>
            <w:tcW w:w="960"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1.16)</w:t>
            </w:r>
          </w:p>
        </w:tc>
        <w:tc>
          <w:tcPr>
            <w:tcW w:w="979"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1.81)</w:t>
            </w:r>
          </w:p>
        </w:tc>
        <w:tc>
          <w:tcPr>
            <w:tcW w:w="1080" w:type="dxa"/>
            <w:tcBorders>
              <w:top w:val="nil"/>
              <w:left w:val="nil"/>
              <w:bottom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2.41)</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Past stock return</w:t>
            </w: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0.0044**</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0.0165</w:t>
            </w:r>
          </w:p>
        </w:tc>
        <w:tc>
          <w:tcPr>
            <w:tcW w:w="913"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0.0087*</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0.0043*</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0.0195</w:t>
            </w:r>
          </w:p>
        </w:tc>
        <w:tc>
          <w:tcPr>
            <w:tcW w:w="1072" w:type="dxa"/>
            <w:tcBorders>
              <w:top w:val="nil"/>
              <w:left w:val="nil"/>
              <w:bottom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0.0076*</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0.0031*</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0.015</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0.0053</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2.39)</w:t>
            </w:r>
          </w:p>
        </w:tc>
        <w:tc>
          <w:tcPr>
            <w:tcW w:w="948"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1.78)</w:t>
            </w:r>
          </w:p>
        </w:tc>
        <w:tc>
          <w:tcPr>
            <w:tcW w:w="913" w:type="dxa"/>
            <w:tcBorders>
              <w:top w:val="nil"/>
              <w:left w:val="nil"/>
              <w:bottom w:val="nil"/>
              <w:right w:val="single" w:sz="8" w:space="0" w:color="auto"/>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1.99)</w:t>
            </w:r>
          </w:p>
        </w:tc>
        <w:tc>
          <w:tcPr>
            <w:tcW w:w="1073"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2.15)</w:t>
            </w:r>
          </w:p>
        </w:tc>
        <w:tc>
          <w:tcPr>
            <w:tcW w:w="735"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1.57)</w:t>
            </w:r>
          </w:p>
        </w:tc>
        <w:tc>
          <w:tcPr>
            <w:tcW w:w="1072" w:type="dxa"/>
            <w:tcBorders>
              <w:top w:val="nil"/>
              <w:left w:val="nil"/>
              <w:bottom w:val="nil"/>
              <w:right w:val="single" w:sz="8" w:space="0" w:color="auto"/>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1.95)</w:t>
            </w:r>
          </w:p>
        </w:tc>
        <w:tc>
          <w:tcPr>
            <w:tcW w:w="960"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1.90)</w:t>
            </w:r>
          </w:p>
        </w:tc>
        <w:tc>
          <w:tcPr>
            <w:tcW w:w="979" w:type="dxa"/>
            <w:tcBorders>
              <w:top w:val="nil"/>
              <w:left w:val="nil"/>
              <w:bottom w:val="nil"/>
              <w:right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1.54)</w:t>
            </w:r>
          </w:p>
        </w:tc>
        <w:tc>
          <w:tcPr>
            <w:tcW w:w="1080" w:type="dxa"/>
            <w:tcBorders>
              <w:top w:val="nil"/>
              <w:left w:val="nil"/>
              <w:bottom w:val="nil"/>
            </w:tcBorders>
            <w:shd w:val="clear" w:color="auto" w:fill="auto"/>
            <w:noWrap/>
            <w:hideMark/>
          </w:tcPr>
          <w:p w:rsidR="00017DF5" w:rsidRDefault="009413D9"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017DF5">
              <w:rPr>
                <w:rFonts w:ascii="Times New Roman" w:hAnsi="Times New Roman" w:cs="Times New Roman"/>
                <w:color w:val="000000"/>
                <w:sz w:val="16"/>
                <w:szCs w:val="16"/>
              </w:rPr>
              <w:t>1.58)</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Liquidity </w:t>
            </w:r>
          </w:p>
        </w:tc>
        <w:tc>
          <w:tcPr>
            <w:tcW w:w="102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-0.0149</w:t>
            </w:r>
          </w:p>
        </w:tc>
        <w:tc>
          <w:tcPr>
            <w:tcW w:w="948"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-0.0094</w:t>
            </w:r>
          </w:p>
        </w:tc>
        <w:tc>
          <w:tcPr>
            <w:tcW w:w="913"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-0.0182</w:t>
            </w:r>
          </w:p>
        </w:tc>
        <w:tc>
          <w:tcPr>
            <w:tcW w:w="1073"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-0.0061</w:t>
            </w:r>
          </w:p>
        </w:tc>
        <w:tc>
          <w:tcPr>
            <w:tcW w:w="735"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-0.0054</w:t>
            </w:r>
          </w:p>
        </w:tc>
        <w:tc>
          <w:tcPr>
            <w:tcW w:w="1072"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-0.0096</w:t>
            </w:r>
          </w:p>
        </w:tc>
        <w:tc>
          <w:tcPr>
            <w:tcW w:w="96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-0.0058</w:t>
            </w:r>
          </w:p>
        </w:tc>
        <w:tc>
          <w:tcPr>
            <w:tcW w:w="979"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-0.014</w:t>
            </w:r>
          </w:p>
        </w:tc>
        <w:tc>
          <w:tcPr>
            <w:tcW w:w="1080" w:type="dxa"/>
            <w:tcBorders>
              <w:top w:val="nil"/>
              <w:left w:val="nil"/>
              <w:bottom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-0.0063</w:t>
            </w:r>
          </w:p>
        </w:tc>
      </w:tr>
      <w:tr w:rsidR="00017DF5" w:rsidRPr="00C07CDE" w:rsidTr="00F96650">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constraint</w:t>
            </w:r>
          </w:p>
        </w:tc>
        <w:tc>
          <w:tcPr>
            <w:tcW w:w="102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(-0.89)</w:t>
            </w:r>
          </w:p>
        </w:tc>
        <w:tc>
          <w:tcPr>
            <w:tcW w:w="948"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(-0.14)</w:t>
            </w:r>
          </w:p>
        </w:tc>
        <w:tc>
          <w:tcPr>
            <w:tcW w:w="913"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(-0.72)</w:t>
            </w:r>
          </w:p>
        </w:tc>
        <w:tc>
          <w:tcPr>
            <w:tcW w:w="1073"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(-0.45)</w:t>
            </w:r>
          </w:p>
        </w:tc>
        <w:tc>
          <w:tcPr>
            <w:tcW w:w="735"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(-0.14)</w:t>
            </w:r>
          </w:p>
        </w:tc>
        <w:tc>
          <w:tcPr>
            <w:tcW w:w="1072" w:type="dxa"/>
            <w:tcBorders>
              <w:top w:val="nil"/>
              <w:left w:val="nil"/>
              <w:bottom w:val="nil"/>
              <w:right w:val="single" w:sz="8" w:space="0" w:color="auto"/>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(-0.52)</w:t>
            </w:r>
          </w:p>
        </w:tc>
        <w:tc>
          <w:tcPr>
            <w:tcW w:w="960"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(-0.48)</w:t>
            </w:r>
          </w:p>
        </w:tc>
        <w:tc>
          <w:tcPr>
            <w:tcW w:w="979" w:type="dxa"/>
            <w:tcBorders>
              <w:top w:val="nil"/>
              <w:left w:val="nil"/>
              <w:bottom w:val="nil"/>
              <w:right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(-0.41)</w:t>
            </w:r>
          </w:p>
        </w:tc>
        <w:tc>
          <w:tcPr>
            <w:tcW w:w="1080" w:type="dxa"/>
            <w:tcBorders>
              <w:top w:val="nil"/>
              <w:left w:val="nil"/>
              <w:bottom w:val="nil"/>
            </w:tcBorders>
            <w:shd w:val="clear" w:color="auto" w:fill="auto"/>
            <w:noWrap/>
            <w:tcMar>
              <w:left w:w="0" w:type="dxa"/>
              <w:right w:w="0" w:type="dxa"/>
            </w:tcMar>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(-0.37)</w:t>
            </w:r>
          </w:p>
        </w:tc>
      </w:tr>
      <w:tr w:rsidR="008E65D9" w:rsidRPr="00C07CDE" w:rsidTr="00F96650">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8"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017DF5" w:rsidRPr="00C07CDE" w:rsidTr="00220A01">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Tax loss</w:t>
            </w: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-0.0083***</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-0.0045</w:t>
            </w:r>
          </w:p>
        </w:tc>
        <w:tc>
          <w:tcPr>
            <w:tcW w:w="913" w:type="dxa"/>
            <w:tcBorders>
              <w:top w:val="nil"/>
              <w:left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-0.0119**</w:t>
            </w:r>
          </w:p>
        </w:tc>
        <w:tc>
          <w:tcPr>
            <w:tcW w:w="1073"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-0.0092***</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-0.0164</w:t>
            </w:r>
          </w:p>
        </w:tc>
        <w:tc>
          <w:tcPr>
            <w:tcW w:w="1072" w:type="dxa"/>
            <w:tcBorders>
              <w:top w:val="nil"/>
              <w:left w:val="nil"/>
              <w:right w:val="single" w:sz="8"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-0.0132***</w:t>
            </w:r>
          </w:p>
        </w:tc>
        <w:tc>
          <w:tcPr>
            <w:tcW w:w="96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-0.0088***</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-0.0145**</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-0.0127***</w:t>
            </w:r>
          </w:p>
        </w:tc>
      </w:tr>
      <w:tr w:rsidR="00017DF5" w:rsidRPr="00C07CDE" w:rsidTr="00220A01">
        <w:trPr>
          <w:trHeight w:val="144"/>
          <w:jc w:val="center"/>
        </w:trPr>
        <w:tc>
          <w:tcPr>
            <w:tcW w:w="1300" w:type="dxa"/>
            <w:tcBorders>
              <w:top w:val="nil"/>
              <w:left w:val="nil"/>
              <w:bottom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(-3.57)</w:t>
            </w:r>
          </w:p>
        </w:tc>
        <w:tc>
          <w:tcPr>
            <w:tcW w:w="948"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(-0.47)</w:t>
            </w:r>
          </w:p>
        </w:tc>
        <w:tc>
          <w:tcPr>
            <w:tcW w:w="913" w:type="dxa"/>
            <w:tcBorders>
              <w:top w:val="nil"/>
              <w:left w:val="nil"/>
              <w:bottom w:val="nil"/>
              <w:right w:val="single" w:sz="4"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(-2.65)</w:t>
            </w:r>
          </w:p>
        </w:tc>
        <w:tc>
          <w:tcPr>
            <w:tcW w:w="1073" w:type="dxa"/>
            <w:tcBorders>
              <w:top w:val="nil"/>
              <w:left w:val="single" w:sz="4" w:space="0" w:color="auto"/>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(-5.59)</w:t>
            </w:r>
          </w:p>
        </w:tc>
        <w:tc>
          <w:tcPr>
            <w:tcW w:w="735"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(-1.70)</w:t>
            </w:r>
          </w:p>
        </w:tc>
        <w:tc>
          <w:tcPr>
            <w:tcW w:w="1072" w:type="dxa"/>
            <w:tcBorders>
              <w:top w:val="nil"/>
              <w:left w:val="nil"/>
              <w:bottom w:val="nil"/>
              <w:right w:val="single" w:sz="4"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(-5.72)</w:t>
            </w:r>
          </w:p>
        </w:tc>
        <w:tc>
          <w:tcPr>
            <w:tcW w:w="960" w:type="dxa"/>
            <w:tcBorders>
              <w:top w:val="nil"/>
              <w:left w:val="single" w:sz="4" w:space="0" w:color="auto"/>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(-7.84)</w:t>
            </w:r>
          </w:p>
        </w:tc>
        <w:tc>
          <w:tcPr>
            <w:tcW w:w="979" w:type="dxa"/>
            <w:tcBorders>
              <w:top w:val="nil"/>
              <w:left w:val="nil"/>
              <w:bottom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(-2.44)</w:t>
            </w:r>
          </w:p>
        </w:tc>
        <w:tc>
          <w:tcPr>
            <w:tcW w:w="1080" w:type="dxa"/>
            <w:tcBorders>
              <w:top w:val="nil"/>
              <w:left w:val="nil"/>
              <w:bottom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(-7.38)</w:t>
            </w:r>
          </w:p>
        </w:tc>
      </w:tr>
      <w:tr w:rsidR="008E65D9" w:rsidRPr="00C07CDE" w:rsidTr="00220A01">
        <w:trPr>
          <w:trHeight w:hRule="exact" w:val="72"/>
          <w:jc w:val="center"/>
        </w:trPr>
        <w:tc>
          <w:tcPr>
            <w:tcW w:w="130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13" w:type="dxa"/>
            <w:tcBorders>
              <w:top w:val="nil"/>
              <w:left w:val="nil"/>
              <w:bottom w:val="nil"/>
              <w:right w:val="single" w:sz="4"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3" w:type="dxa"/>
            <w:tcBorders>
              <w:top w:val="nil"/>
              <w:left w:val="single" w:sz="4" w:space="0" w:color="auto"/>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72" w:type="dxa"/>
            <w:tcBorders>
              <w:top w:val="nil"/>
              <w:left w:val="nil"/>
              <w:bottom w:val="nil"/>
              <w:right w:val="single" w:sz="4" w:space="0" w:color="auto"/>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60" w:type="dxa"/>
            <w:tcBorders>
              <w:top w:val="nil"/>
              <w:left w:val="single" w:sz="4" w:space="0" w:color="auto"/>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c>
          <w:tcPr>
            <w:tcW w:w="1080" w:type="dxa"/>
            <w:tcBorders>
              <w:top w:val="nil"/>
              <w:left w:val="nil"/>
              <w:bottom w:val="nil"/>
            </w:tcBorders>
            <w:shd w:val="clear" w:color="auto" w:fill="auto"/>
            <w:noWrap/>
            <w:vAlign w:val="center"/>
          </w:tcPr>
          <w:p w:rsidR="008E65D9" w:rsidRPr="004E2142" w:rsidRDefault="008E65D9" w:rsidP="00575A5A">
            <w:pPr>
              <w:tabs>
                <w:tab w:val="left" w:pos="660"/>
              </w:tabs>
              <w:spacing w:after="0" w:line="240" w:lineRule="auto"/>
              <w:jc w:val="center"/>
              <w:rPr>
                <w:rFonts w:ascii="Times New Roman" w:eastAsia="Times New Roman" w:hAnsi="Times New Roman" w:cs="Times New Roman"/>
                <w:color w:val="000000"/>
                <w:sz w:val="17"/>
                <w:szCs w:val="17"/>
              </w:rPr>
            </w:pPr>
          </w:p>
        </w:tc>
      </w:tr>
      <w:tr w:rsidR="008E65D9" w:rsidRPr="00C07CDE" w:rsidTr="00220A01">
        <w:trPr>
          <w:trHeight w:hRule="exact" w:val="72"/>
          <w:jc w:val="center"/>
        </w:trPr>
        <w:tc>
          <w:tcPr>
            <w:tcW w:w="1300" w:type="dxa"/>
            <w:tcBorders>
              <w:top w:val="nil"/>
              <w:left w:val="nil"/>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20" w:type="dxa"/>
            <w:tcBorders>
              <w:top w:val="nil"/>
              <w:left w:val="nil"/>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948" w:type="dxa"/>
            <w:tcBorders>
              <w:top w:val="nil"/>
              <w:left w:val="nil"/>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913" w:type="dxa"/>
            <w:tcBorders>
              <w:top w:val="nil"/>
              <w:left w:val="nil"/>
              <w:bottom w:val="nil"/>
              <w:right w:val="single" w:sz="4" w:space="0" w:color="auto"/>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73" w:type="dxa"/>
            <w:tcBorders>
              <w:top w:val="nil"/>
              <w:left w:val="single" w:sz="4" w:space="0" w:color="auto"/>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735" w:type="dxa"/>
            <w:tcBorders>
              <w:top w:val="nil"/>
              <w:left w:val="nil"/>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72" w:type="dxa"/>
            <w:tcBorders>
              <w:top w:val="nil"/>
              <w:left w:val="nil"/>
              <w:bottom w:val="nil"/>
              <w:right w:val="single" w:sz="4" w:space="0" w:color="auto"/>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960" w:type="dxa"/>
            <w:tcBorders>
              <w:top w:val="nil"/>
              <w:left w:val="single" w:sz="4" w:space="0" w:color="auto"/>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979" w:type="dxa"/>
            <w:tcBorders>
              <w:top w:val="nil"/>
              <w:left w:val="nil"/>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c>
          <w:tcPr>
            <w:tcW w:w="1080" w:type="dxa"/>
            <w:tcBorders>
              <w:top w:val="nil"/>
              <w:left w:val="nil"/>
              <w:bottom w:val="nil"/>
              <w:right w:val="nil"/>
            </w:tcBorders>
            <w:shd w:val="clear" w:color="auto" w:fill="auto"/>
            <w:noWrap/>
            <w:vAlign w:val="center"/>
            <w:hideMark/>
          </w:tcPr>
          <w:p w:rsidR="008E65D9" w:rsidRPr="004E2142" w:rsidRDefault="008E65D9" w:rsidP="00575A5A">
            <w:pPr>
              <w:tabs>
                <w:tab w:val="left" w:pos="660"/>
              </w:tabs>
              <w:spacing w:after="0" w:line="240" w:lineRule="auto"/>
              <w:rPr>
                <w:rFonts w:ascii="Times New Roman" w:eastAsia="Times New Roman" w:hAnsi="Times New Roman" w:cs="Times New Roman"/>
                <w:color w:val="000000"/>
                <w:sz w:val="17"/>
                <w:szCs w:val="17"/>
              </w:rPr>
            </w:pPr>
          </w:p>
        </w:tc>
      </w:tr>
      <w:tr w:rsidR="00824FB6" w:rsidRPr="00C07CDE" w:rsidTr="00220A01">
        <w:trPr>
          <w:trHeight w:val="144"/>
          <w:jc w:val="center"/>
        </w:trPr>
        <w:tc>
          <w:tcPr>
            <w:tcW w:w="1300" w:type="dxa"/>
            <w:tcBorders>
              <w:top w:val="nil"/>
              <w:left w:val="nil"/>
              <w:right w:val="nil"/>
            </w:tcBorders>
            <w:shd w:val="clear" w:color="auto" w:fill="auto"/>
            <w:noWrap/>
            <w:vAlign w:val="center"/>
          </w:tcPr>
          <w:p w:rsidR="00824FB6" w:rsidRPr="004E2142" w:rsidRDefault="00824FB6" w:rsidP="00824FB6">
            <w:pPr>
              <w:tabs>
                <w:tab w:val="left" w:pos="660"/>
              </w:tabs>
              <w:spacing w:after="0" w:line="240" w:lineRule="auto"/>
              <w:rPr>
                <w:rFonts w:ascii="Times New Roman" w:eastAsia="Times New Roman" w:hAnsi="Times New Roman" w:cs="Times New Roman"/>
                <w:color w:val="000000"/>
                <w:sz w:val="17"/>
                <w:szCs w:val="17"/>
              </w:rPr>
            </w:pPr>
            <w:r w:rsidRPr="00C91DF3">
              <w:rPr>
                <w:rFonts w:ascii="Times New Roman" w:eastAsia="Times New Roman" w:hAnsi="Times New Roman" w:cs="Times New Roman"/>
                <w:color w:val="000000"/>
                <w:sz w:val="17"/>
                <w:szCs w:val="17"/>
              </w:rPr>
              <w:t>R-Squared</w:t>
            </w:r>
          </w:p>
        </w:tc>
        <w:tc>
          <w:tcPr>
            <w:tcW w:w="1020" w:type="dxa"/>
            <w:tcBorders>
              <w:top w:val="nil"/>
              <w:left w:val="nil"/>
              <w:right w:val="nil"/>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0.3159</w:t>
            </w:r>
          </w:p>
        </w:tc>
        <w:tc>
          <w:tcPr>
            <w:tcW w:w="948" w:type="dxa"/>
            <w:tcBorders>
              <w:top w:val="nil"/>
              <w:left w:val="nil"/>
              <w:right w:val="nil"/>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0.1384</w:t>
            </w:r>
          </w:p>
        </w:tc>
        <w:tc>
          <w:tcPr>
            <w:tcW w:w="913" w:type="dxa"/>
            <w:tcBorders>
              <w:top w:val="nil"/>
              <w:left w:val="nil"/>
              <w:right w:val="single" w:sz="4" w:space="0" w:color="auto"/>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0.2423</w:t>
            </w:r>
          </w:p>
        </w:tc>
        <w:tc>
          <w:tcPr>
            <w:tcW w:w="1073" w:type="dxa"/>
            <w:tcBorders>
              <w:top w:val="nil"/>
              <w:left w:val="single" w:sz="4" w:space="0" w:color="auto"/>
              <w:right w:val="nil"/>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0.3773</w:t>
            </w:r>
          </w:p>
        </w:tc>
        <w:tc>
          <w:tcPr>
            <w:tcW w:w="735" w:type="dxa"/>
            <w:tcBorders>
              <w:top w:val="nil"/>
              <w:left w:val="nil"/>
              <w:right w:val="nil"/>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0.1427</w:t>
            </w:r>
          </w:p>
        </w:tc>
        <w:tc>
          <w:tcPr>
            <w:tcW w:w="1072" w:type="dxa"/>
            <w:tcBorders>
              <w:top w:val="nil"/>
              <w:left w:val="nil"/>
              <w:right w:val="single" w:sz="4" w:space="0" w:color="auto"/>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0.2811</w:t>
            </w:r>
          </w:p>
        </w:tc>
        <w:tc>
          <w:tcPr>
            <w:tcW w:w="960" w:type="dxa"/>
            <w:tcBorders>
              <w:top w:val="nil"/>
              <w:left w:val="single" w:sz="4" w:space="0" w:color="auto"/>
              <w:right w:val="nil"/>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0.4379</w:t>
            </w:r>
          </w:p>
        </w:tc>
        <w:tc>
          <w:tcPr>
            <w:tcW w:w="979" w:type="dxa"/>
            <w:tcBorders>
              <w:top w:val="nil"/>
              <w:left w:val="nil"/>
              <w:right w:val="nil"/>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0.1704</w:t>
            </w:r>
          </w:p>
        </w:tc>
        <w:tc>
          <w:tcPr>
            <w:tcW w:w="1080" w:type="dxa"/>
            <w:tcBorders>
              <w:top w:val="nil"/>
              <w:left w:val="nil"/>
              <w:right w:val="nil"/>
            </w:tcBorders>
            <w:shd w:val="clear" w:color="auto" w:fill="auto"/>
            <w:noWrap/>
            <w:vAlign w:val="center"/>
          </w:tcPr>
          <w:p w:rsidR="00824FB6" w:rsidRDefault="00824FB6" w:rsidP="00824FB6">
            <w:pPr>
              <w:tabs>
                <w:tab w:val="left" w:pos="6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0.3205</w:t>
            </w:r>
          </w:p>
        </w:tc>
      </w:tr>
      <w:tr w:rsidR="00017DF5" w:rsidRPr="00C07CDE" w:rsidTr="00220A01">
        <w:trPr>
          <w:trHeight w:val="144"/>
          <w:jc w:val="center"/>
        </w:trPr>
        <w:tc>
          <w:tcPr>
            <w:tcW w:w="1300" w:type="dxa"/>
            <w:tcBorders>
              <w:top w:val="nil"/>
              <w:left w:val="nil"/>
              <w:right w:val="nil"/>
            </w:tcBorders>
            <w:shd w:val="clear" w:color="auto" w:fill="auto"/>
            <w:noWrap/>
            <w:vAlign w:val="center"/>
            <w:hideMark/>
          </w:tcPr>
          <w:p w:rsidR="00017DF5" w:rsidRPr="004E2142" w:rsidRDefault="00017DF5" w:rsidP="00017DF5">
            <w:pPr>
              <w:tabs>
                <w:tab w:val="left" w:pos="660"/>
              </w:tabs>
              <w:spacing w:after="0" w:line="240" w:lineRule="auto"/>
              <w:rPr>
                <w:rFonts w:ascii="Times New Roman" w:eastAsia="Times New Roman" w:hAnsi="Times New Roman" w:cs="Times New Roman"/>
                <w:color w:val="000000"/>
                <w:sz w:val="17"/>
                <w:szCs w:val="17"/>
              </w:rPr>
            </w:pPr>
            <w:r w:rsidRPr="004E2142">
              <w:rPr>
                <w:rFonts w:ascii="Times New Roman" w:eastAsia="Times New Roman" w:hAnsi="Times New Roman" w:cs="Times New Roman"/>
                <w:color w:val="000000"/>
                <w:sz w:val="17"/>
                <w:szCs w:val="17"/>
              </w:rPr>
              <w:t>Observations</w:t>
            </w:r>
          </w:p>
        </w:tc>
        <w:tc>
          <w:tcPr>
            <w:tcW w:w="1020" w:type="dxa"/>
            <w:tcBorders>
              <w:top w:val="nil"/>
              <w:left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1,342</w:t>
            </w:r>
          </w:p>
        </w:tc>
        <w:tc>
          <w:tcPr>
            <w:tcW w:w="948" w:type="dxa"/>
            <w:tcBorders>
              <w:top w:val="nil"/>
              <w:left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1,342</w:t>
            </w:r>
          </w:p>
        </w:tc>
        <w:tc>
          <w:tcPr>
            <w:tcW w:w="913" w:type="dxa"/>
            <w:tcBorders>
              <w:top w:val="nil"/>
              <w:left w:val="nil"/>
              <w:right w:val="single" w:sz="4"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1,342</w:t>
            </w:r>
          </w:p>
        </w:tc>
        <w:tc>
          <w:tcPr>
            <w:tcW w:w="1073" w:type="dxa"/>
            <w:tcBorders>
              <w:top w:val="nil"/>
              <w:left w:val="single" w:sz="4" w:space="0" w:color="auto"/>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1,338</w:t>
            </w:r>
          </w:p>
        </w:tc>
        <w:tc>
          <w:tcPr>
            <w:tcW w:w="735" w:type="dxa"/>
            <w:tcBorders>
              <w:top w:val="nil"/>
              <w:left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1,338</w:t>
            </w:r>
          </w:p>
        </w:tc>
        <w:tc>
          <w:tcPr>
            <w:tcW w:w="1072" w:type="dxa"/>
            <w:tcBorders>
              <w:top w:val="nil"/>
              <w:left w:val="nil"/>
              <w:right w:val="single" w:sz="4" w:space="0" w:color="auto"/>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1,338</w:t>
            </w:r>
          </w:p>
        </w:tc>
        <w:tc>
          <w:tcPr>
            <w:tcW w:w="960" w:type="dxa"/>
            <w:tcBorders>
              <w:top w:val="nil"/>
              <w:left w:val="single" w:sz="4" w:space="0" w:color="auto"/>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1,329</w:t>
            </w:r>
          </w:p>
        </w:tc>
        <w:tc>
          <w:tcPr>
            <w:tcW w:w="979" w:type="dxa"/>
            <w:tcBorders>
              <w:top w:val="nil"/>
              <w:left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1,329</w:t>
            </w:r>
          </w:p>
        </w:tc>
        <w:tc>
          <w:tcPr>
            <w:tcW w:w="1080" w:type="dxa"/>
            <w:tcBorders>
              <w:top w:val="nil"/>
              <w:left w:val="nil"/>
              <w:right w:val="nil"/>
            </w:tcBorders>
            <w:shd w:val="clear" w:color="auto" w:fill="auto"/>
            <w:noWrap/>
            <w:hideMark/>
          </w:tcPr>
          <w:p w:rsidR="00017DF5" w:rsidRDefault="00017DF5" w:rsidP="00017DF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1,329</w:t>
            </w:r>
          </w:p>
        </w:tc>
      </w:tr>
      <w:tr w:rsidR="008E65D9" w:rsidRPr="00C07CDE" w:rsidTr="00F96650">
        <w:trPr>
          <w:trHeight w:hRule="exact" w:val="72"/>
          <w:jc w:val="center"/>
        </w:trPr>
        <w:tc>
          <w:tcPr>
            <w:tcW w:w="1300"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rPr>
                <w:rFonts w:ascii="Times New Roman" w:eastAsia="Times New Roman" w:hAnsi="Times New Roman" w:cs="Times New Roman"/>
                <w:color w:val="000000"/>
                <w:sz w:val="16"/>
                <w:szCs w:val="16"/>
              </w:rPr>
            </w:pPr>
          </w:p>
        </w:tc>
        <w:tc>
          <w:tcPr>
            <w:tcW w:w="1020"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48"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13"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73"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35"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72"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60"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79"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80" w:type="dxa"/>
            <w:tcBorders>
              <w:top w:val="nil"/>
              <w:left w:val="nil"/>
              <w:bottom w:val="single" w:sz="4" w:space="0" w:color="auto"/>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r>
      <w:tr w:rsidR="008E65D9" w:rsidRPr="00C07CDE" w:rsidTr="00F96650">
        <w:trPr>
          <w:trHeight w:val="144"/>
          <w:jc w:val="center"/>
        </w:trPr>
        <w:tc>
          <w:tcPr>
            <w:tcW w:w="1300"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rPr>
                <w:rFonts w:ascii="Times New Roman" w:eastAsia="Times New Roman" w:hAnsi="Times New Roman" w:cs="Times New Roman"/>
                <w:color w:val="000000"/>
                <w:sz w:val="16"/>
                <w:szCs w:val="16"/>
              </w:rPr>
            </w:pPr>
          </w:p>
        </w:tc>
        <w:tc>
          <w:tcPr>
            <w:tcW w:w="1020"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48"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13"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73"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735"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72"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60"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979"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c>
          <w:tcPr>
            <w:tcW w:w="1080" w:type="dxa"/>
            <w:tcBorders>
              <w:top w:val="single" w:sz="4" w:space="0" w:color="auto"/>
              <w:left w:val="nil"/>
              <w:bottom w:val="nil"/>
              <w:right w:val="nil"/>
            </w:tcBorders>
            <w:shd w:val="clear" w:color="auto" w:fill="auto"/>
            <w:noWrap/>
            <w:vAlign w:val="center"/>
          </w:tcPr>
          <w:p w:rsidR="008E65D9" w:rsidRPr="00C07CDE" w:rsidRDefault="008E65D9" w:rsidP="00575A5A">
            <w:pPr>
              <w:tabs>
                <w:tab w:val="left" w:pos="660"/>
              </w:tabs>
              <w:spacing w:after="0" w:line="240" w:lineRule="auto"/>
              <w:jc w:val="center"/>
              <w:rPr>
                <w:rFonts w:ascii="Times New Roman" w:eastAsia="Times New Roman" w:hAnsi="Times New Roman" w:cs="Times New Roman"/>
                <w:color w:val="000000"/>
                <w:sz w:val="16"/>
                <w:szCs w:val="16"/>
              </w:rPr>
            </w:pPr>
          </w:p>
        </w:tc>
      </w:tr>
    </w:tbl>
    <w:p w:rsidR="008E65D9" w:rsidRDefault="008E65D9" w:rsidP="008E65D9">
      <w:pPr>
        <w:spacing w:after="0" w:line="240" w:lineRule="auto"/>
        <w:jc w:val="both"/>
      </w:pPr>
    </w:p>
    <w:p w:rsidR="008E65D9" w:rsidRDefault="008E65D9" w:rsidP="008E65D9">
      <w:pPr>
        <w:spacing w:after="0" w:line="240" w:lineRule="auto"/>
        <w:jc w:val="both"/>
      </w:pPr>
    </w:p>
    <w:p w:rsidR="00C61F1E" w:rsidRDefault="00C61F1E">
      <w:pPr>
        <w:rPr>
          <w:rFonts w:ascii="Times New Roman" w:hAnsi="Times New Roman" w:cs="Times New Roman"/>
          <w:b/>
          <w:bCs/>
          <w:color w:val="000000"/>
          <w:sz w:val="24"/>
        </w:rPr>
      </w:pPr>
    </w:p>
    <w:sectPr w:rsidR="00C61F1E" w:rsidSect="005538D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6D" w:rsidRDefault="0074686D" w:rsidP="000863ED">
      <w:pPr>
        <w:spacing w:after="0" w:line="240" w:lineRule="auto"/>
      </w:pPr>
      <w:r>
        <w:separator/>
      </w:r>
    </w:p>
  </w:endnote>
  <w:endnote w:type="continuationSeparator" w:id="0">
    <w:p w:rsidR="0074686D" w:rsidRDefault="0074686D" w:rsidP="0008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911197"/>
      <w:docPartObj>
        <w:docPartGallery w:val="Page Numbers (Bottom of Page)"/>
        <w:docPartUnique/>
      </w:docPartObj>
    </w:sdtPr>
    <w:sdtEndPr/>
    <w:sdtContent>
      <w:sdt>
        <w:sdtPr>
          <w:id w:val="-1669238322"/>
          <w:docPartObj>
            <w:docPartGallery w:val="Page Numbers (Top of Page)"/>
            <w:docPartUnique/>
          </w:docPartObj>
        </w:sdtPr>
        <w:sdtEndPr/>
        <w:sdtContent>
          <w:p w:rsidR="007208BB" w:rsidRPr="00C22C56" w:rsidRDefault="007208BB">
            <w:pPr>
              <w:pStyle w:val="Footer"/>
              <w:jc w:val="center"/>
            </w:pPr>
            <w:r w:rsidRPr="00C22C56">
              <w:t xml:space="preserve">Page </w:t>
            </w:r>
            <w:r w:rsidRPr="00C22C56">
              <w:rPr>
                <w:bCs/>
                <w:sz w:val="24"/>
                <w:szCs w:val="24"/>
              </w:rPr>
              <w:fldChar w:fldCharType="begin"/>
            </w:r>
            <w:r w:rsidRPr="00C22C56">
              <w:rPr>
                <w:bCs/>
              </w:rPr>
              <w:instrText xml:space="preserve"> PAGE </w:instrText>
            </w:r>
            <w:r w:rsidRPr="00C22C56">
              <w:rPr>
                <w:bCs/>
                <w:sz w:val="24"/>
                <w:szCs w:val="24"/>
              </w:rPr>
              <w:fldChar w:fldCharType="separate"/>
            </w:r>
            <w:r w:rsidR="000E3714">
              <w:rPr>
                <w:bCs/>
                <w:noProof/>
              </w:rPr>
              <w:t>29</w:t>
            </w:r>
            <w:r w:rsidRPr="00C22C56">
              <w:rPr>
                <w:bCs/>
                <w:sz w:val="24"/>
                <w:szCs w:val="24"/>
              </w:rPr>
              <w:fldChar w:fldCharType="end"/>
            </w:r>
            <w:r w:rsidRPr="00C22C56">
              <w:t xml:space="preserve"> of </w:t>
            </w:r>
            <w:r w:rsidRPr="00C22C56">
              <w:rPr>
                <w:bCs/>
                <w:sz w:val="24"/>
                <w:szCs w:val="24"/>
              </w:rPr>
              <w:fldChar w:fldCharType="begin"/>
            </w:r>
            <w:r w:rsidRPr="00C22C56">
              <w:rPr>
                <w:bCs/>
              </w:rPr>
              <w:instrText xml:space="preserve"> NUMPAGES  </w:instrText>
            </w:r>
            <w:r w:rsidRPr="00C22C56">
              <w:rPr>
                <w:bCs/>
                <w:sz w:val="24"/>
                <w:szCs w:val="24"/>
              </w:rPr>
              <w:fldChar w:fldCharType="separate"/>
            </w:r>
            <w:r w:rsidR="000E3714">
              <w:rPr>
                <w:bCs/>
                <w:noProof/>
              </w:rPr>
              <w:t>47</w:t>
            </w:r>
            <w:r w:rsidRPr="00C22C56">
              <w:rPr>
                <w:bCs/>
                <w:sz w:val="24"/>
                <w:szCs w:val="24"/>
              </w:rPr>
              <w:fldChar w:fldCharType="end"/>
            </w:r>
          </w:p>
        </w:sdtContent>
      </w:sdt>
    </w:sdtContent>
  </w:sdt>
  <w:p w:rsidR="007208BB" w:rsidRDefault="00720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6D" w:rsidRDefault="0074686D" w:rsidP="000863ED">
      <w:pPr>
        <w:spacing w:after="0" w:line="240" w:lineRule="auto"/>
      </w:pPr>
      <w:r>
        <w:separator/>
      </w:r>
    </w:p>
  </w:footnote>
  <w:footnote w:type="continuationSeparator" w:id="0">
    <w:p w:rsidR="0074686D" w:rsidRDefault="0074686D" w:rsidP="000863ED">
      <w:pPr>
        <w:spacing w:after="0" w:line="240" w:lineRule="auto"/>
      </w:pPr>
      <w:r>
        <w:continuationSeparator/>
      </w:r>
    </w:p>
  </w:footnote>
  <w:footnote w:id="1">
    <w:p w:rsidR="007208BB" w:rsidRPr="005E5CBB" w:rsidRDefault="007208BB" w:rsidP="00745638">
      <w:pPr>
        <w:pStyle w:val="FootnoteText"/>
        <w:jc w:val="both"/>
        <w:rPr>
          <w:rFonts w:ascii="Times New Roman" w:hAnsi="Times New Roman" w:cs="Times New Roman"/>
        </w:rPr>
      </w:pPr>
      <w:r w:rsidRPr="005E5CBB">
        <w:rPr>
          <w:rStyle w:val="FootnoteReference"/>
          <w:rFonts w:ascii="Times New Roman" w:hAnsi="Times New Roman" w:cs="Times New Roman"/>
        </w:rPr>
        <w:footnoteRef/>
      </w:r>
      <w:r w:rsidRPr="005E5CBB">
        <w:rPr>
          <w:rFonts w:ascii="Times New Roman" w:hAnsi="Times New Roman" w:cs="Times New Roman"/>
        </w:rPr>
        <w:t xml:space="preserve"> The lump-sum option is used by roughly 69% of our sample firms. This option offers executives the ability to cash out the actuarial value of their pension entitlement upon retirement rather than in annual installments. Managers who have this option may be less concerned with long-range firm viability, as they can ‘cash out’ at retirement. While not reported here, we test how the presence of lump sum payment affects dividend payments. Managers offer mildly lower dividend yields when the lump sum payment is unavailable.</w:t>
      </w:r>
    </w:p>
  </w:footnote>
  <w:footnote w:id="2">
    <w:p w:rsidR="007208BB" w:rsidRPr="005E5CBB" w:rsidRDefault="007208BB" w:rsidP="005A3181">
      <w:pPr>
        <w:pStyle w:val="FootnoteText"/>
        <w:rPr>
          <w:rFonts w:ascii="Times New Roman" w:hAnsi="Times New Roman" w:cs="Times New Roman"/>
        </w:rPr>
      </w:pPr>
      <w:r w:rsidRPr="005E5CBB">
        <w:rPr>
          <w:rStyle w:val="FootnoteReference"/>
          <w:rFonts w:ascii="Times New Roman" w:hAnsi="Times New Roman" w:cs="Times New Roman"/>
        </w:rPr>
        <w:footnoteRef/>
      </w:r>
      <w:r w:rsidRPr="005E5CBB">
        <w:rPr>
          <w:rFonts w:ascii="Times New Roman" w:hAnsi="Times New Roman" w:cs="Times New Roman"/>
        </w:rPr>
        <w:t xml:space="preserve"> Information is taken directly from the FRB archive of historical interest rate data, available at </w:t>
      </w:r>
      <w:hyperlink r:id="rId1" w:history="1">
        <w:r w:rsidRPr="005E5CBB">
          <w:rPr>
            <w:rStyle w:val="Hyperlink"/>
            <w:rFonts w:ascii="Times New Roman" w:hAnsi="Times New Roman" w:cs="Times New Roman"/>
          </w:rPr>
          <w:t>http://www.federalreserve.gov/releases/h15/data.htm</w:t>
        </w:r>
      </w:hyperlink>
    </w:p>
    <w:p w:rsidR="007208BB" w:rsidRPr="005E5CBB" w:rsidRDefault="007208BB" w:rsidP="005A3181">
      <w:pPr>
        <w:pStyle w:val="FootnoteText"/>
        <w:rPr>
          <w:rFonts w:ascii="Times New Roman" w:hAnsi="Times New Roman" w:cs="Times New Roman"/>
        </w:rPr>
      </w:pPr>
    </w:p>
  </w:footnote>
  <w:footnote w:id="3">
    <w:p w:rsidR="007208BB" w:rsidRPr="005E5CBB" w:rsidRDefault="007208BB" w:rsidP="000040AD">
      <w:pPr>
        <w:pStyle w:val="FootnoteText"/>
        <w:jc w:val="both"/>
        <w:rPr>
          <w:rFonts w:ascii="Times New Roman" w:hAnsi="Times New Roman" w:cs="Times New Roman"/>
        </w:rPr>
      </w:pPr>
      <w:r w:rsidRPr="005E5CBB">
        <w:rPr>
          <w:rStyle w:val="FootnoteReference"/>
          <w:rFonts w:ascii="Times New Roman" w:hAnsi="Times New Roman" w:cs="Times New Roman"/>
        </w:rPr>
        <w:footnoteRef/>
      </w:r>
      <w:r w:rsidR="005E5CBB">
        <w:rPr>
          <w:rFonts w:ascii="Times New Roman" w:hAnsi="Times New Roman" w:cs="Times New Roman"/>
        </w:rPr>
        <w:t xml:space="preserve"> </w:t>
      </w:r>
      <w:r w:rsidRPr="005E5CBB">
        <w:rPr>
          <w:rFonts w:ascii="Times New Roman" w:hAnsi="Times New Roman" w:cs="Times New Roman"/>
        </w:rPr>
        <w:t>Some firms will deduct anticipated social security benefits from the annual pension award; since these are far smaller than the annual benefits entitled to most executives, no deduction is made here.</w:t>
      </w:r>
    </w:p>
  </w:footnote>
  <w:footnote w:id="4">
    <w:p w:rsidR="005E5CBB" w:rsidRPr="005E5CBB" w:rsidRDefault="005E5CBB" w:rsidP="005E5CBB">
      <w:pPr>
        <w:pStyle w:val="FootnoteText"/>
        <w:jc w:val="both"/>
        <w:rPr>
          <w:rFonts w:ascii="Times New Roman" w:hAnsi="Times New Roman" w:cs="Times New Roman"/>
        </w:rPr>
      </w:pPr>
      <w:r w:rsidRPr="005E5CBB">
        <w:rPr>
          <w:rStyle w:val="FootnoteReference"/>
          <w:rFonts w:ascii="Times New Roman" w:hAnsi="Times New Roman" w:cs="Times New Roman"/>
        </w:rPr>
        <w:footnoteRef/>
      </w:r>
      <w:r w:rsidRPr="005E5CBB">
        <w:rPr>
          <w:rFonts w:ascii="Times New Roman" w:hAnsi="Times New Roman" w:cs="Times New Roman"/>
        </w:rPr>
        <w:t xml:space="preserve"> </w:t>
      </w:r>
      <w:r w:rsidR="00B65183">
        <w:rPr>
          <w:rFonts w:ascii="Times New Roman" w:hAnsi="Times New Roman" w:cs="Times New Roman"/>
        </w:rPr>
        <w:t>The p</w:t>
      </w:r>
      <w:r w:rsidRPr="005E5CBB">
        <w:rPr>
          <w:rFonts w:ascii="Times New Roman" w:hAnsi="Times New Roman" w:cs="Times New Roman"/>
        </w:rPr>
        <w:t xml:space="preserve">seudo R-square for </w:t>
      </w:r>
      <w:proofErr w:type="spellStart"/>
      <w:r w:rsidRPr="005E5CBB">
        <w:rPr>
          <w:rFonts w:ascii="Times New Roman" w:hAnsi="Times New Roman" w:cs="Times New Roman"/>
        </w:rPr>
        <w:t>Tobit</w:t>
      </w:r>
      <w:proofErr w:type="spellEnd"/>
      <w:r w:rsidRPr="005E5CBB">
        <w:rPr>
          <w:rFonts w:ascii="Times New Roman" w:hAnsi="Times New Roman" w:cs="Times New Roman"/>
        </w:rPr>
        <w:t xml:space="preserve"> regression</w:t>
      </w:r>
      <w:r w:rsidR="000E3714">
        <w:rPr>
          <w:rFonts w:ascii="Times New Roman" w:hAnsi="Times New Roman" w:cs="Times New Roman"/>
        </w:rPr>
        <w:t>s</w:t>
      </w:r>
      <w:bookmarkStart w:id="0" w:name="_GoBack"/>
      <w:bookmarkEnd w:id="0"/>
      <w:r w:rsidRPr="005E5CBB">
        <w:rPr>
          <w:rFonts w:ascii="Times New Roman" w:hAnsi="Times New Roman" w:cs="Times New Roman"/>
        </w:rPr>
        <w:t xml:space="preserve"> is not very informative and is thus not reported.    </w:t>
      </w:r>
    </w:p>
  </w:footnote>
  <w:footnote w:id="5">
    <w:p w:rsidR="007208BB" w:rsidRPr="005E5CBB" w:rsidRDefault="007208BB" w:rsidP="00606651">
      <w:pPr>
        <w:pStyle w:val="FootnoteText"/>
        <w:jc w:val="both"/>
        <w:rPr>
          <w:rFonts w:ascii="Times New Roman" w:hAnsi="Times New Roman" w:cs="Times New Roman"/>
        </w:rPr>
      </w:pPr>
      <w:r w:rsidRPr="005E5CBB">
        <w:rPr>
          <w:rStyle w:val="FootnoteReference"/>
          <w:rFonts w:ascii="Times New Roman" w:hAnsi="Times New Roman" w:cs="Times New Roman"/>
        </w:rPr>
        <w:footnoteRef/>
      </w:r>
      <w:r w:rsidRPr="005E5CBB">
        <w:rPr>
          <w:rFonts w:ascii="Times New Roman" w:hAnsi="Times New Roman" w:cs="Times New Roman"/>
        </w:rPr>
        <w:t xml:space="preserve"> The odds of Lee Raymond surviving even to age 111 are so minimal, that no additional present value is added beyond this age. Thus, the age 120 truncation is appropriate based on current longevity estimates.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35CA"/>
    <w:multiLevelType w:val="hybridMultilevel"/>
    <w:tmpl w:val="B804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24A69"/>
    <w:multiLevelType w:val="hybridMultilevel"/>
    <w:tmpl w:val="CBD8C102"/>
    <w:lvl w:ilvl="0" w:tplc="09AA1A6C">
      <w:start w:val="1"/>
      <w:numFmt w:val="bullet"/>
      <w:lvlText w:val="–"/>
      <w:lvlJc w:val="left"/>
      <w:pPr>
        <w:tabs>
          <w:tab w:val="num" w:pos="720"/>
        </w:tabs>
        <w:ind w:left="720" w:hanging="360"/>
      </w:pPr>
      <w:rPr>
        <w:rFonts w:ascii="Arial" w:hAnsi="Arial" w:hint="default"/>
      </w:rPr>
    </w:lvl>
    <w:lvl w:ilvl="1" w:tplc="F0FA3904">
      <w:start w:val="1"/>
      <w:numFmt w:val="bullet"/>
      <w:lvlText w:val="–"/>
      <w:lvlJc w:val="left"/>
      <w:pPr>
        <w:tabs>
          <w:tab w:val="num" w:pos="1440"/>
        </w:tabs>
        <w:ind w:left="1440" w:hanging="360"/>
      </w:pPr>
      <w:rPr>
        <w:rFonts w:ascii="Arial" w:hAnsi="Arial" w:hint="default"/>
      </w:rPr>
    </w:lvl>
    <w:lvl w:ilvl="2" w:tplc="E092C4A6" w:tentative="1">
      <w:start w:val="1"/>
      <w:numFmt w:val="bullet"/>
      <w:lvlText w:val="–"/>
      <w:lvlJc w:val="left"/>
      <w:pPr>
        <w:tabs>
          <w:tab w:val="num" w:pos="2160"/>
        </w:tabs>
        <w:ind w:left="2160" w:hanging="360"/>
      </w:pPr>
      <w:rPr>
        <w:rFonts w:ascii="Arial" w:hAnsi="Arial" w:hint="default"/>
      </w:rPr>
    </w:lvl>
    <w:lvl w:ilvl="3" w:tplc="9E849D4C" w:tentative="1">
      <w:start w:val="1"/>
      <w:numFmt w:val="bullet"/>
      <w:lvlText w:val="–"/>
      <w:lvlJc w:val="left"/>
      <w:pPr>
        <w:tabs>
          <w:tab w:val="num" w:pos="2880"/>
        </w:tabs>
        <w:ind w:left="2880" w:hanging="360"/>
      </w:pPr>
      <w:rPr>
        <w:rFonts w:ascii="Arial" w:hAnsi="Arial" w:hint="default"/>
      </w:rPr>
    </w:lvl>
    <w:lvl w:ilvl="4" w:tplc="F026A7FC" w:tentative="1">
      <w:start w:val="1"/>
      <w:numFmt w:val="bullet"/>
      <w:lvlText w:val="–"/>
      <w:lvlJc w:val="left"/>
      <w:pPr>
        <w:tabs>
          <w:tab w:val="num" w:pos="3600"/>
        </w:tabs>
        <w:ind w:left="3600" w:hanging="360"/>
      </w:pPr>
      <w:rPr>
        <w:rFonts w:ascii="Arial" w:hAnsi="Arial" w:hint="default"/>
      </w:rPr>
    </w:lvl>
    <w:lvl w:ilvl="5" w:tplc="E27C5B60" w:tentative="1">
      <w:start w:val="1"/>
      <w:numFmt w:val="bullet"/>
      <w:lvlText w:val="–"/>
      <w:lvlJc w:val="left"/>
      <w:pPr>
        <w:tabs>
          <w:tab w:val="num" w:pos="4320"/>
        </w:tabs>
        <w:ind w:left="4320" w:hanging="360"/>
      </w:pPr>
      <w:rPr>
        <w:rFonts w:ascii="Arial" w:hAnsi="Arial" w:hint="default"/>
      </w:rPr>
    </w:lvl>
    <w:lvl w:ilvl="6" w:tplc="F0E05FDE" w:tentative="1">
      <w:start w:val="1"/>
      <w:numFmt w:val="bullet"/>
      <w:lvlText w:val="–"/>
      <w:lvlJc w:val="left"/>
      <w:pPr>
        <w:tabs>
          <w:tab w:val="num" w:pos="5040"/>
        </w:tabs>
        <w:ind w:left="5040" w:hanging="360"/>
      </w:pPr>
      <w:rPr>
        <w:rFonts w:ascii="Arial" w:hAnsi="Arial" w:hint="default"/>
      </w:rPr>
    </w:lvl>
    <w:lvl w:ilvl="7" w:tplc="4AA2992A" w:tentative="1">
      <w:start w:val="1"/>
      <w:numFmt w:val="bullet"/>
      <w:lvlText w:val="–"/>
      <w:lvlJc w:val="left"/>
      <w:pPr>
        <w:tabs>
          <w:tab w:val="num" w:pos="5760"/>
        </w:tabs>
        <w:ind w:left="5760" w:hanging="360"/>
      </w:pPr>
      <w:rPr>
        <w:rFonts w:ascii="Arial" w:hAnsi="Arial" w:hint="default"/>
      </w:rPr>
    </w:lvl>
    <w:lvl w:ilvl="8" w:tplc="8BFE0E4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D4"/>
    <w:rsid w:val="000034CA"/>
    <w:rsid w:val="000040AD"/>
    <w:rsid w:val="00004950"/>
    <w:rsid w:val="00006793"/>
    <w:rsid w:val="000073F6"/>
    <w:rsid w:val="00010B74"/>
    <w:rsid w:val="000113B9"/>
    <w:rsid w:val="000114B8"/>
    <w:rsid w:val="00011B40"/>
    <w:rsid w:val="00011BFF"/>
    <w:rsid w:val="00012608"/>
    <w:rsid w:val="00014E1E"/>
    <w:rsid w:val="00017CCA"/>
    <w:rsid w:val="00017DF5"/>
    <w:rsid w:val="000206D0"/>
    <w:rsid w:val="000235B2"/>
    <w:rsid w:val="0002377D"/>
    <w:rsid w:val="00023FFD"/>
    <w:rsid w:val="000243B5"/>
    <w:rsid w:val="0002549B"/>
    <w:rsid w:val="00026E94"/>
    <w:rsid w:val="000274FE"/>
    <w:rsid w:val="0003020F"/>
    <w:rsid w:val="00034B57"/>
    <w:rsid w:val="0003689B"/>
    <w:rsid w:val="00036936"/>
    <w:rsid w:val="00040279"/>
    <w:rsid w:val="00040760"/>
    <w:rsid w:val="00040817"/>
    <w:rsid w:val="00041248"/>
    <w:rsid w:val="0004218D"/>
    <w:rsid w:val="000423E6"/>
    <w:rsid w:val="00042400"/>
    <w:rsid w:val="00042A22"/>
    <w:rsid w:val="00042A35"/>
    <w:rsid w:val="00042F77"/>
    <w:rsid w:val="00045CAE"/>
    <w:rsid w:val="00045D5B"/>
    <w:rsid w:val="000478C2"/>
    <w:rsid w:val="00051397"/>
    <w:rsid w:val="000515BC"/>
    <w:rsid w:val="00052A9C"/>
    <w:rsid w:val="0005305F"/>
    <w:rsid w:val="00055328"/>
    <w:rsid w:val="00061930"/>
    <w:rsid w:val="000619E5"/>
    <w:rsid w:val="00061C65"/>
    <w:rsid w:val="00062ED2"/>
    <w:rsid w:val="00063438"/>
    <w:rsid w:val="00063976"/>
    <w:rsid w:val="000640F9"/>
    <w:rsid w:val="000646D4"/>
    <w:rsid w:val="00064A74"/>
    <w:rsid w:val="00065AAE"/>
    <w:rsid w:val="00067E5F"/>
    <w:rsid w:val="000720F3"/>
    <w:rsid w:val="00077516"/>
    <w:rsid w:val="0008269E"/>
    <w:rsid w:val="000863ED"/>
    <w:rsid w:val="00087DFA"/>
    <w:rsid w:val="000901A4"/>
    <w:rsid w:val="00091F9F"/>
    <w:rsid w:val="000937A7"/>
    <w:rsid w:val="000942AB"/>
    <w:rsid w:val="0009453B"/>
    <w:rsid w:val="000948B0"/>
    <w:rsid w:val="00094B69"/>
    <w:rsid w:val="00095810"/>
    <w:rsid w:val="00097A5E"/>
    <w:rsid w:val="000A3474"/>
    <w:rsid w:val="000A50BC"/>
    <w:rsid w:val="000A5A38"/>
    <w:rsid w:val="000A62B5"/>
    <w:rsid w:val="000A63DD"/>
    <w:rsid w:val="000A6F15"/>
    <w:rsid w:val="000B1997"/>
    <w:rsid w:val="000B1C98"/>
    <w:rsid w:val="000B2AD4"/>
    <w:rsid w:val="000B5188"/>
    <w:rsid w:val="000B6DED"/>
    <w:rsid w:val="000C027B"/>
    <w:rsid w:val="000C2020"/>
    <w:rsid w:val="000C2849"/>
    <w:rsid w:val="000C30FD"/>
    <w:rsid w:val="000C32A1"/>
    <w:rsid w:val="000C5A1D"/>
    <w:rsid w:val="000C5B76"/>
    <w:rsid w:val="000C5F4E"/>
    <w:rsid w:val="000D17C2"/>
    <w:rsid w:val="000D2B49"/>
    <w:rsid w:val="000D3581"/>
    <w:rsid w:val="000D3AC4"/>
    <w:rsid w:val="000D730A"/>
    <w:rsid w:val="000D7372"/>
    <w:rsid w:val="000E00BD"/>
    <w:rsid w:val="000E268F"/>
    <w:rsid w:val="000E3714"/>
    <w:rsid w:val="000E52C4"/>
    <w:rsid w:val="000E5380"/>
    <w:rsid w:val="000E5755"/>
    <w:rsid w:val="000E67C5"/>
    <w:rsid w:val="000F1319"/>
    <w:rsid w:val="000F1B1C"/>
    <w:rsid w:val="000F21BA"/>
    <w:rsid w:val="000F31C7"/>
    <w:rsid w:val="000F3BE4"/>
    <w:rsid w:val="000F3F7D"/>
    <w:rsid w:val="000F713E"/>
    <w:rsid w:val="000F795B"/>
    <w:rsid w:val="000F7983"/>
    <w:rsid w:val="00101586"/>
    <w:rsid w:val="00102305"/>
    <w:rsid w:val="00103949"/>
    <w:rsid w:val="001039C2"/>
    <w:rsid w:val="00104758"/>
    <w:rsid w:val="00105911"/>
    <w:rsid w:val="001079D6"/>
    <w:rsid w:val="00112F27"/>
    <w:rsid w:val="0011392D"/>
    <w:rsid w:val="00114204"/>
    <w:rsid w:val="00114374"/>
    <w:rsid w:val="00121FEB"/>
    <w:rsid w:val="00122E95"/>
    <w:rsid w:val="00124CEB"/>
    <w:rsid w:val="00126E6B"/>
    <w:rsid w:val="0013116F"/>
    <w:rsid w:val="00132D89"/>
    <w:rsid w:val="00133E0A"/>
    <w:rsid w:val="0014219F"/>
    <w:rsid w:val="001424AB"/>
    <w:rsid w:val="0014460A"/>
    <w:rsid w:val="001463B7"/>
    <w:rsid w:val="001465B2"/>
    <w:rsid w:val="001477E8"/>
    <w:rsid w:val="00151EF3"/>
    <w:rsid w:val="0015349B"/>
    <w:rsid w:val="00153714"/>
    <w:rsid w:val="00153A4B"/>
    <w:rsid w:val="00153AB4"/>
    <w:rsid w:val="001546EE"/>
    <w:rsid w:val="00154F53"/>
    <w:rsid w:val="001553D4"/>
    <w:rsid w:val="001568E8"/>
    <w:rsid w:val="001602FD"/>
    <w:rsid w:val="00160610"/>
    <w:rsid w:val="001622E8"/>
    <w:rsid w:val="00162734"/>
    <w:rsid w:val="00162F0C"/>
    <w:rsid w:val="00163E0E"/>
    <w:rsid w:val="00165B3F"/>
    <w:rsid w:val="001665E3"/>
    <w:rsid w:val="00166C3B"/>
    <w:rsid w:val="001670AD"/>
    <w:rsid w:val="001671E6"/>
    <w:rsid w:val="00171F20"/>
    <w:rsid w:val="00173331"/>
    <w:rsid w:val="00175925"/>
    <w:rsid w:val="001769BD"/>
    <w:rsid w:val="00176E35"/>
    <w:rsid w:val="00182166"/>
    <w:rsid w:val="0018327A"/>
    <w:rsid w:val="00183902"/>
    <w:rsid w:val="001839B8"/>
    <w:rsid w:val="00186056"/>
    <w:rsid w:val="00186404"/>
    <w:rsid w:val="00186FF3"/>
    <w:rsid w:val="0018707B"/>
    <w:rsid w:val="001906D1"/>
    <w:rsid w:val="00191B68"/>
    <w:rsid w:val="001932C4"/>
    <w:rsid w:val="00194353"/>
    <w:rsid w:val="00194FD2"/>
    <w:rsid w:val="00195C90"/>
    <w:rsid w:val="00197340"/>
    <w:rsid w:val="0019735A"/>
    <w:rsid w:val="001973D3"/>
    <w:rsid w:val="001974A7"/>
    <w:rsid w:val="00197E0E"/>
    <w:rsid w:val="001A064D"/>
    <w:rsid w:val="001A0FBD"/>
    <w:rsid w:val="001A1033"/>
    <w:rsid w:val="001A24E5"/>
    <w:rsid w:val="001A2994"/>
    <w:rsid w:val="001A2998"/>
    <w:rsid w:val="001A2C1A"/>
    <w:rsid w:val="001A2D70"/>
    <w:rsid w:val="001A303C"/>
    <w:rsid w:val="001A3552"/>
    <w:rsid w:val="001A4C15"/>
    <w:rsid w:val="001A6E3F"/>
    <w:rsid w:val="001A7C27"/>
    <w:rsid w:val="001B012B"/>
    <w:rsid w:val="001B0699"/>
    <w:rsid w:val="001B08FC"/>
    <w:rsid w:val="001B20B0"/>
    <w:rsid w:val="001B3169"/>
    <w:rsid w:val="001B43A1"/>
    <w:rsid w:val="001B52CF"/>
    <w:rsid w:val="001C267B"/>
    <w:rsid w:val="001C48B0"/>
    <w:rsid w:val="001C4A0A"/>
    <w:rsid w:val="001C7E17"/>
    <w:rsid w:val="001D0A51"/>
    <w:rsid w:val="001D59A3"/>
    <w:rsid w:val="001E20AE"/>
    <w:rsid w:val="001E25E4"/>
    <w:rsid w:val="001E4044"/>
    <w:rsid w:val="001E4BCC"/>
    <w:rsid w:val="001E4D82"/>
    <w:rsid w:val="001E7CFA"/>
    <w:rsid w:val="001F02EA"/>
    <w:rsid w:val="001F1F2F"/>
    <w:rsid w:val="001F2E8E"/>
    <w:rsid w:val="001F4448"/>
    <w:rsid w:val="001F47C0"/>
    <w:rsid w:val="001F5956"/>
    <w:rsid w:val="00201442"/>
    <w:rsid w:val="00201D79"/>
    <w:rsid w:val="002028C0"/>
    <w:rsid w:val="002038DB"/>
    <w:rsid w:val="00203A1C"/>
    <w:rsid w:val="00203DEF"/>
    <w:rsid w:val="00206793"/>
    <w:rsid w:val="0021188D"/>
    <w:rsid w:val="00213924"/>
    <w:rsid w:val="00213B9E"/>
    <w:rsid w:val="00214136"/>
    <w:rsid w:val="00215AB6"/>
    <w:rsid w:val="002162EB"/>
    <w:rsid w:val="0022057F"/>
    <w:rsid w:val="00220A01"/>
    <w:rsid w:val="00220F32"/>
    <w:rsid w:val="002224B3"/>
    <w:rsid w:val="00222BBE"/>
    <w:rsid w:val="00224932"/>
    <w:rsid w:val="00224A6C"/>
    <w:rsid w:val="00225AF9"/>
    <w:rsid w:val="00225C0C"/>
    <w:rsid w:val="00226127"/>
    <w:rsid w:val="002276A6"/>
    <w:rsid w:val="002276C2"/>
    <w:rsid w:val="00227EF8"/>
    <w:rsid w:val="0023178B"/>
    <w:rsid w:val="00232EE6"/>
    <w:rsid w:val="002352CA"/>
    <w:rsid w:val="002356A4"/>
    <w:rsid w:val="00236167"/>
    <w:rsid w:val="002369E8"/>
    <w:rsid w:val="002403B7"/>
    <w:rsid w:val="0024284F"/>
    <w:rsid w:val="0024619D"/>
    <w:rsid w:val="0024679E"/>
    <w:rsid w:val="00250556"/>
    <w:rsid w:val="00250EF4"/>
    <w:rsid w:val="00251C7E"/>
    <w:rsid w:val="0025213C"/>
    <w:rsid w:val="00252DDC"/>
    <w:rsid w:val="00253FEC"/>
    <w:rsid w:val="002601F4"/>
    <w:rsid w:val="00260DDE"/>
    <w:rsid w:val="002626DC"/>
    <w:rsid w:val="002633BB"/>
    <w:rsid w:val="0026597E"/>
    <w:rsid w:val="00265C0B"/>
    <w:rsid w:val="00265E97"/>
    <w:rsid w:val="0026653A"/>
    <w:rsid w:val="00267988"/>
    <w:rsid w:val="00270521"/>
    <w:rsid w:val="00271461"/>
    <w:rsid w:val="00272F46"/>
    <w:rsid w:val="00273CC7"/>
    <w:rsid w:val="00280193"/>
    <w:rsid w:val="002830FE"/>
    <w:rsid w:val="0028310C"/>
    <w:rsid w:val="002855E3"/>
    <w:rsid w:val="00290375"/>
    <w:rsid w:val="00292159"/>
    <w:rsid w:val="0029280C"/>
    <w:rsid w:val="00293722"/>
    <w:rsid w:val="002942D3"/>
    <w:rsid w:val="0029593D"/>
    <w:rsid w:val="00297176"/>
    <w:rsid w:val="002A0DBE"/>
    <w:rsid w:val="002A14D7"/>
    <w:rsid w:val="002A3414"/>
    <w:rsid w:val="002A3E80"/>
    <w:rsid w:val="002A4584"/>
    <w:rsid w:val="002A5840"/>
    <w:rsid w:val="002A739D"/>
    <w:rsid w:val="002A761F"/>
    <w:rsid w:val="002B0BC2"/>
    <w:rsid w:val="002B1275"/>
    <w:rsid w:val="002B162D"/>
    <w:rsid w:val="002B2612"/>
    <w:rsid w:val="002B4C80"/>
    <w:rsid w:val="002C00F3"/>
    <w:rsid w:val="002C057D"/>
    <w:rsid w:val="002C0B70"/>
    <w:rsid w:val="002C0D7E"/>
    <w:rsid w:val="002C1E14"/>
    <w:rsid w:val="002C22E6"/>
    <w:rsid w:val="002C75E0"/>
    <w:rsid w:val="002D02A1"/>
    <w:rsid w:val="002D088D"/>
    <w:rsid w:val="002D1F21"/>
    <w:rsid w:val="002D21CC"/>
    <w:rsid w:val="002D229F"/>
    <w:rsid w:val="002D2D97"/>
    <w:rsid w:val="002D31FD"/>
    <w:rsid w:val="002D375C"/>
    <w:rsid w:val="002D4E00"/>
    <w:rsid w:val="002D669C"/>
    <w:rsid w:val="002E0F36"/>
    <w:rsid w:val="002E1454"/>
    <w:rsid w:val="002E2298"/>
    <w:rsid w:val="002E420D"/>
    <w:rsid w:val="002E4D9F"/>
    <w:rsid w:val="002E4F41"/>
    <w:rsid w:val="002E5461"/>
    <w:rsid w:val="002E7046"/>
    <w:rsid w:val="002F46FB"/>
    <w:rsid w:val="002F4744"/>
    <w:rsid w:val="002F4D07"/>
    <w:rsid w:val="002F56DD"/>
    <w:rsid w:val="002F780A"/>
    <w:rsid w:val="00300A11"/>
    <w:rsid w:val="00301A5B"/>
    <w:rsid w:val="00302868"/>
    <w:rsid w:val="003029D8"/>
    <w:rsid w:val="00304AD1"/>
    <w:rsid w:val="00307300"/>
    <w:rsid w:val="00307E11"/>
    <w:rsid w:val="0031033E"/>
    <w:rsid w:val="003139A7"/>
    <w:rsid w:val="00313C36"/>
    <w:rsid w:val="00314091"/>
    <w:rsid w:val="00315746"/>
    <w:rsid w:val="003165B9"/>
    <w:rsid w:val="003202C4"/>
    <w:rsid w:val="00320D68"/>
    <w:rsid w:val="0032234E"/>
    <w:rsid w:val="00322C89"/>
    <w:rsid w:val="00323C83"/>
    <w:rsid w:val="00324BD7"/>
    <w:rsid w:val="00324C3A"/>
    <w:rsid w:val="00326B8A"/>
    <w:rsid w:val="003305F5"/>
    <w:rsid w:val="00330D13"/>
    <w:rsid w:val="003316FE"/>
    <w:rsid w:val="00331EA6"/>
    <w:rsid w:val="00332E62"/>
    <w:rsid w:val="00333A8E"/>
    <w:rsid w:val="00336C24"/>
    <w:rsid w:val="0033761F"/>
    <w:rsid w:val="00342111"/>
    <w:rsid w:val="00344F7F"/>
    <w:rsid w:val="00347181"/>
    <w:rsid w:val="003509DD"/>
    <w:rsid w:val="00350F64"/>
    <w:rsid w:val="003519B4"/>
    <w:rsid w:val="00351EAF"/>
    <w:rsid w:val="00353693"/>
    <w:rsid w:val="00353C58"/>
    <w:rsid w:val="00357174"/>
    <w:rsid w:val="00361220"/>
    <w:rsid w:val="0036151C"/>
    <w:rsid w:val="00361642"/>
    <w:rsid w:val="00361783"/>
    <w:rsid w:val="0036198C"/>
    <w:rsid w:val="00363AB4"/>
    <w:rsid w:val="00364B8A"/>
    <w:rsid w:val="00365F77"/>
    <w:rsid w:val="003674FE"/>
    <w:rsid w:val="00370299"/>
    <w:rsid w:val="00371987"/>
    <w:rsid w:val="00371A3A"/>
    <w:rsid w:val="003720F4"/>
    <w:rsid w:val="00372D10"/>
    <w:rsid w:val="00373213"/>
    <w:rsid w:val="00373479"/>
    <w:rsid w:val="003736CF"/>
    <w:rsid w:val="00373F49"/>
    <w:rsid w:val="003741A2"/>
    <w:rsid w:val="003742ED"/>
    <w:rsid w:val="003748B2"/>
    <w:rsid w:val="00375452"/>
    <w:rsid w:val="003760E9"/>
    <w:rsid w:val="0037707C"/>
    <w:rsid w:val="003808C2"/>
    <w:rsid w:val="00380AEE"/>
    <w:rsid w:val="00381D10"/>
    <w:rsid w:val="003830B4"/>
    <w:rsid w:val="003835FA"/>
    <w:rsid w:val="003838F8"/>
    <w:rsid w:val="00383CAD"/>
    <w:rsid w:val="00383E00"/>
    <w:rsid w:val="00384132"/>
    <w:rsid w:val="003903FC"/>
    <w:rsid w:val="00391ACC"/>
    <w:rsid w:val="0039220B"/>
    <w:rsid w:val="00393E98"/>
    <w:rsid w:val="00395F04"/>
    <w:rsid w:val="0039723D"/>
    <w:rsid w:val="003974B4"/>
    <w:rsid w:val="00397639"/>
    <w:rsid w:val="003A1329"/>
    <w:rsid w:val="003A1547"/>
    <w:rsid w:val="003A1BCF"/>
    <w:rsid w:val="003A3F9E"/>
    <w:rsid w:val="003A4427"/>
    <w:rsid w:val="003A5DDF"/>
    <w:rsid w:val="003A6568"/>
    <w:rsid w:val="003A7158"/>
    <w:rsid w:val="003B09DF"/>
    <w:rsid w:val="003B1C39"/>
    <w:rsid w:val="003B2EB3"/>
    <w:rsid w:val="003B2F90"/>
    <w:rsid w:val="003B51E9"/>
    <w:rsid w:val="003B66CA"/>
    <w:rsid w:val="003B6759"/>
    <w:rsid w:val="003C1CC7"/>
    <w:rsid w:val="003C49C6"/>
    <w:rsid w:val="003C5D82"/>
    <w:rsid w:val="003C6507"/>
    <w:rsid w:val="003C66B8"/>
    <w:rsid w:val="003C6F89"/>
    <w:rsid w:val="003C73B8"/>
    <w:rsid w:val="003C7AA4"/>
    <w:rsid w:val="003D166F"/>
    <w:rsid w:val="003D4143"/>
    <w:rsid w:val="003D4ADE"/>
    <w:rsid w:val="003D575F"/>
    <w:rsid w:val="003D61B7"/>
    <w:rsid w:val="003D7796"/>
    <w:rsid w:val="003E112F"/>
    <w:rsid w:val="003E1193"/>
    <w:rsid w:val="003E20A4"/>
    <w:rsid w:val="003E4907"/>
    <w:rsid w:val="003E49A0"/>
    <w:rsid w:val="003E5C25"/>
    <w:rsid w:val="003E7986"/>
    <w:rsid w:val="003F3814"/>
    <w:rsid w:val="003F7085"/>
    <w:rsid w:val="0040175C"/>
    <w:rsid w:val="00402C8D"/>
    <w:rsid w:val="00405C76"/>
    <w:rsid w:val="004070B1"/>
    <w:rsid w:val="00410D60"/>
    <w:rsid w:val="004111A2"/>
    <w:rsid w:val="004144A7"/>
    <w:rsid w:val="00414913"/>
    <w:rsid w:val="00414CE4"/>
    <w:rsid w:val="00415720"/>
    <w:rsid w:val="004157A7"/>
    <w:rsid w:val="004162C8"/>
    <w:rsid w:val="00422590"/>
    <w:rsid w:val="00427C3C"/>
    <w:rsid w:val="00431109"/>
    <w:rsid w:val="004313DF"/>
    <w:rsid w:val="00431D7A"/>
    <w:rsid w:val="0043262C"/>
    <w:rsid w:val="00432DEF"/>
    <w:rsid w:val="00433DC9"/>
    <w:rsid w:val="0043455D"/>
    <w:rsid w:val="00435C54"/>
    <w:rsid w:val="00437756"/>
    <w:rsid w:val="00437C0A"/>
    <w:rsid w:val="00441001"/>
    <w:rsid w:val="004459C0"/>
    <w:rsid w:val="00447BE5"/>
    <w:rsid w:val="00450094"/>
    <w:rsid w:val="00450B86"/>
    <w:rsid w:val="00450B89"/>
    <w:rsid w:val="00454BDA"/>
    <w:rsid w:val="00455D12"/>
    <w:rsid w:val="00456D25"/>
    <w:rsid w:val="004578E6"/>
    <w:rsid w:val="00463545"/>
    <w:rsid w:val="004648D6"/>
    <w:rsid w:val="00464AAE"/>
    <w:rsid w:val="004654E9"/>
    <w:rsid w:val="004656E2"/>
    <w:rsid w:val="0046660D"/>
    <w:rsid w:val="00471780"/>
    <w:rsid w:val="0047219A"/>
    <w:rsid w:val="0047364F"/>
    <w:rsid w:val="00473F71"/>
    <w:rsid w:val="004756AE"/>
    <w:rsid w:val="00476019"/>
    <w:rsid w:val="004762B8"/>
    <w:rsid w:val="0047798D"/>
    <w:rsid w:val="00477C93"/>
    <w:rsid w:val="004802AF"/>
    <w:rsid w:val="00480714"/>
    <w:rsid w:val="0048138E"/>
    <w:rsid w:val="00482839"/>
    <w:rsid w:val="00485776"/>
    <w:rsid w:val="00485873"/>
    <w:rsid w:val="00485A07"/>
    <w:rsid w:val="00485BE3"/>
    <w:rsid w:val="004860F4"/>
    <w:rsid w:val="004867CD"/>
    <w:rsid w:val="00487F7A"/>
    <w:rsid w:val="00487F8B"/>
    <w:rsid w:val="0049038D"/>
    <w:rsid w:val="00493DE9"/>
    <w:rsid w:val="004942E7"/>
    <w:rsid w:val="00496122"/>
    <w:rsid w:val="0049717B"/>
    <w:rsid w:val="004A038A"/>
    <w:rsid w:val="004A40D5"/>
    <w:rsid w:val="004A59CC"/>
    <w:rsid w:val="004B0F2A"/>
    <w:rsid w:val="004B12AE"/>
    <w:rsid w:val="004B15C5"/>
    <w:rsid w:val="004B1A49"/>
    <w:rsid w:val="004B2F86"/>
    <w:rsid w:val="004B3574"/>
    <w:rsid w:val="004B42F3"/>
    <w:rsid w:val="004B5230"/>
    <w:rsid w:val="004B5A77"/>
    <w:rsid w:val="004B6176"/>
    <w:rsid w:val="004B6E67"/>
    <w:rsid w:val="004B75B3"/>
    <w:rsid w:val="004C0ABE"/>
    <w:rsid w:val="004C0ADC"/>
    <w:rsid w:val="004C24B1"/>
    <w:rsid w:val="004C2C1B"/>
    <w:rsid w:val="004C3A34"/>
    <w:rsid w:val="004C4FE6"/>
    <w:rsid w:val="004C56F9"/>
    <w:rsid w:val="004C6B38"/>
    <w:rsid w:val="004C776D"/>
    <w:rsid w:val="004C7AE0"/>
    <w:rsid w:val="004D0AA3"/>
    <w:rsid w:val="004D0F2A"/>
    <w:rsid w:val="004D348E"/>
    <w:rsid w:val="004D434A"/>
    <w:rsid w:val="004D51C1"/>
    <w:rsid w:val="004D60B6"/>
    <w:rsid w:val="004D6889"/>
    <w:rsid w:val="004D78B6"/>
    <w:rsid w:val="004D7BDA"/>
    <w:rsid w:val="004E0433"/>
    <w:rsid w:val="004E09A9"/>
    <w:rsid w:val="004E12E3"/>
    <w:rsid w:val="004E2142"/>
    <w:rsid w:val="004E3D5D"/>
    <w:rsid w:val="004E5195"/>
    <w:rsid w:val="004E5814"/>
    <w:rsid w:val="004E59BE"/>
    <w:rsid w:val="004E62EB"/>
    <w:rsid w:val="004E699A"/>
    <w:rsid w:val="004E78CD"/>
    <w:rsid w:val="004F1968"/>
    <w:rsid w:val="004F2178"/>
    <w:rsid w:val="004F2482"/>
    <w:rsid w:val="004F379C"/>
    <w:rsid w:val="004F3A33"/>
    <w:rsid w:val="004F6304"/>
    <w:rsid w:val="00500D09"/>
    <w:rsid w:val="00503583"/>
    <w:rsid w:val="00503F52"/>
    <w:rsid w:val="005041C6"/>
    <w:rsid w:val="00504993"/>
    <w:rsid w:val="00505009"/>
    <w:rsid w:val="00507D0F"/>
    <w:rsid w:val="00510DF6"/>
    <w:rsid w:val="00510F7C"/>
    <w:rsid w:val="0051200F"/>
    <w:rsid w:val="00514FB5"/>
    <w:rsid w:val="00515831"/>
    <w:rsid w:val="005179B9"/>
    <w:rsid w:val="00520D2A"/>
    <w:rsid w:val="005214D9"/>
    <w:rsid w:val="0052290A"/>
    <w:rsid w:val="005230FA"/>
    <w:rsid w:val="0052521A"/>
    <w:rsid w:val="00525D14"/>
    <w:rsid w:val="00526A08"/>
    <w:rsid w:val="00527E9C"/>
    <w:rsid w:val="0053568D"/>
    <w:rsid w:val="00537CE3"/>
    <w:rsid w:val="005415B1"/>
    <w:rsid w:val="005462A7"/>
    <w:rsid w:val="00546618"/>
    <w:rsid w:val="005471DB"/>
    <w:rsid w:val="00550483"/>
    <w:rsid w:val="005522A9"/>
    <w:rsid w:val="005538D9"/>
    <w:rsid w:val="00553D76"/>
    <w:rsid w:val="00553F21"/>
    <w:rsid w:val="00553FCB"/>
    <w:rsid w:val="00555F99"/>
    <w:rsid w:val="0056133E"/>
    <w:rsid w:val="005614C2"/>
    <w:rsid w:val="00562451"/>
    <w:rsid w:val="00562A4E"/>
    <w:rsid w:val="005636AC"/>
    <w:rsid w:val="00563FA0"/>
    <w:rsid w:val="00565DD5"/>
    <w:rsid w:val="0056741A"/>
    <w:rsid w:val="005702C0"/>
    <w:rsid w:val="00572D9A"/>
    <w:rsid w:val="00574B86"/>
    <w:rsid w:val="00575A5A"/>
    <w:rsid w:val="0057657D"/>
    <w:rsid w:val="00576644"/>
    <w:rsid w:val="00576A39"/>
    <w:rsid w:val="005777D2"/>
    <w:rsid w:val="0058219E"/>
    <w:rsid w:val="005821F9"/>
    <w:rsid w:val="00584F37"/>
    <w:rsid w:val="005863AF"/>
    <w:rsid w:val="005863F0"/>
    <w:rsid w:val="00586C5A"/>
    <w:rsid w:val="005900EC"/>
    <w:rsid w:val="00590561"/>
    <w:rsid w:val="00590F69"/>
    <w:rsid w:val="00591DB5"/>
    <w:rsid w:val="00592FB3"/>
    <w:rsid w:val="00593C91"/>
    <w:rsid w:val="0059592F"/>
    <w:rsid w:val="005A030E"/>
    <w:rsid w:val="005A10D6"/>
    <w:rsid w:val="005A2A47"/>
    <w:rsid w:val="005A3181"/>
    <w:rsid w:val="005A34F1"/>
    <w:rsid w:val="005A4147"/>
    <w:rsid w:val="005A489B"/>
    <w:rsid w:val="005A48EF"/>
    <w:rsid w:val="005A718B"/>
    <w:rsid w:val="005A7294"/>
    <w:rsid w:val="005B0BAA"/>
    <w:rsid w:val="005B321C"/>
    <w:rsid w:val="005B47C3"/>
    <w:rsid w:val="005B49CD"/>
    <w:rsid w:val="005B5043"/>
    <w:rsid w:val="005B6B87"/>
    <w:rsid w:val="005C000F"/>
    <w:rsid w:val="005C1773"/>
    <w:rsid w:val="005C2B70"/>
    <w:rsid w:val="005C2DAC"/>
    <w:rsid w:val="005C6630"/>
    <w:rsid w:val="005D06D0"/>
    <w:rsid w:val="005D085C"/>
    <w:rsid w:val="005D0EC7"/>
    <w:rsid w:val="005D1EE1"/>
    <w:rsid w:val="005D2990"/>
    <w:rsid w:val="005D3EDF"/>
    <w:rsid w:val="005D4C8B"/>
    <w:rsid w:val="005D4DD5"/>
    <w:rsid w:val="005D56FF"/>
    <w:rsid w:val="005E1F89"/>
    <w:rsid w:val="005E1FBB"/>
    <w:rsid w:val="005E2099"/>
    <w:rsid w:val="005E2437"/>
    <w:rsid w:val="005E2FEA"/>
    <w:rsid w:val="005E3F84"/>
    <w:rsid w:val="005E5CBB"/>
    <w:rsid w:val="005E60C4"/>
    <w:rsid w:val="005F2B89"/>
    <w:rsid w:val="005F3221"/>
    <w:rsid w:val="005F3804"/>
    <w:rsid w:val="005F58D6"/>
    <w:rsid w:val="005F6663"/>
    <w:rsid w:val="005F69B9"/>
    <w:rsid w:val="005F6CE5"/>
    <w:rsid w:val="005F6D7A"/>
    <w:rsid w:val="005F7005"/>
    <w:rsid w:val="005F7B4E"/>
    <w:rsid w:val="00600D3F"/>
    <w:rsid w:val="00601DA6"/>
    <w:rsid w:val="00604A09"/>
    <w:rsid w:val="00606651"/>
    <w:rsid w:val="00610047"/>
    <w:rsid w:val="006101B7"/>
    <w:rsid w:val="00610441"/>
    <w:rsid w:val="006109FC"/>
    <w:rsid w:val="00620414"/>
    <w:rsid w:val="00620983"/>
    <w:rsid w:val="006211B8"/>
    <w:rsid w:val="006243B3"/>
    <w:rsid w:val="00624F6B"/>
    <w:rsid w:val="00625E72"/>
    <w:rsid w:val="0063186A"/>
    <w:rsid w:val="006330E0"/>
    <w:rsid w:val="00633CE5"/>
    <w:rsid w:val="00636A12"/>
    <w:rsid w:val="00636F36"/>
    <w:rsid w:val="00640FEA"/>
    <w:rsid w:val="00642465"/>
    <w:rsid w:val="0064525F"/>
    <w:rsid w:val="00645E2E"/>
    <w:rsid w:val="00646B8E"/>
    <w:rsid w:val="00646DDB"/>
    <w:rsid w:val="00651065"/>
    <w:rsid w:val="00651D77"/>
    <w:rsid w:val="0065221D"/>
    <w:rsid w:val="0065235A"/>
    <w:rsid w:val="0065353B"/>
    <w:rsid w:val="006559A7"/>
    <w:rsid w:val="00657B36"/>
    <w:rsid w:val="00660CF6"/>
    <w:rsid w:val="00665103"/>
    <w:rsid w:val="006655A0"/>
    <w:rsid w:val="00665D0E"/>
    <w:rsid w:val="00667E03"/>
    <w:rsid w:val="00670D17"/>
    <w:rsid w:val="00672546"/>
    <w:rsid w:val="00672D98"/>
    <w:rsid w:val="00674288"/>
    <w:rsid w:val="006742D9"/>
    <w:rsid w:val="006807D8"/>
    <w:rsid w:val="00682908"/>
    <w:rsid w:val="0068292B"/>
    <w:rsid w:val="00683333"/>
    <w:rsid w:val="00683BD2"/>
    <w:rsid w:val="00685502"/>
    <w:rsid w:val="006874B6"/>
    <w:rsid w:val="00691422"/>
    <w:rsid w:val="00692F7A"/>
    <w:rsid w:val="00693C0D"/>
    <w:rsid w:val="00694954"/>
    <w:rsid w:val="006973E4"/>
    <w:rsid w:val="00697619"/>
    <w:rsid w:val="0069771B"/>
    <w:rsid w:val="006977CD"/>
    <w:rsid w:val="006A0EC8"/>
    <w:rsid w:val="006A1731"/>
    <w:rsid w:val="006A20E8"/>
    <w:rsid w:val="006A3DC9"/>
    <w:rsid w:val="006A6369"/>
    <w:rsid w:val="006B0D38"/>
    <w:rsid w:val="006B35F4"/>
    <w:rsid w:val="006B3834"/>
    <w:rsid w:val="006B3DB8"/>
    <w:rsid w:val="006B4406"/>
    <w:rsid w:val="006B52B8"/>
    <w:rsid w:val="006B7125"/>
    <w:rsid w:val="006B748C"/>
    <w:rsid w:val="006B7582"/>
    <w:rsid w:val="006B7B08"/>
    <w:rsid w:val="006B7B25"/>
    <w:rsid w:val="006C1D37"/>
    <w:rsid w:val="006C2576"/>
    <w:rsid w:val="006C5CF1"/>
    <w:rsid w:val="006D25D5"/>
    <w:rsid w:val="006D47BC"/>
    <w:rsid w:val="006D51F5"/>
    <w:rsid w:val="006D5A11"/>
    <w:rsid w:val="006D5C0D"/>
    <w:rsid w:val="006D6E8E"/>
    <w:rsid w:val="006D7E34"/>
    <w:rsid w:val="006E021C"/>
    <w:rsid w:val="006E0E6C"/>
    <w:rsid w:val="006E3067"/>
    <w:rsid w:val="006E5027"/>
    <w:rsid w:val="006F067C"/>
    <w:rsid w:val="006F29B2"/>
    <w:rsid w:val="006F4B7B"/>
    <w:rsid w:val="006F5214"/>
    <w:rsid w:val="006F7048"/>
    <w:rsid w:val="006F7120"/>
    <w:rsid w:val="006F73DD"/>
    <w:rsid w:val="00701E95"/>
    <w:rsid w:val="00702B86"/>
    <w:rsid w:val="00703DF1"/>
    <w:rsid w:val="007040FA"/>
    <w:rsid w:val="00704CC4"/>
    <w:rsid w:val="0070539B"/>
    <w:rsid w:val="00705AAB"/>
    <w:rsid w:val="007068DA"/>
    <w:rsid w:val="007109C1"/>
    <w:rsid w:val="00711126"/>
    <w:rsid w:val="00716DE2"/>
    <w:rsid w:val="007179E5"/>
    <w:rsid w:val="00717B40"/>
    <w:rsid w:val="00717DC3"/>
    <w:rsid w:val="007208BB"/>
    <w:rsid w:val="00720968"/>
    <w:rsid w:val="00720D56"/>
    <w:rsid w:val="00722ACF"/>
    <w:rsid w:val="007233D9"/>
    <w:rsid w:val="0072429F"/>
    <w:rsid w:val="00724466"/>
    <w:rsid w:val="00724A5C"/>
    <w:rsid w:val="00725780"/>
    <w:rsid w:val="007271EA"/>
    <w:rsid w:val="00730D7F"/>
    <w:rsid w:val="00730F56"/>
    <w:rsid w:val="007339BE"/>
    <w:rsid w:val="0073441A"/>
    <w:rsid w:val="007355DF"/>
    <w:rsid w:val="00741280"/>
    <w:rsid w:val="007432C8"/>
    <w:rsid w:val="00744F34"/>
    <w:rsid w:val="00745638"/>
    <w:rsid w:val="00745C73"/>
    <w:rsid w:val="0074686D"/>
    <w:rsid w:val="00746B7F"/>
    <w:rsid w:val="00746EFD"/>
    <w:rsid w:val="0074704D"/>
    <w:rsid w:val="00747383"/>
    <w:rsid w:val="007519C3"/>
    <w:rsid w:val="007519D9"/>
    <w:rsid w:val="00751C33"/>
    <w:rsid w:val="00751DA9"/>
    <w:rsid w:val="00751FEA"/>
    <w:rsid w:val="00753E89"/>
    <w:rsid w:val="0075574C"/>
    <w:rsid w:val="00756D47"/>
    <w:rsid w:val="0076022B"/>
    <w:rsid w:val="00761BE3"/>
    <w:rsid w:val="00763681"/>
    <w:rsid w:val="00764E7C"/>
    <w:rsid w:val="007668F1"/>
    <w:rsid w:val="00766DDD"/>
    <w:rsid w:val="007674E6"/>
    <w:rsid w:val="00767C40"/>
    <w:rsid w:val="007700E7"/>
    <w:rsid w:val="00770D5F"/>
    <w:rsid w:val="007711F5"/>
    <w:rsid w:val="007729A2"/>
    <w:rsid w:val="007729C3"/>
    <w:rsid w:val="00772D18"/>
    <w:rsid w:val="00772DF9"/>
    <w:rsid w:val="007736B5"/>
    <w:rsid w:val="00773CCB"/>
    <w:rsid w:val="00773E03"/>
    <w:rsid w:val="007740F7"/>
    <w:rsid w:val="0077459E"/>
    <w:rsid w:val="007801ED"/>
    <w:rsid w:val="00780256"/>
    <w:rsid w:val="007812D9"/>
    <w:rsid w:val="007827D4"/>
    <w:rsid w:val="00782B29"/>
    <w:rsid w:val="007846D1"/>
    <w:rsid w:val="00785228"/>
    <w:rsid w:val="00786FE2"/>
    <w:rsid w:val="007877D9"/>
    <w:rsid w:val="00787D62"/>
    <w:rsid w:val="007910E9"/>
    <w:rsid w:val="00791482"/>
    <w:rsid w:val="00791BD1"/>
    <w:rsid w:val="00792A3D"/>
    <w:rsid w:val="00793B01"/>
    <w:rsid w:val="00794180"/>
    <w:rsid w:val="007947A6"/>
    <w:rsid w:val="0079584E"/>
    <w:rsid w:val="0079625C"/>
    <w:rsid w:val="007A05CF"/>
    <w:rsid w:val="007A36F7"/>
    <w:rsid w:val="007A4547"/>
    <w:rsid w:val="007A4747"/>
    <w:rsid w:val="007A487B"/>
    <w:rsid w:val="007A5AB8"/>
    <w:rsid w:val="007A7C2C"/>
    <w:rsid w:val="007B0F04"/>
    <w:rsid w:val="007B243F"/>
    <w:rsid w:val="007B3267"/>
    <w:rsid w:val="007B4CFD"/>
    <w:rsid w:val="007B579A"/>
    <w:rsid w:val="007B6D7A"/>
    <w:rsid w:val="007B70BC"/>
    <w:rsid w:val="007B720C"/>
    <w:rsid w:val="007C10CE"/>
    <w:rsid w:val="007C1252"/>
    <w:rsid w:val="007C1A15"/>
    <w:rsid w:val="007C37FC"/>
    <w:rsid w:val="007C38AB"/>
    <w:rsid w:val="007C4912"/>
    <w:rsid w:val="007C59D1"/>
    <w:rsid w:val="007C5E74"/>
    <w:rsid w:val="007D08A3"/>
    <w:rsid w:val="007D09E0"/>
    <w:rsid w:val="007D0B85"/>
    <w:rsid w:val="007D397D"/>
    <w:rsid w:val="007D3F3F"/>
    <w:rsid w:val="007D77B6"/>
    <w:rsid w:val="007E098A"/>
    <w:rsid w:val="007E4BEB"/>
    <w:rsid w:val="007E4FCE"/>
    <w:rsid w:val="007E5216"/>
    <w:rsid w:val="007E629B"/>
    <w:rsid w:val="007E6712"/>
    <w:rsid w:val="007F0407"/>
    <w:rsid w:val="007F04A2"/>
    <w:rsid w:val="007F159F"/>
    <w:rsid w:val="007F2190"/>
    <w:rsid w:val="007F2409"/>
    <w:rsid w:val="007F257F"/>
    <w:rsid w:val="007F26A0"/>
    <w:rsid w:val="007F3E06"/>
    <w:rsid w:val="007F3EE9"/>
    <w:rsid w:val="007F49FA"/>
    <w:rsid w:val="007F67D2"/>
    <w:rsid w:val="00800205"/>
    <w:rsid w:val="008010BC"/>
    <w:rsid w:val="00801557"/>
    <w:rsid w:val="00801714"/>
    <w:rsid w:val="00801817"/>
    <w:rsid w:val="0080280D"/>
    <w:rsid w:val="00802A3D"/>
    <w:rsid w:val="00804388"/>
    <w:rsid w:val="0080575A"/>
    <w:rsid w:val="00806D45"/>
    <w:rsid w:val="00807580"/>
    <w:rsid w:val="0080770C"/>
    <w:rsid w:val="00811431"/>
    <w:rsid w:val="008120CE"/>
    <w:rsid w:val="00812396"/>
    <w:rsid w:val="00812992"/>
    <w:rsid w:val="008131F7"/>
    <w:rsid w:val="008131FF"/>
    <w:rsid w:val="00813A15"/>
    <w:rsid w:val="00814199"/>
    <w:rsid w:val="008142A8"/>
    <w:rsid w:val="008168BF"/>
    <w:rsid w:val="008203DF"/>
    <w:rsid w:val="00820608"/>
    <w:rsid w:val="00821AC1"/>
    <w:rsid w:val="00823FA5"/>
    <w:rsid w:val="00824FB6"/>
    <w:rsid w:val="00825A27"/>
    <w:rsid w:val="00830392"/>
    <w:rsid w:val="008306A9"/>
    <w:rsid w:val="00830A22"/>
    <w:rsid w:val="00830C0F"/>
    <w:rsid w:val="00830CAC"/>
    <w:rsid w:val="00830D1E"/>
    <w:rsid w:val="00832C35"/>
    <w:rsid w:val="00833506"/>
    <w:rsid w:val="00833DB5"/>
    <w:rsid w:val="008345B0"/>
    <w:rsid w:val="00835245"/>
    <w:rsid w:val="0083646B"/>
    <w:rsid w:val="00840586"/>
    <w:rsid w:val="00842285"/>
    <w:rsid w:val="00842741"/>
    <w:rsid w:val="00847895"/>
    <w:rsid w:val="00850101"/>
    <w:rsid w:val="00850109"/>
    <w:rsid w:val="0085015C"/>
    <w:rsid w:val="00851E8A"/>
    <w:rsid w:val="00852153"/>
    <w:rsid w:val="008545CC"/>
    <w:rsid w:val="00854930"/>
    <w:rsid w:val="0085530A"/>
    <w:rsid w:val="008558A3"/>
    <w:rsid w:val="00855CBC"/>
    <w:rsid w:val="0086038E"/>
    <w:rsid w:val="008622B6"/>
    <w:rsid w:val="008626DD"/>
    <w:rsid w:val="00863667"/>
    <w:rsid w:val="008647C0"/>
    <w:rsid w:val="00864D37"/>
    <w:rsid w:val="008666A3"/>
    <w:rsid w:val="00867438"/>
    <w:rsid w:val="0086788D"/>
    <w:rsid w:val="00867F9F"/>
    <w:rsid w:val="00870377"/>
    <w:rsid w:val="00873155"/>
    <w:rsid w:val="0087368C"/>
    <w:rsid w:val="008744B3"/>
    <w:rsid w:val="00874613"/>
    <w:rsid w:val="0087596F"/>
    <w:rsid w:val="00876E08"/>
    <w:rsid w:val="00880449"/>
    <w:rsid w:val="00882208"/>
    <w:rsid w:val="00882F6B"/>
    <w:rsid w:val="0088310E"/>
    <w:rsid w:val="008836FD"/>
    <w:rsid w:val="0088381E"/>
    <w:rsid w:val="00883F91"/>
    <w:rsid w:val="00884179"/>
    <w:rsid w:val="008849DA"/>
    <w:rsid w:val="00886A8E"/>
    <w:rsid w:val="00890A53"/>
    <w:rsid w:val="00891436"/>
    <w:rsid w:val="008921A1"/>
    <w:rsid w:val="0089311D"/>
    <w:rsid w:val="00893759"/>
    <w:rsid w:val="00893EBC"/>
    <w:rsid w:val="00895C9D"/>
    <w:rsid w:val="00896C06"/>
    <w:rsid w:val="00897489"/>
    <w:rsid w:val="00897A1B"/>
    <w:rsid w:val="00897B3C"/>
    <w:rsid w:val="00897CBE"/>
    <w:rsid w:val="008A0BEE"/>
    <w:rsid w:val="008A1AA7"/>
    <w:rsid w:val="008A1E75"/>
    <w:rsid w:val="008A42EA"/>
    <w:rsid w:val="008A5116"/>
    <w:rsid w:val="008A578F"/>
    <w:rsid w:val="008B06C1"/>
    <w:rsid w:val="008B0B53"/>
    <w:rsid w:val="008B131B"/>
    <w:rsid w:val="008B41D7"/>
    <w:rsid w:val="008B608A"/>
    <w:rsid w:val="008C0A36"/>
    <w:rsid w:val="008C272C"/>
    <w:rsid w:val="008C288D"/>
    <w:rsid w:val="008C3760"/>
    <w:rsid w:val="008C393D"/>
    <w:rsid w:val="008C3E38"/>
    <w:rsid w:val="008C509E"/>
    <w:rsid w:val="008C6117"/>
    <w:rsid w:val="008C6746"/>
    <w:rsid w:val="008C78EF"/>
    <w:rsid w:val="008D04A6"/>
    <w:rsid w:val="008D1E65"/>
    <w:rsid w:val="008D26D3"/>
    <w:rsid w:val="008D4752"/>
    <w:rsid w:val="008D494B"/>
    <w:rsid w:val="008D5B72"/>
    <w:rsid w:val="008D6052"/>
    <w:rsid w:val="008D70ED"/>
    <w:rsid w:val="008E2666"/>
    <w:rsid w:val="008E380E"/>
    <w:rsid w:val="008E3C81"/>
    <w:rsid w:val="008E461E"/>
    <w:rsid w:val="008E5CD4"/>
    <w:rsid w:val="008E65D9"/>
    <w:rsid w:val="008F3297"/>
    <w:rsid w:val="008F3AFC"/>
    <w:rsid w:val="008F7777"/>
    <w:rsid w:val="008F77AD"/>
    <w:rsid w:val="009020BE"/>
    <w:rsid w:val="00902133"/>
    <w:rsid w:val="00903256"/>
    <w:rsid w:val="0090526F"/>
    <w:rsid w:val="00906E1E"/>
    <w:rsid w:val="009076F5"/>
    <w:rsid w:val="009114BF"/>
    <w:rsid w:val="0091279D"/>
    <w:rsid w:val="00913C3C"/>
    <w:rsid w:val="0091653F"/>
    <w:rsid w:val="00916BF3"/>
    <w:rsid w:val="00916EB3"/>
    <w:rsid w:val="00922649"/>
    <w:rsid w:val="00922A95"/>
    <w:rsid w:val="009247E8"/>
    <w:rsid w:val="00924AA2"/>
    <w:rsid w:val="00924F96"/>
    <w:rsid w:val="00925019"/>
    <w:rsid w:val="00927334"/>
    <w:rsid w:val="00927F8D"/>
    <w:rsid w:val="00930EE8"/>
    <w:rsid w:val="00931DF1"/>
    <w:rsid w:val="0093232F"/>
    <w:rsid w:val="009336CB"/>
    <w:rsid w:val="0093418B"/>
    <w:rsid w:val="0093642C"/>
    <w:rsid w:val="009368E7"/>
    <w:rsid w:val="009374EA"/>
    <w:rsid w:val="009375A2"/>
    <w:rsid w:val="00940283"/>
    <w:rsid w:val="009409EB"/>
    <w:rsid w:val="009413D9"/>
    <w:rsid w:val="00941F55"/>
    <w:rsid w:val="00942ADB"/>
    <w:rsid w:val="00943C2D"/>
    <w:rsid w:val="0094407B"/>
    <w:rsid w:val="00944EC0"/>
    <w:rsid w:val="00946EB5"/>
    <w:rsid w:val="00947255"/>
    <w:rsid w:val="00951A97"/>
    <w:rsid w:val="00952F28"/>
    <w:rsid w:val="00954CC6"/>
    <w:rsid w:val="0095512B"/>
    <w:rsid w:val="00956A5C"/>
    <w:rsid w:val="00960163"/>
    <w:rsid w:val="0096024B"/>
    <w:rsid w:val="00960AD7"/>
    <w:rsid w:val="00960E48"/>
    <w:rsid w:val="0096123A"/>
    <w:rsid w:val="00961B7D"/>
    <w:rsid w:val="009632FD"/>
    <w:rsid w:val="0096370D"/>
    <w:rsid w:val="00963C94"/>
    <w:rsid w:val="0096773B"/>
    <w:rsid w:val="00967DDB"/>
    <w:rsid w:val="009717A2"/>
    <w:rsid w:val="00972DB0"/>
    <w:rsid w:val="00972E71"/>
    <w:rsid w:val="009744C4"/>
    <w:rsid w:val="00976338"/>
    <w:rsid w:val="009800CE"/>
    <w:rsid w:val="00981041"/>
    <w:rsid w:val="00984FCB"/>
    <w:rsid w:val="009851FA"/>
    <w:rsid w:val="00987A79"/>
    <w:rsid w:val="00991871"/>
    <w:rsid w:val="0099221B"/>
    <w:rsid w:val="0099245C"/>
    <w:rsid w:val="00992584"/>
    <w:rsid w:val="00994C89"/>
    <w:rsid w:val="009950D4"/>
    <w:rsid w:val="009964A0"/>
    <w:rsid w:val="009973DA"/>
    <w:rsid w:val="00997C64"/>
    <w:rsid w:val="009A0063"/>
    <w:rsid w:val="009A4941"/>
    <w:rsid w:val="009A5472"/>
    <w:rsid w:val="009A557E"/>
    <w:rsid w:val="009A580A"/>
    <w:rsid w:val="009A76EA"/>
    <w:rsid w:val="009B05DE"/>
    <w:rsid w:val="009B25E8"/>
    <w:rsid w:val="009B2F73"/>
    <w:rsid w:val="009B33D3"/>
    <w:rsid w:val="009B3545"/>
    <w:rsid w:val="009B54A7"/>
    <w:rsid w:val="009B5CFA"/>
    <w:rsid w:val="009B64FB"/>
    <w:rsid w:val="009B6C33"/>
    <w:rsid w:val="009C0538"/>
    <w:rsid w:val="009C1C60"/>
    <w:rsid w:val="009C1FEB"/>
    <w:rsid w:val="009C264D"/>
    <w:rsid w:val="009C4218"/>
    <w:rsid w:val="009C42AA"/>
    <w:rsid w:val="009C5295"/>
    <w:rsid w:val="009C6530"/>
    <w:rsid w:val="009C68AC"/>
    <w:rsid w:val="009C7416"/>
    <w:rsid w:val="009D0123"/>
    <w:rsid w:val="009D2605"/>
    <w:rsid w:val="009D408A"/>
    <w:rsid w:val="009D7946"/>
    <w:rsid w:val="009E05F2"/>
    <w:rsid w:val="009E0A83"/>
    <w:rsid w:val="009E0ECE"/>
    <w:rsid w:val="009E18AC"/>
    <w:rsid w:val="009E1B7D"/>
    <w:rsid w:val="009E1D45"/>
    <w:rsid w:val="009E2A12"/>
    <w:rsid w:val="009E2AB5"/>
    <w:rsid w:val="009E3021"/>
    <w:rsid w:val="009E30ED"/>
    <w:rsid w:val="009E7FCF"/>
    <w:rsid w:val="009F6EBF"/>
    <w:rsid w:val="00A005EF"/>
    <w:rsid w:val="00A00722"/>
    <w:rsid w:val="00A01196"/>
    <w:rsid w:val="00A03836"/>
    <w:rsid w:val="00A04F5D"/>
    <w:rsid w:val="00A058C6"/>
    <w:rsid w:val="00A05DD3"/>
    <w:rsid w:val="00A100F6"/>
    <w:rsid w:val="00A111C6"/>
    <w:rsid w:val="00A11640"/>
    <w:rsid w:val="00A15FBC"/>
    <w:rsid w:val="00A163B3"/>
    <w:rsid w:val="00A169FB"/>
    <w:rsid w:val="00A16A14"/>
    <w:rsid w:val="00A17579"/>
    <w:rsid w:val="00A21D51"/>
    <w:rsid w:val="00A23B0A"/>
    <w:rsid w:val="00A2484A"/>
    <w:rsid w:val="00A24DFA"/>
    <w:rsid w:val="00A25AA8"/>
    <w:rsid w:val="00A270BE"/>
    <w:rsid w:val="00A32DCB"/>
    <w:rsid w:val="00A33943"/>
    <w:rsid w:val="00A340D8"/>
    <w:rsid w:val="00A3718B"/>
    <w:rsid w:val="00A40105"/>
    <w:rsid w:val="00A42A50"/>
    <w:rsid w:val="00A439B3"/>
    <w:rsid w:val="00A444FD"/>
    <w:rsid w:val="00A448B8"/>
    <w:rsid w:val="00A45492"/>
    <w:rsid w:val="00A526D7"/>
    <w:rsid w:val="00A53741"/>
    <w:rsid w:val="00A5698C"/>
    <w:rsid w:val="00A60561"/>
    <w:rsid w:val="00A6089B"/>
    <w:rsid w:val="00A64860"/>
    <w:rsid w:val="00A64874"/>
    <w:rsid w:val="00A648C5"/>
    <w:rsid w:val="00A65D67"/>
    <w:rsid w:val="00A66DA2"/>
    <w:rsid w:val="00A67CA0"/>
    <w:rsid w:val="00A7546D"/>
    <w:rsid w:val="00A75D1B"/>
    <w:rsid w:val="00A76E05"/>
    <w:rsid w:val="00A771CC"/>
    <w:rsid w:val="00A803E0"/>
    <w:rsid w:val="00A80DF4"/>
    <w:rsid w:val="00A811A0"/>
    <w:rsid w:val="00A8227E"/>
    <w:rsid w:val="00A82551"/>
    <w:rsid w:val="00A828C0"/>
    <w:rsid w:val="00A83170"/>
    <w:rsid w:val="00A83C3B"/>
    <w:rsid w:val="00A84317"/>
    <w:rsid w:val="00A870DA"/>
    <w:rsid w:val="00A87EBF"/>
    <w:rsid w:val="00A91375"/>
    <w:rsid w:val="00A91422"/>
    <w:rsid w:val="00A942A5"/>
    <w:rsid w:val="00A954F5"/>
    <w:rsid w:val="00A9577A"/>
    <w:rsid w:val="00A973BE"/>
    <w:rsid w:val="00A9780E"/>
    <w:rsid w:val="00AA1E3A"/>
    <w:rsid w:val="00AA4DC7"/>
    <w:rsid w:val="00AA790E"/>
    <w:rsid w:val="00AB0290"/>
    <w:rsid w:val="00AB0484"/>
    <w:rsid w:val="00AB1335"/>
    <w:rsid w:val="00AB2E9A"/>
    <w:rsid w:val="00AB355B"/>
    <w:rsid w:val="00AB7F02"/>
    <w:rsid w:val="00AC028B"/>
    <w:rsid w:val="00AC3EAB"/>
    <w:rsid w:val="00AC4190"/>
    <w:rsid w:val="00AC5676"/>
    <w:rsid w:val="00AC5993"/>
    <w:rsid w:val="00AC5FF5"/>
    <w:rsid w:val="00AC6B5E"/>
    <w:rsid w:val="00AC6BE4"/>
    <w:rsid w:val="00AD2650"/>
    <w:rsid w:val="00AD2C92"/>
    <w:rsid w:val="00AD33EC"/>
    <w:rsid w:val="00AD39FA"/>
    <w:rsid w:val="00AD3CD7"/>
    <w:rsid w:val="00AD3FAB"/>
    <w:rsid w:val="00AD55DC"/>
    <w:rsid w:val="00AD7194"/>
    <w:rsid w:val="00AD7D29"/>
    <w:rsid w:val="00AE0316"/>
    <w:rsid w:val="00AE3713"/>
    <w:rsid w:val="00AE3EBD"/>
    <w:rsid w:val="00AE7CB0"/>
    <w:rsid w:val="00AF0189"/>
    <w:rsid w:val="00AF0A9E"/>
    <w:rsid w:val="00AF15CE"/>
    <w:rsid w:val="00AF2406"/>
    <w:rsid w:val="00AF3EF9"/>
    <w:rsid w:val="00AF64C8"/>
    <w:rsid w:val="00B00C9F"/>
    <w:rsid w:val="00B01593"/>
    <w:rsid w:val="00B04289"/>
    <w:rsid w:val="00B069FC"/>
    <w:rsid w:val="00B07D6B"/>
    <w:rsid w:val="00B1093C"/>
    <w:rsid w:val="00B1196F"/>
    <w:rsid w:val="00B123AE"/>
    <w:rsid w:val="00B14962"/>
    <w:rsid w:val="00B16182"/>
    <w:rsid w:val="00B16449"/>
    <w:rsid w:val="00B166C1"/>
    <w:rsid w:val="00B16AAC"/>
    <w:rsid w:val="00B17134"/>
    <w:rsid w:val="00B20C08"/>
    <w:rsid w:val="00B246D7"/>
    <w:rsid w:val="00B252D6"/>
    <w:rsid w:val="00B25380"/>
    <w:rsid w:val="00B27144"/>
    <w:rsid w:val="00B27171"/>
    <w:rsid w:val="00B324F4"/>
    <w:rsid w:val="00B339CF"/>
    <w:rsid w:val="00B34FC1"/>
    <w:rsid w:val="00B3570C"/>
    <w:rsid w:val="00B3575D"/>
    <w:rsid w:val="00B35C32"/>
    <w:rsid w:val="00B36F91"/>
    <w:rsid w:val="00B41975"/>
    <w:rsid w:val="00B41DB2"/>
    <w:rsid w:val="00B42F02"/>
    <w:rsid w:val="00B453BE"/>
    <w:rsid w:val="00B45D63"/>
    <w:rsid w:val="00B50799"/>
    <w:rsid w:val="00B52A98"/>
    <w:rsid w:val="00B541E3"/>
    <w:rsid w:val="00B5495B"/>
    <w:rsid w:val="00B54EAC"/>
    <w:rsid w:val="00B563FB"/>
    <w:rsid w:val="00B565F8"/>
    <w:rsid w:val="00B568DC"/>
    <w:rsid w:val="00B56DAD"/>
    <w:rsid w:val="00B6028D"/>
    <w:rsid w:val="00B604EE"/>
    <w:rsid w:val="00B6062F"/>
    <w:rsid w:val="00B608C5"/>
    <w:rsid w:val="00B615E3"/>
    <w:rsid w:val="00B61601"/>
    <w:rsid w:val="00B63B03"/>
    <w:rsid w:val="00B64ACE"/>
    <w:rsid w:val="00B65183"/>
    <w:rsid w:val="00B65E52"/>
    <w:rsid w:val="00B6799D"/>
    <w:rsid w:val="00B70A15"/>
    <w:rsid w:val="00B70A65"/>
    <w:rsid w:val="00B7424A"/>
    <w:rsid w:val="00B754F1"/>
    <w:rsid w:val="00B768BA"/>
    <w:rsid w:val="00B77902"/>
    <w:rsid w:val="00B829B9"/>
    <w:rsid w:val="00B82ABD"/>
    <w:rsid w:val="00B8395A"/>
    <w:rsid w:val="00B841DB"/>
    <w:rsid w:val="00B85118"/>
    <w:rsid w:val="00B85408"/>
    <w:rsid w:val="00B87DE7"/>
    <w:rsid w:val="00B94DE1"/>
    <w:rsid w:val="00B96513"/>
    <w:rsid w:val="00B9673A"/>
    <w:rsid w:val="00BA1AAD"/>
    <w:rsid w:val="00BA288B"/>
    <w:rsid w:val="00BA2AFC"/>
    <w:rsid w:val="00BA4C75"/>
    <w:rsid w:val="00BA547C"/>
    <w:rsid w:val="00BA6B58"/>
    <w:rsid w:val="00BA77A1"/>
    <w:rsid w:val="00BA78CC"/>
    <w:rsid w:val="00BA7AB4"/>
    <w:rsid w:val="00BB0107"/>
    <w:rsid w:val="00BB011B"/>
    <w:rsid w:val="00BB1703"/>
    <w:rsid w:val="00BB44C1"/>
    <w:rsid w:val="00BB6063"/>
    <w:rsid w:val="00BB643B"/>
    <w:rsid w:val="00BB7E16"/>
    <w:rsid w:val="00BC1152"/>
    <w:rsid w:val="00BC16D4"/>
    <w:rsid w:val="00BC19CB"/>
    <w:rsid w:val="00BC2220"/>
    <w:rsid w:val="00BC31F1"/>
    <w:rsid w:val="00BC59F9"/>
    <w:rsid w:val="00BC5F91"/>
    <w:rsid w:val="00BC7CD3"/>
    <w:rsid w:val="00BD30C0"/>
    <w:rsid w:val="00BD3561"/>
    <w:rsid w:val="00BD6BE5"/>
    <w:rsid w:val="00BD6ECB"/>
    <w:rsid w:val="00BE0DE9"/>
    <w:rsid w:val="00BE116A"/>
    <w:rsid w:val="00BE190B"/>
    <w:rsid w:val="00BE1B47"/>
    <w:rsid w:val="00BE2071"/>
    <w:rsid w:val="00BE2331"/>
    <w:rsid w:val="00BE266A"/>
    <w:rsid w:val="00BE3749"/>
    <w:rsid w:val="00BE533F"/>
    <w:rsid w:val="00BE6D55"/>
    <w:rsid w:val="00BE6FE8"/>
    <w:rsid w:val="00BE76EF"/>
    <w:rsid w:val="00BF0517"/>
    <w:rsid w:val="00BF0E66"/>
    <w:rsid w:val="00BF222B"/>
    <w:rsid w:val="00BF2474"/>
    <w:rsid w:val="00BF2F2E"/>
    <w:rsid w:val="00BF34F2"/>
    <w:rsid w:val="00BF3AA2"/>
    <w:rsid w:val="00BF650C"/>
    <w:rsid w:val="00BF6984"/>
    <w:rsid w:val="00BF7818"/>
    <w:rsid w:val="00BF7BB7"/>
    <w:rsid w:val="00C000B0"/>
    <w:rsid w:val="00C00C37"/>
    <w:rsid w:val="00C00C39"/>
    <w:rsid w:val="00C041BB"/>
    <w:rsid w:val="00C05A3F"/>
    <w:rsid w:val="00C06D9E"/>
    <w:rsid w:val="00C07440"/>
    <w:rsid w:val="00C07725"/>
    <w:rsid w:val="00C106A6"/>
    <w:rsid w:val="00C106F0"/>
    <w:rsid w:val="00C10DC7"/>
    <w:rsid w:val="00C11A31"/>
    <w:rsid w:val="00C126A1"/>
    <w:rsid w:val="00C12F34"/>
    <w:rsid w:val="00C1542F"/>
    <w:rsid w:val="00C16288"/>
    <w:rsid w:val="00C16A57"/>
    <w:rsid w:val="00C175AB"/>
    <w:rsid w:val="00C20586"/>
    <w:rsid w:val="00C22C56"/>
    <w:rsid w:val="00C23D46"/>
    <w:rsid w:val="00C254B7"/>
    <w:rsid w:val="00C3115D"/>
    <w:rsid w:val="00C3173A"/>
    <w:rsid w:val="00C32014"/>
    <w:rsid w:val="00C344B4"/>
    <w:rsid w:val="00C415EF"/>
    <w:rsid w:val="00C4199E"/>
    <w:rsid w:val="00C42158"/>
    <w:rsid w:val="00C42325"/>
    <w:rsid w:val="00C433CF"/>
    <w:rsid w:val="00C442CE"/>
    <w:rsid w:val="00C44349"/>
    <w:rsid w:val="00C466A9"/>
    <w:rsid w:val="00C508BC"/>
    <w:rsid w:val="00C53080"/>
    <w:rsid w:val="00C603F7"/>
    <w:rsid w:val="00C6131C"/>
    <w:rsid w:val="00C61F1E"/>
    <w:rsid w:val="00C62574"/>
    <w:rsid w:val="00C63E03"/>
    <w:rsid w:val="00C64400"/>
    <w:rsid w:val="00C64D15"/>
    <w:rsid w:val="00C65C18"/>
    <w:rsid w:val="00C6718E"/>
    <w:rsid w:val="00C67A82"/>
    <w:rsid w:val="00C7102D"/>
    <w:rsid w:val="00C71A9C"/>
    <w:rsid w:val="00C71EE4"/>
    <w:rsid w:val="00C735A2"/>
    <w:rsid w:val="00C73D57"/>
    <w:rsid w:val="00C76152"/>
    <w:rsid w:val="00C76B9C"/>
    <w:rsid w:val="00C80819"/>
    <w:rsid w:val="00C81AA0"/>
    <w:rsid w:val="00C81BC3"/>
    <w:rsid w:val="00C82670"/>
    <w:rsid w:val="00C82E95"/>
    <w:rsid w:val="00C8775D"/>
    <w:rsid w:val="00C90089"/>
    <w:rsid w:val="00C9013A"/>
    <w:rsid w:val="00C91DF3"/>
    <w:rsid w:val="00C9440C"/>
    <w:rsid w:val="00C97FF1"/>
    <w:rsid w:val="00CA0CA8"/>
    <w:rsid w:val="00CA12B3"/>
    <w:rsid w:val="00CA4755"/>
    <w:rsid w:val="00CA50A1"/>
    <w:rsid w:val="00CA5E6E"/>
    <w:rsid w:val="00CA6DF6"/>
    <w:rsid w:val="00CA7945"/>
    <w:rsid w:val="00CB0250"/>
    <w:rsid w:val="00CB0966"/>
    <w:rsid w:val="00CB0CBB"/>
    <w:rsid w:val="00CB0FD9"/>
    <w:rsid w:val="00CB2236"/>
    <w:rsid w:val="00CB30BF"/>
    <w:rsid w:val="00CB42F7"/>
    <w:rsid w:val="00CB4332"/>
    <w:rsid w:val="00CB491A"/>
    <w:rsid w:val="00CB519D"/>
    <w:rsid w:val="00CC01A3"/>
    <w:rsid w:val="00CC25B2"/>
    <w:rsid w:val="00CC28A3"/>
    <w:rsid w:val="00CC2C82"/>
    <w:rsid w:val="00CC305F"/>
    <w:rsid w:val="00CC3309"/>
    <w:rsid w:val="00CC4FD3"/>
    <w:rsid w:val="00CC54CC"/>
    <w:rsid w:val="00CC725B"/>
    <w:rsid w:val="00CC768B"/>
    <w:rsid w:val="00CD0481"/>
    <w:rsid w:val="00CD0AA6"/>
    <w:rsid w:val="00CD17B2"/>
    <w:rsid w:val="00CD1BD7"/>
    <w:rsid w:val="00CD21EC"/>
    <w:rsid w:val="00CD34C5"/>
    <w:rsid w:val="00CD39A6"/>
    <w:rsid w:val="00CD3A95"/>
    <w:rsid w:val="00CD43B2"/>
    <w:rsid w:val="00CD521F"/>
    <w:rsid w:val="00CD5E2F"/>
    <w:rsid w:val="00CD6826"/>
    <w:rsid w:val="00CD6A27"/>
    <w:rsid w:val="00CD6F37"/>
    <w:rsid w:val="00CE06F6"/>
    <w:rsid w:val="00CE2D13"/>
    <w:rsid w:val="00CE4066"/>
    <w:rsid w:val="00CE65D6"/>
    <w:rsid w:val="00CE6841"/>
    <w:rsid w:val="00CE6B33"/>
    <w:rsid w:val="00CE75E1"/>
    <w:rsid w:val="00CE7FB8"/>
    <w:rsid w:val="00CF0D7E"/>
    <w:rsid w:val="00CF0E95"/>
    <w:rsid w:val="00CF3795"/>
    <w:rsid w:val="00CF38CA"/>
    <w:rsid w:val="00CF4898"/>
    <w:rsid w:val="00CF5594"/>
    <w:rsid w:val="00CF584F"/>
    <w:rsid w:val="00CF58B4"/>
    <w:rsid w:val="00CF591C"/>
    <w:rsid w:val="00CF651F"/>
    <w:rsid w:val="00CF6DC2"/>
    <w:rsid w:val="00CF7816"/>
    <w:rsid w:val="00D04A05"/>
    <w:rsid w:val="00D05D8A"/>
    <w:rsid w:val="00D105B3"/>
    <w:rsid w:val="00D11323"/>
    <w:rsid w:val="00D142D5"/>
    <w:rsid w:val="00D15EBE"/>
    <w:rsid w:val="00D17701"/>
    <w:rsid w:val="00D23A74"/>
    <w:rsid w:val="00D26FFB"/>
    <w:rsid w:val="00D272FC"/>
    <w:rsid w:val="00D31573"/>
    <w:rsid w:val="00D32EA5"/>
    <w:rsid w:val="00D3369D"/>
    <w:rsid w:val="00D341B0"/>
    <w:rsid w:val="00D35143"/>
    <w:rsid w:val="00D365EB"/>
    <w:rsid w:val="00D36CB5"/>
    <w:rsid w:val="00D41360"/>
    <w:rsid w:val="00D4249B"/>
    <w:rsid w:val="00D42EBD"/>
    <w:rsid w:val="00D435A9"/>
    <w:rsid w:val="00D43EFC"/>
    <w:rsid w:val="00D4496D"/>
    <w:rsid w:val="00D45343"/>
    <w:rsid w:val="00D51D46"/>
    <w:rsid w:val="00D52D1B"/>
    <w:rsid w:val="00D531C0"/>
    <w:rsid w:val="00D5322D"/>
    <w:rsid w:val="00D539E3"/>
    <w:rsid w:val="00D53BD9"/>
    <w:rsid w:val="00D5445B"/>
    <w:rsid w:val="00D54891"/>
    <w:rsid w:val="00D549A7"/>
    <w:rsid w:val="00D55E93"/>
    <w:rsid w:val="00D57252"/>
    <w:rsid w:val="00D60E5F"/>
    <w:rsid w:val="00D62318"/>
    <w:rsid w:val="00D623E3"/>
    <w:rsid w:val="00D626EC"/>
    <w:rsid w:val="00D6464B"/>
    <w:rsid w:val="00D6565B"/>
    <w:rsid w:val="00D6672C"/>
    <w:rsid w:val="00D6721D"/>
    <w:rsid w:val="00D67591"/>
    <w:rsid w:val="00D679DD"/>
    <w:rsid w:val="00D7060D"/>
    <w:rsid w:val="00D72129"/>
    <w:rsid w:val="00D72749"/>
    <w:rsid w:val="00D75AB0"/>
    <w:rsid w:val="00D7673A"/>
    <w:rsid w:val="00D76EA6"/>
    <w:rsid w:val="00D76F4F"/>
    <w:rsid w:val="00D76FB1"/>
    <w:rsid w:val="00D77A01"/>
    <w:rsid w:val="00D8034C"/>
    <w:rsid w:val="00D8288C"/>
    <w:rsid w:val="00D843D8"/>
    <w:rsid w:val="00D8635F"/>
    <w:rsid w:val="00D90691"/>
    <w:rsid w:val="00D92069"/>
    <w:rsid w:val="00D93FE9"/>
    <w:rsid w:val="00D9458D"/>
    <w:rsid w:val="00D95661"/>
    <w:rsid w:val="00D978ED"/>
    <w:rsid w:val="00D9796E"/>
    <w:rsid w:val="00DA17E1"/>
    <w:rsid w:val="00DA19DB"/>
    <w:rsid w:val="00DA2EED"/>
    <w:rsid w:val="00DA3638"/>
    <w:rsid w:val="00DA3B97"/>
    <w:rsid w:val="00DA3EC9"/>
    <w:rsid w:val="00DA419F"/>
    <w:rsid w:val="00DA4FD7"/>
    <w:rsid w:val="00DB16E0"/>
    <w:rsid w:val="00DB2FE9"/>
    <w:rsid w:val="00DB33F8"/>
    <w:rsid w:val="00DB516B"/>
    <w:rsid w:val="00DB5C1C"/>
    <w:rsid w:val="00DB5F08"/>
    <w:rsid w:val="00DC08F8"/>
    <w:rsid w:val="00DC260C"/>
    <w:rsid w:val="00DC2F91"/>
    <w:rsid w:val="00DC3068"/>
    <w:rsid w:val="00DC36B2"/>
    <w:rsid w:val="00DC455D"/>
    <w:rsid w:val="00DC5FD2"/>
    <w:rsid w:val="00DC6635"/>
    <w:rsid w:val="00DC6727"/>
    <w:rsid w:val="00DC6CB6"/>
    <w:rsid w:val="00DC7578"/>
    <w:rsid w:val="00DD2833"/>
    <w:rsid w:val="00DD2C20"/>
    <w:rsid w:val="00DD34A7"/>
    <w:rsid w:val="00DD38F3"/>
    <w:rsid w:val="00DD4EEE"/>
    <w:rsid w:val="00DD694F"/>
    <w:rsid w:val="00DD7D97"/>
    <w:rsid w:val="00DE4FE1"/>
    <w:rsid w:val="00DE6994"/>
    <w:rsid w:val="00DF1057"/>
    <w:rsid w:val="00DF18A3"/>
    <w:rsid w:val="00DF1D5A"/>
    <w:rsid w:val="00DF2D40"/>
    <w:rsid w:val="00DF51B5"/>
    <w:rsid w:val="00DF53E4"/>
    <w:rsid w:val="00DF786F"/>
    <w:rsid w:val="00E00F11"/>
    <w:rsid w:val="00E02448"/>
    <w:rsid w:val="00E02554"/>
    <w:rsid w:val="00E036B0"/>
    <w:rsid w:val="00E03811"/>
    <w:rsid w:val="00E03CC5"/>
    <w:rsid w:val="00E050C1"/>
    <w:rsid w:val="00E05270"/>
    <w:rsid w:val="00E055B1"/>
    <w:rsid w:val="00E07D2D"/>
    <w:rsid w:val="00E10138"/>
    <w:rsid w:val="00E113CC"/>
    <w:rsid w:val="00E11D90"/>
    <w:rsid w:val="00E13872"/>
    <w:rsid w:val="00E147BF"/>
    <w:rsid w:val="00E148C2"/>
    <w:rsid w:val="00E20E53"/>
    <w:rsid w:val="00E2128C"/>
    <w:rsid w:val="00E21F0C"/>
    <w:rsid w:val="00E2213C"/>
    <w:rsid w:val="00E24DDD"/>
    <w:rsid w:val="00E26222"/>
    <w:rsid w:val="00E27D6C"/>
    <w:rsid w:val="00E32028"/>
    <w:rsid w:val="00E33413"/>
    <w:rsid w:val="00E367EF"/>
    <w:rsid w:val="00E370C1"/>
    <w:rsid w:val="00E377E6"/>
    <w:rsid w:val="00E400FB"/>
    <w:rsid w:val="00E4102C"/>
    <w:rsid w:val="00E43168"/>
    <w:rsid w:val="00E433C4"/>
    <w:rsid w:val="00E434F6"/>
    <w:rsid w:val="00E4471F"/>
    <w:rsid w:val="00E4475D"/>
    <w:rsid w:val="00E44802"/>
    <w:rsid w:val="00E46D47"/>
    <w:rsid w:val="00E477FF"/>
    <w:rsid w:val="00E50980"/>
    <w:rsid w:val="00E50E27"/>
    <w:rsid w:val="00E51F4A"/>
    <w:rsid w:val="00E544D6"/>
    <w:rsid w:val="00E63080"/>
    <w:rsid w:val="00E6325C"/>
    <w:rsid w:val="00E64901"/>
    <w:rsid w:val="00E65F98"/>
    <w:rsid w:val="00E6728A"/>
    <w:rsid w:val="00E67DA1"/>
    <w:rsid w:val="00E67EBA"/>
    <w:rsid w:val="00E709CD"/>
    <w:rsid w:val="00E70A95"/>
    <w:rsid w:val="00E70B0E"/>
    <w:rsid w:val="00E72BA0"/>
    <w:rsid w:val="00E737D1"/>
    <w:rsid w:val="00E74BE1"/>
    <w:rsid w:val="00E75464"/>
    <w:rsid w:val="00E8285B"/>
    <w:rsid w:val="00E82CCE"/>
    <w:rsid w:val="00E83463"/>
    <w:rsid w:val="00E83B96"/>
    <w:rsid w:val="00E83C79"/>
    <w:rsid w:val="00E84440"/>
    <w:rsid w:val="00E84CDD"/>
    <w:rsid w:val="00E855D2"/>
    <w:rsid w:val="00E8767A"/>
    <w:rsid w:val="00E87C39"/>
    <w:rsid w:val="00E92B1F"/>
    <w:rsid w:val="00E9367A"/>
    <w:rsid w:val="00E937C2"/>
    <w:rsid w:val="00E9450E"/>
    <w:rsid w:val="00E94792"/>
    <w:rsid w:val="00E95361"/>
    <w:rsid w:val="00E97179"/>
    <w:rsid w:val="00E97B26"/>
    <w:rsid w:val="00EA15FD"/>
    <w:rsid w:val="00EA1E99"/>
    <w:rsid w:val="00EA212B"/>
    <w:rsid w:val="00EA213D"/>
    <w:rsid w:val="00EA24B1"/>
    <w:rsid w:val="00EA25A7"/>
    <w:rsid w:val="00EA5A88"/>
    <w:rsid w:val="00EA696C"/>
    <w:rsid w:val="00EB18E7"/>
    <w:rsid w:val="00EB399B"/>
    <w:rsid w:val="00EB4621"/>
    <w:rsid w:val="00EB5D4E"/>
    <w:rsid w:val="00EB62CE"/>
    <w:rsid w:val="00EB72A1"/>
    <w:rsid w:val="00EC0E88"/>
    <w:rsid w:val="00EC2072"/>
    <w:rsid w:val="00EC2AED"/>
    <w:rsid w:val="00EC4945"/>
    <w:rsid w:val="00EC4DF9"/>
    <w:rsid w:val="00EC671B"/>
    <w:rsid w:val="00ED085E"/>
    <w:rsid w:val="00ED1546"/>
    <w:rsid w:val="00ED18D3"/>
    <w:rsid w:val="00ED2E20"/>
    <w:rsid w:val="00ED32C4"/>
    <w:rsid w:val="00ED4F99"/>
    <w:rsid w:val="00ED74E9"/>
    <w:rsid w:val="00EE0412"/>
    <w:rsid w:val="00EE20C8"/>
    <w:rsid w:val="00EE242C"/>
    <w:rsid w:val="00EE6E16"/>
    <w:rsid w:val="00EE7BA2"/>
    <w:rsid w:val="00EF1046"/>
    <w:rsid w:val="00EF5669"/>
    <w:rsid w:val="00EF582E"/>
    <w:rsid w:val="00EF5985"/>
    <w:rsid w:val="00EF622D"/>
    <w:rsid w:val="00EF74EA"/>
    <w:rsid w:val="00F0084E"/>
    <w:rsid w:val="00F015AA"/>
    <w:rsid w:val="00F01B7C"/>
    <w:rsid w:val="00F01BE1"/>
    <w:rsid w:val="00F07A87"/>
    <w:rsid w:val="00F13913"/>
    <w:rsid w:val="00F15D44"/>
    <w:rsid w:val="00F1654B"/>
    <w:rsid w:val="00F16B15"/>
    <w:rsid w:val="00F21231"/>
    <w:rsid w:val="00F21C2D"/>
    <w:rsid w:val="00F22602"/>
    <w:rsid w:val="00F23F4E"/>
    <w:rsid w:val="00F25D50"/>
    <w:rsid w:val="00F26908"/>
    <w:rsid w:val="00F27902"/>
    <w:rsid w:val="00F30869"/>
    <w:rsid w:val="00F30E4B"/>
    <w:rsid w:val="00F331F3"/>
    <w:rsid w:val="00F3361F"/>
    <w:rsid w:val="00F3434B"/>
    <w:rsid w:val="00F3639D"/>
    <w:rsid w:val="00F40C34"/>
    <w:rsid w:val="00F423C3"/>
    <w:rsid w:val="00F42DF1"/>
    <w:rsid w:val="00F438A4"/>
    <w:rsid w:val="00F439E6"/>
    <w:rsid w:val="00F43C65"/>
    <w:rsid w:val="00F43F1A"/>
    <w:rsid w:val="00F45C51"/>
    <w:rsid w:val="00F4630F"/>
    <w:rsid w:val="00F46FBF"/>
    <w:rsid w:val="00F47D28"/>
    <w:rsid w:val="00F5032F"/>
    <w:rsid w:val="00F5059E"/>
    <w:rsid w:val="00F50E6B"/>
    <w:rsid w:val="00F52B6B"/>
    <w:rsid w:val="00F55DF9"/>
    <w:rsid w:val="00F562C4"/>
    <w:rsid w:val="00F60449"/>
    <w:rsid w:val="00F609C2"/>
    <w:rsid w:val="00F64B27"/>
    <w:rsid w:val="00F64D44"/>
    <w:rsid w:val="00F65113"/>
    <w:rsid w:val="00F657A4"/>
    <w:rsid w:val="00F66664"/>
    <w:rsid w:val="00F66E43"/>
    <w:rsid w:val="00F70A5E"/>
    <w:rsid w:val="00F70F96"/>
    <w:rsid w:val="00F71D5F"/>
    <w:rsid w:val="00F7215A"/>
    <w:rsid w:val="00F72D89"/>
    <w:rsid w:val="00F73EF5"/>
    <w:rsid w:val="00F7435F"/>
    <w:rsid w:val="00F756B9"/>
    <w:rsid w:val="00F75B0F"/>
    <w:rsid w:val="00F75C3C"/>
    <w:rsid w:val="00F769B6"/>
    <w:rsid w:val="00F81693"/>
    <w:rsid w:val="00F86549"/>
    <w:rsid w:val="00F90E14"/>
    <w:rsid w:val="00F90F42"/>
    <w:rsid w:val="00F90F91"/>
    <w:rsid w:val="00F92D11"/>
    <w:rsid w:val="00F93BA2"/>
    <w:rsid w:val="00F94052"/>
    <w:rsid w:val="00F942E6"/>
    <w:rsid w:val="00F94DEA"/>
    <w:rsid w:val="00F96650"/>
    <w:rsid w:val="00F96E22"/>
    <w:rsid w:val="00FA3A9F"/>
    <w:rsid w:val="00FA74D5"/>
    <w:rsid w:val="00FA7CD3"/>
    <w:rsid w:val="00FB12DA"/>
    <w:rsid w:val="00FB2F93"/>
    <w:rsid w:val="00FB31CD"/>
    <w:rsid w:val="00FB41B4"/>
    <w:rsid w:val="00FB79D9"/>
    <w:rsid w:val="00FC1266"/>
    <w:rsid w:val="00FC1C11"/>
    <w:rsid w:val="00FC209C"/>
    <w:rsid w:val="00FC3B15"/>
    <w:rsid w:val="00FC58F7"/>
    <w:rsid w:val="00FD168D"/>
    <w:rsid w:val="00FD1A22"/>
    <w:rsid w:val="00FD48DF"/>
    <w:rsid w:val="00FD5940"/>
    <w:rsid w:val="00FD596D"/>
    <w:rsid w:val="00FD76B0"/>
    <w:rsid w:val="00FD7A89"/>
    <w:rsid w:val="00FE3385"/>
    <w:rsid w:val="00FE354F"/>
    <w:rsid w:val="00FE41E5"/>
    <w:rsid w:val="00FE49A5"/>
    <w:rsid w:val="00FE78F2"/>
    <w:rsid w:val="00FF0875"/>
    <w:rsid w:val="00FF113C"/>
    <w:rsid w:val="00FF3E97"/>
    <w:rsid w:val="00FF4951"/>
    <w:rsid w:val="00FF556A"/>
    <w:rsid w:val="00FF58BD"/>
    <w:rsid w:val="00FF5AA0"/>
    <w:rsid w:val="00FF6717"/>
    <w:rsid w:val="00FF6C21"/>
    <w:rsid w:val="00FF7438"/>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FB7E6-3ABC-484F-9A4C-27A5D051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AD4"/>
    <w:rPr>
      <w:rFonts w:ascii="Tahoma" w:hAnsi="Tahoma" w:cs="Tahoma"/>
      <w:sz w:val="16"/>
      <w:szCs w:val="16"/>
    </w:rPr>
  </w:style>
  <w:style w:type="paragraph" w:styleId="FootnoteText">
    <w:name w:val="footnote text"/>
    <w:basedOn w:val="Normal"/>
    <w:link w:val="FootnoteTextChar"/>
    <w:semiHidden/>
    <w:unhideWhenUsed/>
    <w:rsid w:val="000863ED"/>
    <w:pPr>
      <w:spacing w:after="0" w:line="240" w:lineRule="auto"/>
    </w:pPr>
    <w:rPr>
      <w:sz w:val="20"/>
      <w:szCs w:val="20"/>
    </w:rPr>
  </w:style>
  <w:style w:type="character" w:customStyle="1" w:styleId="FootnoteTextChar">
    <w:name w:val="Footnote Text Char"/>
    <w:basedOn w:val="DefaultParagraphFont"/>
    <w:link w:val="FootnoteText"/>
    <w:semiHidden/>
    <w:rsid w:val="000863ED"/>
    <w:rPr>
      <w:sz w:val="20"/>
      <w:szCs w:val="20"/>
    </w:rPr>
  </w:style>
  <w:style w:type="character" w:styleId="FootnoteReference">
    <w:name w:val="footnote reference"/>
    <w:basedOn w:val="DefaultParagraphFont"/>
    <w:semiHidden/>
    <w:unhideWhenUsed/>
    <w:rsid w:val="000863ED"/>
    <w:rPr>
      <w:vertAlign w:val="superscript"/>
    </w:rPr>
  </w:style>
  <w:style w:type="character" w:styleId="Hyperlink">
    <w:name w:val="Hyperlink"/>
    <w:basedOn w:val="DefaultParagraphFont"/>
    <w:uiPriority w:val="99"/>
    <w:unhideWhenUsed/>
    <w:rsid w:val="000863ED"/>
    <w:rPr>
      <w:color w:val="0000FF" w:themeColor="hyperlink"/>
      <w:u w:val="single"/>
    </w:rPr>
  </w:style>
  <w:style w:type="character" w:styleId="HTMLCite">
    <w:name w:val="HTML Cite"/>
    <w:basedOn w:val="DefaultParagraphFont"/>
    <w:uiPriority w:val="99"/>
    <w:semiHidden/>
    <w:unhideWhenUsed/>
    <w:rsid w:val="003E1193"/>
    <w:rPr>
      <w:i/>
      <w:iCs/>
    </w:rPr>
  </w:style>
  <w:style w:type="character" w:customStyle="1" w:styleId="cit-name-surname">
    <w:name w:val="cit-name-surname"/>
    <w:basedOn w:val="DefaultParagraphFont"/>
    <w:rsid w:val="003E1193"/>
  </w:style>
  <w:style w:type="character" w:customStyle="1" w:styleId="cit-pub-date">
    <w:name w:val="cit-pub-date"/>
    <w:basedOn w:val="DefaultParagraphFont"/>
    <w:rsid w:val="003E1193"/>
  </w:style>
  <w:style w:type="character" w:customStyle="1" w:styleId="cit-article-title">
    <w:name w:val="cit-article-title"/>
    <w:basedOn w:val="DefaultParagraphFont"/>
    <w:rsid w:val="003E1193"/>
  </w:style>
  <w:style w:type="character" w:customStyle="1" w:styleId="cit-vol">
    <w:name w:val="cit-vol"/>
    <w:basedOn w:val="DefaultParagraphFont"/>
    <w:rsid w:val="003E1193"/>
  </w:style>
  <w:style w:type="character" w:customStyle="1" w:styleId="cit-issue">
    <w:name w:val="cit-issue"/>
    <w:basedOn w:val="DefaultParagraphFont"/>
    <w:rsid w:val="003E1193"/>
  </w:style>
  <w:style w:type="character" w:customStyle="1" w:styleId="cit-fpage">
    <w:name w:val="cit-fpage"/>
    <w:basedOn w:val="DefaultParagraphFont"/>
    <w:rsid w:val="003E1193"/>
  </w:style>
  <w:style w:type="character" w:customStyle="1" w:styleId="cit-lpage">
    <w:name w:val="cit-lpage"/>
    <w:basedOn w:val="DefaultParagraphFont"/>
    <w:rsid w:val="003E1193"/>
  </w:style>
  <w:style w:type="paragraph" w:styleId="BodyText">
    <w:name w:val="Body Text"/>
    <w:basedOn w:val="Normal"/>
    <w:link w:val="BodyTextChar"/>
    <w:uiPriority w:val="99"/>
    <w:unhideWhenUsed/>
    <w:rsid w:val="004B0F2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B0F2A"/>
    <w:rPr>
      <w:rFonts w:ascii="Times New Roman" w:eastAsia="Times New Roman" w:hAnsi="Times New Roman" w:cs="Times New Roman"/>
      <w:sz w:val="24"/>
      <w:szCs w:val="24"/>
    </w:rPr>
  </w:style>
  <w:style w:type="paragraph" w:styleId="Title">
    <w:name w:val="Title"/>
    <w:basedOn w:val="Normal"/>
    <w:link w:val="TitleChar"/>
    <w:qFormat/>
    <w:rsid w:val="004B0F2A"/>
    <w:pPr>
      <w:spacing w:after="0" w:line="36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4B0F2A"/>
    <w:rPr>
      <w:rFonts w:ascii="Times New Roman" w:eastAsia="Times New Roman" w:hAnsi="Times New Roman" w:cs="Times New Roman"/>
      <w:b/>
      <w:bCs/>
      <w:sz w:val="20"/>
      <w:szCs w:val="20"/>
    </w:rPr>
  </w:style>
  <w:style w:type="paragraph" w:styleId="ListParagraph">
    <w:name w:val="List Paragraph"/>
    <w:basedOn w:val="Normal"/>
    <w:uiPriority w:val="34"/>
    <w:qFormat/>
    <w:rsid w:val="00EA1E99"/>
    <w:pPr>
      <w:ind w:left="720"/>
      <w:contextualSpacing/>
    </w:pPr>
  </w:style>
  <w:style w:type="table" w:styleId="TableGrid">
    <w:name w:val="Table Grid"/>
    <w:basedOn w:val="TableNormal"/>
    <w:uiPriority w:val="59"/>
    <w:rsid w:val="005A3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422"/>
    <w:rPr>
      <w:color w:val="808080"/>
    </w:rPr>
  </w:style>
  <w:style w:type="paragraph" w:styleId="HTMLPreformatted">
    <w:name w:val="HTML Preformatted"/>
    <w:basedOn w:val="Normal"/>
    <w:link w:val="HTMLPreformattedChar"/>
    <w:uiPriority w:val="99"/>
    <w:semiHidden/>
    <w:unhideWhenUsed/>
    <w:rsid w:val="0065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59A7"/>
    <w:rPr>
      <w:rFonts w:ascii="Courier New" w:eastAsia="Times New Roman" w:hAnsi="Courier New" w:cs="Courier New"/>
      <w:sz w:val="20"/>
      <w:szCs w:val="20"/>
    </w:rPr>
  </w:style>
  <w:style w:type="character" w:customStyle="1" w:styleId="st">
    <w:name w:val="st"/>
    <w:basedOn w:val="DefaultParagraphFont"/>
    <w:rsid w:val="00BD6BE5"/>
  </w:style>
  <w:style w:type="character" w:styleId="Emphasis">
    <w:name w:val="Emphasis"/>
    <w:basedOn w:val="DefaultParagraphFont"/>
    <w:uiPriority w:val="20"/>
    <w:qFormat/>
    <w:rsid w:val="00BD6BE5"/>
    <w:rPr>
      <w:i/>
      <w:iCs/>
    </w:rPr>
  </w:style>
  <w:style w:type="paragraph" w:styleId="BodyText2">
    <w:name w:val="Body Text 2"/>
    <w:basedOn w:val="Normal"/>
    <w:link w:val="BodyText2Char"/>
    <w:rsid w:val="009409E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409E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4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B8A"/>
  </w:style>
  <w:style w:type="paragraph" w:styleId="Footer">
    <w:name w:val="footer"/>
    <w:basedOn w:val="Normal"/>
    <w:link w:val="FooterChar"/>
    <w:uiPriority w:val="99"/>
    <w:unhideWhenUsed/>
    <w:rsid w:val="0036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B8A"/>
  </w:style>
  <w:style w:type="character" w:customStyle="1" w:styleId="apple-converted-space">
    <w:name w:val="apple-converted-space"/>
    <w:basedOn w:val="DefaultParagraphFont"/>
    <w:rsid w:val="00F5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0009">
      <w:bodyDiv w:val="1"/>
      <w:marLeft w:val="0"/>
      <w:marRight w:val="0"/>
      <w:marTop w:val="0"/>
      <w:marBottom w:val="0"/>
      <w:divBdr>
        <w:top w:val="none" w:sz="0" w:space="0" w:color="auto"/>
        <w:left w:val="none" w:sz="0" w:space="0" w:color="auto"/>
        <w:bottom w:val="none" w:sz="0" w:space="0" w:color="auto"/>
        <w:right w:val="none" w:sz="0" w:space="0" w:color="auto"/>
      </w:divBdr>
    </w:div>
    <w:div w:id="125509772">
      <w:bodyDiv w:val="1"/>
      <w:marLeft w:val="0"/>
      <w:marRight w:val="0"/>
      <w:marTop w:val="0"/>
      <w:marBottom w:val="0"/>
      <w:divBdr>
        <w:top w:val="none" w:sz="0" w:space="0" w:color="auto"/>
        <w:left w:val="none" w:sz="0" w:space="0" w:color="auto"/>
        <w:bottom w:val="none" w:sz="0" w:space="0" w:color="auto"/>
        <w:right w:val="none" w:sz="0" w:space="0" w:color="auto"/>
      </w:divBdr>
    </w:div>
    <w:div w:id="1378431258">
      <w:bodyDiv w:val="1"/>
      <w:marLeft w:val="0"/>
      <w:marRight w:val="0"/>
      <w:marTop w:val="0"/>
      <w:marBottom w:val="0"/>
      <w:divBdr>
        <w:top w:val="none" w:sz="0" w:space="0" w:color="auto"/>
        <w:left w:val="none" w:sz="0" w:space="0" w:color="auto"/>
        <w:bottom w:val="none" w:sz="0" w:space="0" w:color="auto"/>
        <w:right w:val="none" w:sz="0" w:space="0" w:color="auto"/>
      </w:divBdr>
    </w:div>
    <w:div w:id="1616207180">
      <w:bodyDiv w:val="1"/>
      <w:marLeft w:val="0"/>
      <w:marRight w:val="0"/>
      <w:marTop w:val="0"/>
      <w:marBottom w:val="0"/>
      <w:divBdr>
        <w:top w:val="none" w:sz="0" w:space="0" w:color="auto"/>
        <w:left w:val="none" w:sz="0" w:space="0" w:color="auto"/>
        <w:bottom w:val="none" w:sz="0" w:space="0" w:color="auto"/>
        <w:right w:val="none" w:sz="0" w:space="0" w:color="auto"/>
      </w:divBdr>
    </w:div>
    <w:div w:id="1618104705">
      <w:bodyDiv w:val="1"/>
      <w:marLeft w:val="0"/>
      <w:marRight w:val="0"/>
      <w:marTop w:val="0"/>
      <w:marBottom w:val="0"/>
      <w:divBdr>
        <w:top w:val="none" w:sz="0" w:space="0" w:color="auto"/>
        <w:left w:val="none" w:sz="0" w:space="0" w:color="auto"/>
        <w:bottom w:val="none" w:sz="0" w:space="0" w:color="auto"/>
        <w:right w:val="none" w:sz="0" w:space="0" w:color="auto"/>
      </w:divBdr>
    </w:div>
    <w:div w:id="2069720918">
      <w:bodyDiv w:val="1"/>
      <w:marLeft w:val="0"/>
      <w:marRight w:val="0"/>
      <w:marTop w:val="0"/>
      <w:marBottom w:val="0"/>
      <w:divBdr>
        <w:top w:val="none" w:sz="0" w:space="0" w:color="auto"/>
        <w:left w:val="none" w:sz="0" w:space="0" w:color="auto"/>
        <w:bottom w:val="none" w:sz="0" w:space="0" w:color="auto"/>
        <w:right w:val="none" w:sz="0" w:space="0" w:color="auto"/>
      </w:divBdr>
      <w:divsChild>
        <w:div w:id="230238194">
          <w:marLeft w:val="1166"/>
          <w:marRight w:val="0"/>
          <w:marTop w:val="134"/>
          <w:marBottom w:val="0"/>
          <w:divBdr>
            <w:top w:val="none" w:sz="0" w:space="0" w:color="auto"/>
            <w:left w:val="none" w:sz="0" w:space="0" w:color="auto"/>
            <w:bottom w:val="none" w:sz="0" w:space="0" w:color="auto"/>
            <w:right w:val="none" w:sz="0" w:space="0" w:color="auto"/>
          </w:divBdr>
        </w:div>
      </w:divsChild>
    </w:div>
    <w:div w:id="2089302143">
      <w:bodyDiv w:val="1"/>
      <w:marLeft w:val="0"/>
      <w:marRight w:val="0"/>
      <w:marTop w:val="0"/>
      <w:marBottom w:val="0"/>
      <w:divBdr>
        <w:top w:val="none" w:sz="0" w:space="0" w:color="auto"/>
        <w:left w:val="none" w:sz="0" w:space="0" w:color="auto"/>
        <w:bottom w:val="none" w:sz="0" w:space="0" w:color="auto"/>
        <w:right w:val="none" w:sz="0" w:space="0" w:color="auto"/>
      </w:divBdr>
      <w:divsChild>
        <w:div w:id="1638949184">
          <w:marLeft w:val="0"/>
          <w:marRight w:val="0"/>
          <w:marTop w:val="0"/>
          <w:marBottom w:val="0"/>
          <w:divBdr>
            <w:top w:val="none" w:sz="0" w:space="0" w:color="auto"/>
            <w:left w:val="none" w:sz="0" w:space="0" w:color="auto"/>
            <w:bottom w:val="none" w:sz="0" w:space="0" w:color="auto"/>
            <w:right w:val="none" w:sz="0" w:space="0" w:color="auto"/>
          </w:divBdr>
          <w:divsChild>
            <w:div w:id="1634169056">
              <w:marLeft w:val="0"/>
              <w:marRight w:val="0"/>
              <w:marTop w:val="0"/>
              <w:marBottom w:val="0"/>
              <w:divBdr>
                <w:top w:val="none" w:sz="0" w:space="0" w:color="auto"/>
                <w:left w:val="none" w:sz="0" w:space="0" w:color="auto"/>
                <w:bottom w:val="none" w:sz="0" w:space="0" w:color="auto"/>
                <w:right w:val="none" w:sz="0" w:space="0" w:color="auto"/>
              </w:divBdr>
              <w:divsChild>
                <w:div w:id="1679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af.Eisdorfer@business.ucon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illyWhite@unm.edu" TargetMode="External"/><Relationship Id="rId4" Type="http://schemas.openxmlformats.org/officeDocument/2006/relationships/settings" Target="settings.xml"/><Relationship Id="rId9" Type="http://schemas.openxmlformats.org/officeDocument/2006/relationships/hyperlink" Target="mailto:Carmelo.Giaccotto@business.uconn.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ederalreserve.gov/releases/h15/dat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2435-E649-4A47-86A4-183BEEC9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47</Pages>
  <Words>14037</Words>
  <Characters>80015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UConn School of Business</Company>
  <LinksUpToDate>false</LinksUpToDate>
  <CharactersWithSpaces>93865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of Business</dc:creator>
  <cp:lastModifiedBy>Carmelo Giaccotto</cp:lastModifiedBy>
  <cp:revision>4</cp:revision>
  <cp:lastPrinted>2013-10-21T19:41:00Z</cp:lastPrinted>
  <dcterms:created xsi:type="dcterms:W3CDTF">2013-10-21T19:28:00Z</dcterms:created>
  <dcterms:modified xsi:type="dcterms:W3CDTF">2013-10-21T19:57:00Z</dcterms:modified>
</cp:coreProperties>
</file>